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rPr>
        <w:t>2023年度皋兰县人民法院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sz w:val="32"/>
          <w:szCs w:val="32"/>
        </w:rPr>
      </w:pPr>
      <w:r>
        <w:rPr>
          <w:rFonts w:hint="eastAsia" w:ascii="宋体" w:hAnsi="宋体" w:eastAsia="宋体"/>
          <w:b/>
          <w:bCs/>
          <w:sz w:val="32"/>
          <w:szCs w:val="32"/>
        </w:rPr>
        <w:t>皋兰县人民法院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2024年2月27日</w:t>
      </w:r>
    </w:p>
    <w:p>
      <w:pPr>
        <w:ind w:firstLine="560"/>
        <w:jc w:val="left"/>
      </w:pPr>
    </w:p>
    <w:p>
      <w:pPr>
        <w:pStyle w:val="35"/>
        <w:spacing w:line="360" w:lineRule="auto"/>
        <w:ind w:firstLine="560"/>
        <w:jc w:val="center"/>
        <w:rPr>
          <w:rFonts w:ascii="仿宋_GB2312" w:hAnsi="仿宋_GB2312" w:eastAsia="仿宋_GB2312" w:cstheme="minorBidi"/>
          <w:color w:val="auto"/>
          <w:kern w:val="2"/>
          <w:sz w:val="28"/>
          <w:szCs w:val="2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5"/>
            <w:spacing w:line="360" w:lineRule="auto"/>
            <w:ind w:firstLine="560"/>
            <w:jc w:val="center"/>
          </w:pPr>
          <w:r>
            <w:rPr>
              <w:rFonts w:ascii="黑体" w:hAnsi="黑体" w:eastAsia="黑体"/>
              <w:color w:val="auto"/>
              <w:lang w:val="zh-CN"/>
            </w:rPr>
            <w:t>目录</w:t>
          </w:r>
          <w:r>
            <w:fldChar w:fldCharType="begin"/>
          </w:r>
          <w:r>
            <w:instrText xml:space="preserve"> TOC \o "1-2" \h \z \u </w:instrText>
          </w:r>
          <w:r>
            <w:fldChar w:fldCharType="separate"/>
          </w:r>
        </w:p>
        <w:p>
          <w:pPr>
            <w:pStyle w:val="18"/>
            <w:tabs>
              <w:tab w:val="right" w:leader="dot" w:pos="8306"/>
              <w:tab w:val="clear" w:pos="8296"/>
            </w:tabs>
          </w:pPr>
          <w:r>
            <w:fldChar w:fldCharType="begin"/>
          </w:r>
          <w:r>
            <w:instrText xml:space="preserve"> HYPERLINK \l "_Toc32745" </w:instrText>
          </w:r>
          <w:r>
            <w:fldChar w:fldCharType="separate"/>
          </w:r>
          <w:r>
            <w:rPr>
              <w:rFonts w:hint="eastAsia"/>
            </w:rPr>
            <w:t>一、基本情况</w:t>
          </w:r>
          <w:r>
            <w:tab/>
          </w:r>
          <w:r>
            <w:fldChar w:fldCharType="begin"/>
          </w:r>
          <w:r>
            <w:instrText xml:space="preserve"> PAGEREF _Toc32745 \h </w:instrText>
          </w:r>
          <w:r>
            <w:fldChar w:fldCharType="separate"/>
          </w:r>
          <w:r>
            <w:t>1</w:t>
          </w:r>
          <w:r>
            <w:fldChar w:fldCharType="end"/>
          </w:r>
          <w:r>
            <w:fldChar w:fldCharType="end"/>
          </w:r>
        </w:p>
        <w:p>
          <w:pPr>
            <w:pStyle w:val="19"/>
            <w:tabs>
              <w:tab w:val="right" w:leader="dot" w:pos="8306"/>
              <w:tab w:val="clear" w:pos="8296"/>
            </w:tabs>
          </w:pPr>
          <w:r>
            <w:fldChar w:fldCharType="begin"/>
          </w:r>
          <w:r>
            <w:instrText xml:space="preserve"> HYPERLINK \l "_Toc22649" </w:instrText>
          </w:r>
          <w:r>
            <w:fldChar w:fldCharType="separate"/>
          </w:r>
          <w:r>
            <w:rPr>
              <w:rFonts w:hint="eastAsia"/>
            </w:rPr>
            <w:t>（一）部门主要职能</w:t>
          </w:r>
          <w:r>
            <w:tab/>
          </w:r>
          <w:r>
            <w:fldChar w:fldCharType="begin"/>
          </w:r>
          <w:r>
            <w:instrText xml:space="preserve"> PAGEREF _Toc22649 \h </w:instrText>
          </w:r>
          <w:r>
            <w:fldChar w:fldCharType="separate"/>
          </w:r>
          <w:r>
            <w:t>1</w:t>
          </w:r>
          <w:r>
            <w:fldChar w:fldCharType="end"/>
          </w:r>
          <w:r>
            <w:fldChar w:fldCharType="end"/>
          </w:r>
        </w:p>
        <w:p>
          <w:pPr>
            <w:pStyle w:val="19"/>
            <w:tabs>
              <w:tab w:val="right" w:leader="dot" w:pos="8306"/>
              <w:tab w:val="clear" w:pos="8296"/>
            </w:tabs>
          </w:pPr>
          <w:r>
            <w:fldChar w:fldCharType="begin"/>
          </w:r>
          <w:r>
            <w:instrText xml:space="preserve"> HYPERLINK \l "_Toc2319" </w:instrText>
          </w:r>
          <w:r>
            <w:fldChar w:fldCharType="separate"/>
          </w:r>
          <w:r>
            <w:rPr>
              <w:rFonts w:hint="eastAsia"/>
            </w:rPr>
            <w:t>（二）内设机构及所属部门概况</w:t>
          </w:r>
          <w:r>
            <w:tab/>
          </w:r>
          <w:r>
            <w:fldChar w:fldCharType="begin"/>
          </w:r>
          <w:r>
            <w:instrText xml:space="preserve"> PAGEREF _Toc2319 \h </w:instrText>
          </w:r>
          <w:r>
            <w:fldChar w:fldCharType="separate"/>
          </w:r>
          <w:r>
            <w:t>1</w:t>
          </w:r>
          <w:r>
            <w:fldChar w:fldCharType="end"/>
          </w:r>
          <w:r>
            <w:fldChar w:fldCharType="end"/>
          </w:r>
        </w:p>
        <w:p>
          <w:pPr>
            <w:pStyle w:val="18"/>
            <w:tabs>
              <w:tab w:val="right" w:leader="dot" w:pos="8306"/>
              <w:tab w:val="clear" w:pos="8296"/>
            </w:tabs>
          </w:pPr>
          <w:r>
            <w:fldChar w:fldCharType="begin"/>
          </w:r>
          <w:r>
            <w:instrText xml:space="preserve"> HYPERLINK \l "_Toc620" </w:instrText>
          </w:r>
          <w:r>
            <w:fldChar w:fldCharType="separate"/>
          </w:r>
          <w:r>
            <w:rPr>
              <w:rFonts w:hint="eastAsia"/>
            </w:rPr>
            <w:t>二、绩效自评工作组织开展情况</w:t>
          </w:r>
          <w:r>
            <w:tab/>
          </w:r>
          <w:r>
            <w:fldChar w:fldCharType="begin"/>
          </w:r>
          <w:r>
            <w:instrText xml:space="preserve"> PAGEREF _Toc620 \h </w:instrText>
          </w:r>
          <w:r>
            <w:fldChar w:fldCharType="separate"/>
          </w:r>
          <w:r>
            <w:t>1</w:t>
          </w:r>
          <w:r>
            <w:fldChar w:fldCharType="end"/>
          </w:r>
          <w:r>
            <w:fldChar w:fldCharType="end"/>
          </w:r>
        </w:p>
        <w:p>
          <w:pPr>
            <w:pStyle w:val="19"/>
            <w:tabs>
              <w:tab w:val="right" w:leader="dot" w:pos="8306"/>
              <w:tab w:val="clear" w:pos="8296"/>
            </w:tabs>
          </w:pPr>
          <w:r>
            <w:fldChar w:fldCharType="begin"/>
          </w:r>
          <w:r>
            <w:instrText xml:space="preserve"> HYPERLINK \l "_Toc1831" </w:instrText>
          </w:r>
          <w:r>
            <w:fldChar w:fldCharType="separate"/>
          </w:r>
          <w:r>
            <w:rPr>
              <w:rFonts w:hint="eastAsia"/>
            </w:rPr>
            <w:t>（一）自评工作组织管理情况</w:t>
          </w:r>
          <w:r>
            <w:tab/>
          </w:r>
          <w:r>
            <w:fldChar w:fldCharType="begin"/>
          </w:r>
          <w:r>
            <w:instrText xml:space="preserve"> PAGEREF _Toc1831 \h </w:instrText>
          </w:r>
          <w:r>
            <w:fldChar w:fldCharType="separate"/>
          </w:r>
          <w:r>
            <w:t>1</w:t>
          </w:r>
          <w:r>
            <w:fldChar w:fldCharType="end"/>
          </w:r>
          <w:r>
            <w:fldChar w:fldCharType="end"/>
          </w:r>
        </w:p>
        <w:p>
          <w:pPr>
            <w:pStyle w:val="19"/>
            <w:tabs>
              <w:tab w:val="right" w:leader="dot" w:pos="8306"/>
              <w:tab w:val="clear" w:pos="8296"/>
            </w:tabs>
          </w:pPr>
          <w:r>
            <w:fldChar w:fldCharType="begin"/>
          </w:r>
          <w:r>
            <w:instrText xml:space="preserve"> HYPERLINK \l "_Toc12268" </w:instrText>
          </w:r>
          <w:r>
            <w:fldChar w:fldCharType="separate"/>
          </w:r>
          <w:r>
            <w:rPr>
              <w:rFonts w:hint="eastAsia"/>
            </w:rPr>
            <w:t>（二）自评对象和范围</w:t>
          </w:r>
          <w:r>
            <w:tab/>
          </w:r>
          <w:r>
            <w:fldChar w:fldCharType="begin"/>
          </w:r>
          <w:r>
            <w:instrText xml:space="preserve"> PAGEREF _Toc12268 \h </w:instrText>
          </w:r>
          <w:r>
            <w:fldChar w:fldCharType="separate"/>
          </w:r>
          <w:r>
            <w:t>2</w:t>
          </w:r>
          <w:r>
            <w:fldChar w:fldCharType="end"/>
          </w:r>
          <w:r>
            <w:fldChar w:fldCharType="end"/>
          </w:r>
        </w:p>
        <w:p>
          <w:pPr>
            <w:pStyle w:val="19"/>
            <w:tabs>
              <w:tab w:val="right" w:leader="dot" w:pos="8306"/>
              <w:tab w:val="clear" w:pos="8296"/>
            </w:tabs>
          </w:pPr>
          <w:r>
            <w:fldChar w:fldCharType="begin"/>
          </w:r>
          <w:r>
            <w:instrText xml:space="preserve"> HYPERLINK \l "_Toc13424" </w:instrText>
          </w:r>
          <w:r>
            <w:fldChar w:fldCharType="separate"/>
          </w:r>
          <w:r>
            <w:rPr>
              <w:rFonts w:hint="eastAsia"/>
            </w:rPr>
            <w:t>（三）自评工作程序</w:t>
          </w:r>
          <w:r>
            <w:tab/>
          </w:r>
          <w:r>
            <w:fldChar w:fldCharType="begin"/>
          </w:r>
          <w:r>
            <w:instrText xml:space="preserve"> PAGEREF _Toc13424 \h </w:instrText>
          </w:r>
          <w:r>
            <w:fldChar w:fldCharType="separate"/>
          </w:r>
          <w:r>
            <w:t>2</w:t>
          </w:r>
          <w:r>
            <w:fldChar w:fldCharType="end"/>
          </w:r>
          <w:r>
            <w:fldChar w:fldCharType="end"/>
          </w:r>
        </w:p>
        <w:p>
          <w:pPr>
            <w:pStyle w:val="18"/>
            <w:tabs>
              <w:tab w:val="right" w:leader="dot" w:pos="8306"/>
              <w:tab w:val="clear" w:pos="8296"/>
            </w:tabs>
          </w:pPr>
          <w:r>
            <w:fldChar w:fldCharType="begin"/>
          </w:r>
          <w:r>
            <w:instrText xml:space="preserve"> HYPERLINK \l "_Toc32610" </w:instrText>
          </w:r>
          <w:r>
            <w:fldChar w:fldCharType="separate"/>
          </w:r>
          <w:r>
            <w:rPr>
              <w:rFonts w:hint="eastAsia"/>
            </w:rPr>
            <w:t>三、部门整体支出绩效自评情况分析</w:t>
          </w:r>
          <w:r>
            <w:tab/>
          </w:r>
          <w:r>
            <w:fldChar w:fldCharType="begin"/>
          </w:r>
          <w:r>
            <w:instrText xml:space="preserve"> PAGEREF _Toc32610 \h </w:instrText>
          </w:r>
          <w:r>
            <w:fldChar w:fldCharType="separate"/>
          </w:r>
          <w:r>
            <w:t>3</w:t>
          </w:r>
          <w:r>
            <w:fldChar w:fldCharType="end"/>
          </w:r>
          <w:r>
            <w:fldChar w:fldCharType="end"/>
          </w:r>
        </w:p>
        <w:p>
          <w:pPr>
            <w:pStyle w:val="19"/>
            <w:tabs>
              <w:tab w:val="right" w:leader="dot" w:pos="8306"/>
              <w:tab w:val="clear" w:pos="8296"/>
            </w:tabs>
          </w:pPr>
          <w:r>
            <w:fldChar w:fldCharType="begin"/>
          </w:r>
          <w:r>
            <w:instrText xml:space="preserve"> HYPERLINK \l "_Toc22079" </w:instrText>
          </w:r>
          <w:r>
            <w:fldChar w:fldCharType="separate"/>
          </w:r>
          <w:r>
            <w:rPr>
              <w:rFonts w:hint="eastAsia"/>
            </w:rPr>
            <w:t>（一）部门决算情况</w:t>
          </w:r>
          <w:r>
            <w:tab/>
          </w:r>
          <w:r>
            <w:fldChar w:fldCharType="begin"/>
          </w:r>
          <w:r>
            <w:instrText xml:space="preserve"> PAGEREF _Toc22079 \h </w:instrText>
          </w:r>
          <w:r>
            <w:fldChar w:fldCharType="separate"/>
          </w:r>
          <w:r>
            <w:t>3</w:t>
          </w:r>
          <w:r>
            <w:fldChar w:fldCharType="end"/>
          </w:r>
          <w:r>
            <w:fldChar w:fldCharType="end"/>
          </w:r>
        </w:p>
        <w:p>
          <w:pPr>
            <w:pStyle w:val="19"/>
            <w:tabs>
              <w:tab w:val="right" w:leader="dot" w:pos="8306"/>
              <w:tab w:val="clear" w:pos="8296"/>
            </w:tabs>
          </w:pPr>
          <w:r>
            <w:fldChar w:fldCharType="begin"/>
          </w:r>
          <w:r>
            <w:instrText xml:space="preserve"> HYPERLINK \l "_Toc9978" </w:instrText>
          </w:r>
          <w:r>
            <w:fldChar w:fldCharType="separate"/>
          </w:r>
          <w:r>
            <w:rPr>
              <w:rFonts w:hint="eastAsia"/>
            </w:rPr>
            <w:t>（二）总体绩效目标完成情况分析</w:t>
          </w:r>
          <w:r>
            <w:tab/>
          </w:r>
          <w:r>
            <w:fldChar w:fldCharType="begin"/>
          </w:r>
          <w:r>
            <w:instrText xml:space="preserve"> PAGEREF _Toc9978 \h </w:instrText>
          </w:r>
          <w:r>
            <w:fldChar w:fldCharType="separate"/>
          </w:r>
          <w:r>
            <w:t>3</w:t>
          </w:r>
          <w:r>
            <w:fldChar w:fldCharType="end"/>
          </w:r>
          <w:r>
            <w:fldChar w:fldCharType="end"/>
          </w:r>
        </w:p>
        <w:p>
          <w:pPr>
            <w:pStyle w:val="19"/>
            <w:tabs>
              <w:tab w:val="right" w:leader="dot" w:pos="8306"/>
              <w:tab w:val="clear" w:pos="8296"/>
            </w:tabs>
          </w:pPr>
          <w:r>
            <w:fldChar w:fldCharType="begin"/>
          </w:r>
          <w:r>
            <w:instrText xml:space="preserve"> HYPERLINK \l "_Toc32642" </w:instrText>
          </w:r>
          <w:r>
            <w:fldChar w:fldCharType="separate"/>
          </w:r>
          <w:r>
            <w:rPr>
              <w:rFonts w:hint="eastAsia"/>
            </w:rPr>
            <w:t>（三）各项指标完成情况分析</w:t>
          </w:r>
          <w:r>
            <w:tab/>
          </w:r>
          <w:r>
            <w:fldChar w:fldCharType="begin"/>
          </w:r>
          <w:r>
            <w:instrText xml:space="preserve"> PAGEREF _Toc32642 \h </w:instrText>
          </w:r>
          <w:r>
            <w:fldChar w:fldCharType="separate"/>
          </w:r>
          <w:r>
            <w:t>4</w:t>
          </w:r>
          <w:r>
            <w:fldChar w:fldCharType="end"/>
          </w:r>
          <w:r>
            <w:fldChar w:fldCharType="end"/>
          </w:r>
        </w:p>
        <w:p>
          <w:pPr>
            <w:pStyle w:val="19"/>
            <w:tabs>
              <w:tab w:val="right" w:leader="dot" w:pos="8306"/>
              <w:tab w:val="clear" w:pos="8296"/>
            </w:tabs>
          </w:pPr>
          <w:r>
            <w:fldChar w:fldCharType="begin"/>
          </w:r>
          <w:r>
            <w:instrText xml:space="preserve"> HYPERLINK \l "_Toc30132" </w:instrText>
          </w:r>
          <w:r>
            <w:fldChar w:fldCharType="separate"/>
          </w:r>
          <w:r>
            <w:rPr>
              <w:rFonts w:hint="eastAsia"/>
            </w:rPr>
            <w:t>（四）偏离绩效目标的原因及下一步改进措施</w:t>
          </w:r>
          <w:r>
            <w:tab/>
          </w:r>
          <w:r>
            <w:fldChar w:fldCharType="begin"/>
          </w:r>
          <w:r>
            <w:instrText xml:space="preserve"> PAGEREF _Toc30132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"_Toc13294" </w:instrText>
          </w:r>
          <w:r>
            <w:fldChar w:fldCharType="separate"/>
          </w:r>
          <w:r>
            <w:rPr>
              <w:rFonts w:hint="eastAsia"/>
            </w:rPr>
            <w:t>四、部门预算项目支出绩效自评情况分析</w:t>
          </w:r>
          <w:r>
            <w:tab/>
          </w:r>
          <w:r>
            <w:fldChar w:fldCharType="begin"/>
          </w:r>
          <w:r>
            <w:instrText xml:space="preserve"> PAGEREF _Toc13294 \h </w:instrText>
          </w:r>
          <w:r>
            <w:fldChar w:fldCharType="separate"/>
          </w:r>
          <w:r>
            <w:t>13</w:t>
          </w:r>
          <w:r>
            <w:fldChar w:fldCharType="end"/>
          </w:r>
          <w:r>
            <w:fldChar w:fldCharType="end"/>
          </w:r>
        </w:p>
        <w:p>
          <w:pPr>
            <w:pStyle w:val="19"/>
            <w:tabs>
              <w:tab w:val="right" w:leader="dot" w:pos="8306"/>
              <w:tab w:val="clear" w:pos="8296"/>
            </w:tabs>
          </w:pPr>
          <w:r>
            <w:fldChar w:fldCharType="begin"/>
          </w:r>
          <w:r>
            <w:instrText xml:space="preserve"> HYPERLINK \l "_Toc30269" </w:instrText>
          </w:r>
          <w:r>
            <w:fldChar w:fldCharType="separate"/>
          </w:r>
          <w:r>
            <w:rPr>
              <w:rFonts w:hint="eastAsia"/>
            </w:rPr>
            <w:t>（一）全省法院业务费</w:t>
          </w:r>
          <w:r>
            <w:tab/>
          </w:r>
          <w:r>
            <w:fldChar w:fldCharType="begin"/>
          </w:r>
          <w:r>
            <w:instrText xml:space="preserve"> PAGEREF _Toc30269 \h </w:instrText>
          </w:r>
          <w:r>
            <w:fldChar w:fldCharType="separate"/>
          </w:r>
          <w:r>
            <w:t>13</w:t>
          </w:r>
          <w:r>
            <w:fldChar w:fldCharType="end"/>
          </w:r>
          <w:r>
            <w:fldChar w:fldCharType="end"/>
          </w:r>
        </w:p>
        <w:p>
          <w:pPr>
            <w:pStyle w:val="19"/>
            <w:tabs>
              <w:tab w:val="right" w:leader="dot" w:pos="8306"/>
              <w:tab w:val="clear" w:pos="8296"/>
            </w:tabs>
          </w:pPr>
          <w:r>
            <w:fldChar w:fldCharType="begin"/>
          </w:r>
          <w:r>
            <w:instrText xml:space="preserve"> HYPERLINK \l "_Toc23050" </w:instrText>
          </w:r>
          <w:r>
            <w:fldChar w:fldCharType="separate"/>
          </w:r>
          <w:r>
            <w:rPr>
              <w:rFonts w:hint="eastAsia"/>
            </w:rPr>
            <w:t>（二）法庭运维费</w:t>
          </w:r>
          <w:r>
            <w:tab/>
          </w:r>
          <w:r>
            <w:fldChar w:fldCharType="begin"/>
          </w:r>
          <w:r>
            <w:instrText xml:space="preserve"> PAGEREF _Toc23050 \h </w:instrText>
          </w:r>
          <w:r>
            <w:fldChar w:fldCharType="separate"/>
          </w:r>
          <w:r>
            <w:t>18</w:t>
          </w:r>
          <w:r>
            <w:fldChar w:fldCharType="end"/>
          </w:r>
          <w:r>
            <w:fldChar w:fldCharType="end"/>
          </w:r>
        </w:p>
        <w:p>
          <w:pPr>
            <w:pStyle w:val="18"/>
            <w:tabs>
              <w:tab w:val="right" w:leader="dot" w:pos="8306"/>
              <w:tab w:val="clear" w:pos="8296"/>
            </w:tabs>
          </w:pPr>
          <w:r>
            <w:fldChar w:fldCharType="begin"/>
          </w:r>
          <w:r>
            <w:instrText xml:space="preserve"> HYPERLINK \l "_Toc15722" </w:instrText>
          </w:r>
          <w:r>
            <w:fldChar w:fldCharType="separate"/>
          </w:r>
          <w:r>
            <w:rPr>
              <w:rFonts w:hint="eastAsia"/>
            </w:rPr>
            <w:t>六、绩效自评结果拟应用和公开情况</w:t>
          </w:r>
          <w:r>
            <w:tab/>
          </w:r>
          <w:r>
            <w:fldChar w:fldCharType="begin"/>
          </w:r>
          <w:r>
            <w:instrText xml:space="preserve"> PAGEREF _Toc15722 \h </w:instrText>
          </w:r>
          <w:r>
            <w:fldChar w:fldCharType="separate"/>
          </w:r>
          <w:r>
            <w:t>2</w:t>
          </w:r>
          <w:r>
            <w:rPr>
              <w:rFonts w:hint="eastAsia"/>
              <w:lang w:val="en-US" w:eastAsia="zh-CN"/>
            </w:rPr>
            <w:t>2</w:t>
          </w:r>
          <w:r>
            <w:fldChar w:fldCharType="end"/>
          </w:r>
          <w:r>
            <w:fldChar w:fldCharType="end"/>
          </w:r>
        </w:p>
        <w:p>
          <w:pPr>
            <w:pStyle w:val="18"/>
            <w:tabs>
              <w:tab w:val="right" w:leader="dot" w:pos="8306"/>
              <w:tab w:val="clear" w:pos="8296"/>
            </w:tabs>
          </w:pPr>
          <w:r>
            <w:fldChar w:fldCharType="begin"/>
          </w:r>
          <w:r>
            <w:instrText xml:space="preserve"> HYPERLINK \l "_Toc31611" </w:instrText>
          </w:r>
          <w:r>
            <w:fldChar w:fldCharType="separate"/>
          </w:r>
          <w:r>
            <w:rPr>
              <w:rFonts w:hint="eastAsia"/>
            </w:rPr>
            <w:t>七、其他需要说明的问题</w:t>
          </w:r>
          <w:r>
            <w:tab/>
          </w:r>
          <w:r>
            <w:fldChar w:fldCharType="begin"/>
          </w:r>
          <w:r>
            <w:instrText xml:space="preserve"> PAGEREF _Toc31611 \h </w:instrText>
          </w:r>
          <w:r>
            <w:fldChar w:fldCharType="separate"/>
          </w:r>
          <w:r>
            <w:t>2</w:t>
          </w:r>
          <w:r>
            <w:rPr>
              <w:rFonts w:hint="eastAsia"/>
              <w:lang w:val="en-US" w:eastAsia="zh-CN"/>
            </w:rPr>
            <w:t>2</w:t>
          </w:r>
          <w:r>
            <w:fldChar w:fldCharType="end"/>
          </w:r>
          <w:r>
            <w:fldChar w:fldCharType="end"/>
          </w:r>
          <w:bookmarkStart w:id="76" w:name="_GoBack"/>
          <w:bookmarkEnd w:id="76"/>
        </w:p>
        <w:p>
          <w:pPr>
            <w:ind w:firstLine="0" w:firstLineChars="0"/>
            <w:jc w:val="center"/>
          </w:pPr>
          <w:r>
            <w:fldChar w:fldCharType="end"/>
          </w:r>
        </w:p>
      </w:sdtContent>
    </w:sdt>
    <w:p>
      <w:pPr>
        <w:widowControl/>
        <w:spacing w:line="240" w:lineRule="auto"/>
        <w:ind w:firstLine="0" w:firstLineChars="0"/>
        <w:jc w:val="center"/>
        <w:rPr>
          <w:rFonts w:ascii="宋体" w:hAnsi="宋体" w:eastAsia="宋体" w:cs="Arial"/>
          <w:b/>
          <w:bCs/>
          <w:sz w:val="44"/>
          <w:szCs w:val="44"/>
        </w:rPr>
      </w:pPr>
      <w:bookmarkStart w:id="0" w:name="_Toc13158"/>
      <w:bookmarkStart w:id="1" w:name="_Toc4040"/>
      <w:bookmarkStart w:id="2" w:name="_Toc18188"/>
      <w:bookmarkStart w:id="3" w:name="_Toc28671"/>
      <w:bookmarkStart w:id="4" w:name="_Toc22477"/>
    </w:p>
    <w:p>
      <w:pPr>
        <w:widowControl/>
        <w:spacing w:line="240" w:lineRule="auto"/>
        <w:ind w:firstLine="0" w:firstLineChars="0"/>
        <w:jc w:val="center"/>
        <w:rPr>
          <w:rFonts w:ascii="宋体" w:hAnsi="宋体" w:eastAsia="宋体" w:cs="Arial"/>
          <w:b/>
          <w:bCs/>
          <w:sz w:val="44"/>
          <w:szCs w:val="44"/>
        </w:rPr>
        <w:sectPr>
          <w:footerReference r:id="rId11" w:type="default"/>
          <w:pgSz w:w="11906" w:h="16838"/>
          <w:pgMar w:top="1440" w:right="1800" w:bottom="1440" w:left="1800" w:header="851" w:footer="992" w:gutter="0"/>
          <w:pgNumType w:start="1"/>
          <w:cols w:space="425" w:num="1"/>
          <w:docGrid w:type="lines" w:linePitch="312" w:charSpace="0"/>
        </w:sectPr>
      </w:pP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皋兰县人民法院2023年度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2"/>
        <w:spacing w:before="0" w:after="0"/>
      </w:pPr>
      <w:bookmarkStart w:id="5" w:name="_Toc32745"/>
      <w:r>
        <w:rPr>
          <w:rFonts w:hint="eastAsia"/>
        </w:rPr>
        <w:t>一、基本情况</w:t>
      </w:r>
      <w:bookmarkEnd w:id="2"/>
      <w:bookmarkEnd w:id="3"/>
      <w:bookmarkEnd w:id="4"/>
      <w:bookmarkEnd w:id="5"/>
    </w:p>
    <w:p>
      <w:pPr>
        <w:pStyle w:val="3"/>
        <w:spacing w:before="0" w:after="0"/>
        <w:ind w:firstLine="643"/>
      </w:pPr>
      <w:bookmarkStart w:id="6" w:name="_Toc18868"/>
      <w:bookmarkStart w:id="7" w:name="_Toc24636"/>
      <w:bookmarkStart w:id="8" w:name="_Toc819"/>
      <w:bookmarkStart w:id="9" w:name="_Toc22649"/>
      <w:r>
        <w:rPr>
          <w:rFonts w:hint="eastAsia"/>
        </w:rPr>
        <w:t>（一）部门主要职能</w:t>
      </w:r>
      <w:bookmarkEnd w:id="6"/>
      <w:bookmarkEnd w:id="7"/>
      <w:bookmarkEnd w:id="8"/>
      <w:bookmarkEnd w:id="9"/>
    </w:p>
    <w:p>
      <w:pPr>
        <w:ind w:firstLine="560"/>
      </w:pPr>
      <w:bookmarkStart w:id="10" w:name="_Toc25335"/>
      <w:bookmarkStart w:id="11" w:name="_Toc7151"/>
      <w:bookmarkStart w:id="12" w:name="_Toc20782"/>
      <w:r>
        <w:rPr>
          <w:rFonts w:hint="eastAsia"/>
        </w:rPr>
        <w:t>皋兰县人民法院是国家审判机关，依法独立行使审判权，对皋兰县人民代表大会及其常务委员会负责并报告工作。主要职责是：</w:t>
      </w:r>
    </w:p>
    <w:p>
      <w:pPr>
        <w:ind w:firstLine="560"/>
      </w:pPr>
      <w:r>
        <w:rPr>
          <w:rFonts w:hint="eastAsia"/>
        </w:rPr>
        <w:t>1.法律规定的由基层人民法院管辖的刑事、民事、经济、行政等第一审案件和市中级人民法院指定的案件。</w:t>
      </w:r>
    </w:p>
    <w:p>
      <w:pPr>
        <w:ind w:firstLine="560"/>
      </w:pPr>
      <w:r>
        <w:rPr>
          <w:rFonts w:hint="eastAsia"/>
        </w:rPr>
        <w:t>2.受理申诉和申请再审案件。</w:t>
      </w:r>
    </w:p>
    <w:p>
      <w:pPr>
        <w:ind w:firstLine="560"/>
      </w:pPr>
      <w:r>
        <w:rPr>
          <w:rFonts w:hint="eastAsia"/>
        </w:rPr>
        <w:t>3.执行本院发生法律效力的判决、裁定、调解以及行政机关申请执行的案件和外地法院委托执行的案件。</w:t>
      </w:r>
    </w:p>
    <w:p>
      <w:pPr>
        <w:ind w:firstLine="560"/>
      </w:pPr>
      <w:r>
        <w:rPr>
          <w:rFonts w:hint="eastAsia"/>
        </w:rPr>
        <w:t>4.依照《中华人民共和国法官法》的规定，管理、培训和教育干警，认真总结审判经验。</w:t>
      </w:r>
    </w:p>
    <w:p>
      <w:pPr>
        <w:ind w:firstLine="560"/>
      </w:pPr>
      <w:r>
        <w:rPr>
          <w:rFonts w:hint="eastAsia"/>
        </w:rPr>
        <w:t>5.积极开展法律宣传，参与全县社会治安综合治理工作。</w:t>
      </w:r>
    </w:p>
    <w:p>
      <w:pPr>
        <w:ind w:firstLine="560"/>
      </w:pPr>
      <w:r>
        <w:rPr>
          <w:rFonts w:hint="eastAsia"/>
        </w:rPr>
        <w:t>6.承办县委和上级业务部门交办的其它事项。</w:t>
      </w:r>
    </w:p>
    <w:p>
      <w:pPr>
        <w:pStyle w:val="3"/>
        <w:spacing w:before="0" w:after="0"/>
        <w:ind w:firstLine="643"/>
      </w:pPr>
      <w:bookmarkStart w:id="13" w:name="bookmark3"/>
      <w:bookmarkEnd w:id="13"/>
      <w:bookmarkStart w:id="14" w:name="_Toc2319"/>
      <w:r>
        <w:rPr>
          <w:rFonts w:hint="eastAsia"/>
        </w:rPr>
        <w:t>（二）内设机构及所属部门概况</w:t>
      </w:r>
      <w:bookmarkEnd w:id="10"/>
      <w:bookmarkEnd w:id="11"/>
      <w:bookmarkEnd w:id="12"/>
      <w:bookmarkEnd w:id="14"/>
    </w:p>
    <w:p>
      <w:pPr>
        <w:ind w:firstLine="560"/>
      </w:pPr>
      <w:bookmarkStart w:id="15" w:name="_Toc18193"/>
      <w:bookmarkStart w:id="16" w:name="_Toc4574"/>
      <w:bookmarkStart w:id="17" w:name="_Toc13794"/>
      <w:r>
        <w:rPr>
          <w:rFonts w:hint="eastAsia"/>
        </w:rPr>
        <w:t>皋兰县人民法院机关内设机构 5 个，包括：综合办公室 （司法警察大队）、政治部（机关党委）、综合审判庭、执行局、立案庭；人民法庭 2 个，包括：忠和法庭、什川法庭。</w:t>
      </w:r>
    </w:p>
    <w:p>
      <w:pPr>
        <w:pStyle w:val="2"/>
        <w:spacing w:before="0" w:after="0"/>
        <w:ind w:firstLine="643" w:firstLineChars="200"/>
      </w:pPr>
      <w:bookmarkStart w:id="18" w:name="_Toc620"/>
      <w:r>
        <w:rPr>
          <w:rFonts w:hint="eastAsia"/>
        </w:rPr>
        <w:t>二、绩效自评工作组织开展情况</w:t>
      </w:r>
      <w:bookmarkEnd w:id="15"/>
      <w:bookmarkEnd w:id="16"/>
      <w:bookmarkEnd w:id="17"/>
      <w:bookmarkEnd w:id="18"/>
    </w:p>
    <w:p>
      <w:pPr>
        <w:pStyle w:val="3"/>
        <w:spacing w:before="0" w:after="0"/>
        <w:ind w:firstLine="643"/>
      </w:pPr>
      <w:bookmarkStart w:id="19" w:name="_Toc1831"/>
      <w:bookmarkStart w:id="20" w:name="_Toc31965"/>
      <w:bookmarkStart w:id="21" w:name="_Toc4177"/>
      <w:bookmarkStart w:id="22" w:name="_Toc11147"/>
      <w:r>
        <w:rPr>
          <w:rFonts w:hint="eastAsia"/>
        </w:rPr>
        <w:t>（一）自评工作组织管理情况</w:t>
      </w:r>
      <w:bookmarkEnd w:id="19"/>
    </w:p>
    <w:p>
      <w:pPr>
        <w:ind w:firstLine="560"/>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w:t>
      </w:r>
      <w:r>
        <w:t>2018〕32号）</w:t>
      </w:r>
      <w:r>
        <w:rPr>
          <w:rFonts w:hint="eastAsia"/>
        </w:rPr>
        <w:t>、</w:t>
      </w:r>
      <w:r>
        <w:t>《甘肃省省级预算绩效管理办法》《甘肃省省级项目支出绩效单位自评工作规程》（甘财绩〔2020〕5号）等文件的要求，联合各相关</w:t>
      </w:r>
      <w:r>
        <w:rPr>
          <w:rFonts w:hint="eastAsia"/>
        </w:rPr>
        <w:t>业务部门</w:t>
      </w:r>
      <w:r>
        <w:t>共同完成此次自评</w:t>
      </w:r>
      <w:r>
        <w:rPr>
          <w:rFonts w:hint="eastAsia"/>
        </w:rPr>
        <w:t>工作。自评工作遵循科学公正、统筹兼顾、激励约束和公开透明的原则，以我院2023年初设定的绩效目标及相关法律法规、政策要求、行业规划、部门职责等为依据，运用定量和定性相结合的评价方法，对我院2023年度省级预算执行情况的经济性、效率性、效益性进行客观公正的分析评价。</w:t>
      </w:r>
    </w:p>
    <w:p>
      <w:pPr>
        <w:pStyle w:val="3"/>
        <w:spacing w:before="0" w:after="0"/>
        <w:ind w:firstLine="643"/>
      </w:pPr>
      <w:bookmarkStart w:id="23" w:name="_Toc26980"/>
      <w:bookmarkStart w:id="24" w:name="_Toc12268"/>
      <w:bookmarkStart w:id="25" w:name="_Toc28216"/>
      <w:bookmarkStart w:id="26" w:name="_Toc13356"/>
      <w:bookmarkStart w:id="27" w:name="_Toc29448"/>
      <w:r>
        <w:rPr>
          <w:rFonts w:hint="eastAsia"/>
        </w:rPr>
        <w:t>（二）自评对象和范围</w:t>
      </w:r>
      <w:bookmarkEnd w:id="23"/>
      <w:bookmarkEnd w:id="24"/>
      <w:bookmarkEnd w:id="25"/>
      <w:bookmarkEnd w:id="26"/>
      <w:bookmarkEnd w:id="27"/>
    </w:p>
    <w:p>
      <w:pPr>
        <w:ind w:firstLine="560"/>
      </w:pPr>
      <w:r>
        <w:rPr>
          <w:rFonts w:hint="eastAsia"/>
        </w:rPr>
        <w:t>本次预算绩效自评价，按照省级部门项目支出、省对市县转移支付、部门整体支出三类评价对象全覆盖的原则，结合我院实际情况，自评所有对象为业务费项目自评、法庭运维费项目自评、中央政法转移支付资金项目自评和部门整体支出自评。</w:t>
      </w:r>
    </w:p>
    <w:p>
      <w:pPr>
        <w:pStyle w:val="3"/>
        <w:spacing w:before="0" w:after="0"/>
        <w:ind w:firstLine="643"/>
      </w:pPr>
      <w:bookmarkStart w:id="28" w:name="_Toc22785"/>
      <w:bookmarkStart w:id="29" w:name="_Toc25203"/>
      <w:bookmarkStart w:id="30" w:name="_Toc25429"/>
      <w:bookmarkStart w:id="31" w:name="_Toc13424"/>
      <w:bookmarkStart w:id="32" w:name="_Toc18694"/>
      <w:r>
        <w:rPr>
          <w:rFonts w:hint="eastAsia"/>
        </w:rPr>
        <w:t>（三）自评工作程序</w:t>
      </w:r>
      <w:bookmarkEnd w:id="28"/>
      <w:bookmarkEnd w:id="29"/>
      <w:bookmarkEnd w:id="30"/>
      <w:bookmarkEnd w:id="31"/>
      <w:bookmarkEnd w:id="32"/>
    </w:p>
    <w:p>
      <w:pPr>
        <w:ind w:firstLine="560"/>
      </w:pPr>
      <w:r>
        <w:rPr>
          <w:rFonts w:hint="eastAsia"/>
        </w:rPr>
        <w:t>本次绩效自评工作主要包括以下工作程序：</w:t>
      </w:r>
    </w:p>
    <w:p>
      <w:pPr>
        <w:ind w:firstLine="560"/>
      </w:pPr>
      <w:r>
        <w:rPr>
          <w:rFonts w:hint="eastAsia"/>
        </w:rPr>
        <w:t>1.根据我院整体支出和项目支出绩效目标的设定情况，收集各业务部门绩效目标实现程度、预算执行进度等绩效评价基础资料。</w:t>
      </w:r>
    </w:p>
    <w:p>
      <w:pPr>
        <w:ind w:firstLine="560"/>
      </w:pPr>
      <w:r>
        <w:rPr>
          <w:rFonts w:hint="eastAsia"/>
        </w:rPr>
        <w:t>2.整理分析相关资料，根据部门职责，以预算执行、部门履职目标效果为重点，统计财政资金预算执行情况和各项绩效目标完成情况，对年初设定的绩效指标及各项指标完成情况进行对比分析，填写《2023年度部门预算执行情况绩效自评报表》，自评表内容完整、分值合理、数据真实、结果客观。</w:t>
      </w:r>
    </w:p>
    <w:p>
      <w:pPr>
        <w:ind w:firstLine="560"/>
      </w:pPr>
      <w:r>
        <w:rPr>
          <w:rFonts w:hint="eastAsia"/>
        </w:rPr>
        <w:t>3.总结评价结论，归纳问题，分析原因，提出改进措施，完成《2023年度预算执行情况自评报告》撰写。</w:t>
      </w:r>
    </w:p>
    <w:p>
      <w:pPr>
        <w:ind w:firstLine="560"/>
      </w:pPr>
      <w:r>
        <w:rPr>
          <w:rFonts w:hint="eastAsia"/>
        </w:rPr>
        <w:t>4.自评表和自评报告完成之后，进行内部审核，对自评表的真实性、完整性、合理性和客观性进行初步审核，并对发现的问题及时反馈和修改，修改完善后报送审核备案。</w:t>
      </w:r>
    </w:p>
    <w:bookmarkEnd w:id="20"/>
    <w:bookmarkEnd w:id="21"/>
    <w:bookmarkEnd w:id="22"/>
    <w:p>
      <w:pPr>
        <w:pStyle w:val="2"/>
        <w:spacing w:before="0" w:after="0"/>
      </w:pPr>
      <w:bookmarkStart w:id="33" w:name="_Toc31556"/>
      <w:bookmarkStart w:id="34" w:name="_Toc32610"/>
      <w:bookmarkStart w:id="35" w:name="_Toc26000"/>
      <w:bookmarkStart w:id="36" w:name="_Toc17042"/>
      <w:r>
        <w:rPr>
          <w:rFonts w:hint="eastAsia"/>
        </w:rPr>
        <w:t>三、部门整体支出绩效自评情况分析</w:t>
      </w:r>
      <w:bookmarkEnd w:id="33"/>
      <w:bookmarkEnd w:id="34"/>
      <w:bookmarkEnd w:id="35"/>
      <w:bookmarkEnd w:id="36"/>
      <w:r>
        <w:tab/>
      </w:r>
    </w:p>
    <w:p>
      <w:pPr>
        <w:pStyle w:val="3"/>
        <w:spacing w:before="0" w:after="0"/>
        <w:ind w:firstLine="643"/>
      </w:pPr>
      <w:bookmarkStart w:id="37" w:name="_Toc8171"/>
      <w:bookmarkStart w:id="38" w:name="_Toc32623"/>
      <w:bookmarkStart w:id="39" w:name="_Toc3483"/>
      <w:bookmarkStart w:id="40" w:name="_Toc22079"/>
      <w:r>
        <w:rPr>
          <w:rFonts w:hint="eastAsia"/>
        </w:rPr>
        <w:t>（一）部门决算情况</w:t>
      </w:r>
      <w:bookmarkEnd w:id="37"/>
      <w:bookmarkEnd w:id="38"/>
      <w:bookmarkEnd w:id="39"/>
      <w:bookmarkEnd w:id="40"/>
    </w:p>
    <w:p>
      <w:pPr>
        <w:ind w:firstLine="560"/>
      </w:pPr>
      <w:r>
        <w:rPr>
          <w:rFonts w:hint="eastAsia"/>
        </w:rPr>
        <w:t>2023年度皋兰县人民法院年初预算1507.88万元，全年预算数2094.79万元，实际支出数1899.99万元，部门整体支出预算执行率为90.70%。</w:t>
      </w:r>
    </w:p>
    <w:p>
      <w:pPr>
        <w:pStyle w:val="3"/>
        <w:spacing w:before="0" w:after="0"/>
        <w:ind w:firstLine="643"/>
      </w:pPr>
      <w:bookmarkStart w:id="41" w:name="_Toc22782"/>
      <w:bookmarkStart w:id="42" w:name="_Toc9978"/>
      <w:bookmarkStart w:id="43" w:name="_Toc21423"/>
      <w:bookmarkStart w:id="44" w:name="_Toc10769"/>
      <w:r>
        <w:rPr>
          <w:rFonts w:hint="eastAsia"/>
        </w:rPr>
        <w:t>（二）总体绩效目标完成情况分析</w:t>
      </w:r>
      <w:bookmarkEnd w:id="41"/>
      <w:bookmarkEnd w:id="42"/>
      <w:bookmarkEnd w:id="43"/>
      <w:bookmarkEnd w:id="44"/>
    </w:p>
    <w:p>
      <w:pPr>
        <w:ind w:firstLine="560"/>
      </w:pPr>
      <w:r>
        <w:rPr>
          <w:rFonts w:hint="eastAsia"/>
        </w:rPr>
        <w:t>经综合评价与分析，皋兰县人民法院2023年度部门整体支出绩效评价最终得分为95.32分，评价结果为“优秀”。最终评分结果如下表所示：</w:t>
      </w:r>
    </w:p>
    <w:p>
      <w:pPr>
        <w:ind w:firstLine="482"/>
        <w:jc w:val="center"/>
        <w:rPr>
          <w:rFonts w:ascii="宋体" w:hAnsi="宋体"/>
        </w:rPr>
      </w:pPr>
      <w:r>
        <w:rPr>
          <w:rFonts w:hint="eastAsia" w:ascii="宋体" w:hAnsi="宋体" w:cs="宋体"/>
          <w:b/>
          <w:bCs/>
          <w:kern w:val="0"/>
          <w:sz w:val="24"/>
        </w:rPr>
        <w:t>2023年度部门整体支出绩效评价指标得分情况</w:t>
      </w:r>
    </w:p>
    <w:tbl>
      <w:tblPr>
        <w:tblStyle w:val="2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一级指标</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156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226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560"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9.07</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90.70%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部门管理</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560"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19.44</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97.20%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履职效果</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60"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56.81</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94.68%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能力建设</w:t>
            </w:r>
          </w:p>
        </w:tc>
        <w:tc>
          <w:tcPr>
            <w:tcW w:w="167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560"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2268" w:type="dxa"/>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color w:val="000000"/>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67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100</w:t>
            </w:r>
          </w:p>
        </w:tc>
        <w:tc>
          <w:tcPr>
            <w:tcW w:w="156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95.32</w:t>
            </w:r>
          </w:p>
        </w:tc>
        <w:tc>
          <w:tcPr>
            <w:tcW w:w="2268"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95.32%</w:t>
            </w:r>
          </w:p>
        </w:tc>
      </w:tr>
    </w:tbl>
    <w:p>
      <w:pPr>
        <w:ind w:firstLine="560"/>
      </w:pPr>
      <w:r>
        <w:rPr>
          <w:rFonts w:hint="eastAsia"/>
        </w:rPr>
        <w:t>2023年主要工作成果及总体绩效目标完成情况：</w:t>
      </w:r>
    </w:p>
    <w:p>
      <w:pPr>
        <w:widowControl/>
        <w:ind w:firstLine="562"/>
        <w:rPr>
          <w:b/>
          <w:bCs/>
        </w:rPr>
      </w:pPr>
      <w:r>
        <w:rPr>
          <w:rFonts w:hint="eastAsia"/>
          <w:b/>
          <w:bCs/>
        </w:rPr>
        <w:t>1.总体绩效目标</w:t>
      </w:r>
    </w:p>
    <w:p>
      <w:pPr>
        <w:ind w:firstLine="560"/>
      </w:pPr>
      <w:r>
        <w:rPr>
          <w:rFonts w:hint="eastAsia"/>
        </w:rPr>
        <w:t>（1）提高审判办案质效，使案件法定审限内结案率达到90%以上。</w:t>
      </w:r>
    </w:p>
    <w:p>
      <w:pPr>
        <w:ind w:firstLine="560"/>
      </w:pPr>
      <w:r>
        <w:rPr>
          <w:rFonts w:hint="eastAsia"/>
        </w:rPr>
        <w:t>（2）加强队伍素质能力建设，本年度计划开展相关业务培训活动，进一步提高干警业务能力，确保我院工作人员技能水平的提升。</w:t>
      </w:r>
    </w:p>
    <w:p>
      <w:pPr>
        <w:ind w:firstLine="560"/>
      </w:pPr>
      <w:r>
        <w:rPr>
          <w:rFonts w:hint="eastAsia"/>
        </w:rPr>
        <w:t>（3）保障我院装备购买等活动支出，保障法院日常运转，履行相关职能。</w:t>
      </w:r>
    </w:p>
    <w:p>
      <w:pPr>
        <w:ind w:firstLine="562"/>
        <w:rPr>
          <w:b/>
          <w:bCs/>
        </w:rPr>
      </w:pPr>
      <w:r>
        <w:rPr>
          <w:rFonts w:hint="eastAsia"/>
          <w:b/>
          <w:bCs/>
        </w:rPr>
        <w:t>2.实际完成情况</w:t>
      </w:r>
    </w:p>
    <w:p>
      <w:pPr>
        <w:ind w:firstLine="560"/>
      </w:pPr>
      <w:r>
        <w:rPr>
          <w:rFonts w:hint="eastAsia"/>
        </w:rPr>
        <w:t>（1）我院本年度受理案件工作、审理执行案件工作、审判民商事案件工作、审判刑事案件案件、审判行政案件工作均已完成，有效保障了审判服务，案件法定审限内结案率达到99.06%。</w:t>
      </w:r>
    </w:p>
    <w:p>
      <w:pPr>
        <w:ind w:firstLine="560"/>
      </w:pPr>
      <w:r>
        <w:rPr>
          <w:rFonts w:hint="eastAsia"/>
        </w:rPr>
        <w:t>（2）我院抓实教育培训，切实提升司法能力，加强能力建设，实施能力提升系列工程，培育复合型司法人才。</w:t>
      </w:r>
    </w:p>
    <w:p>
      <w:pPr>
        <w:ind w:firstLine="560"/>
      </w:pPr>
      <w:r>
        <w:rPr>
          <w:rFonts w:hint="eastAsia"/>
        </w:rPr>
        <w:t>（3）完成装备购置工作，采购执法执勤用车1辆。</w:t>
      </w:r>
    </w:p>
    <w:p>
      <w:pPr>
        <w:pStyle w:val="3"/>
        <w:spacing w:before="0" w:after="0"/>
        <w:ind w:firstLine="643"/>
      </w:pPr>
      <w:bookmarkStart w:id="45" w:name="_Toc18553"/>
      <w:bookmarkStart w:id="46" w:name="_Toc7799"/>
      <w:bookmarkStart w:id="47" w:name="_Toc32642"/>
      <w:bookmarkStart w:id="48" w:name="_Toc17819"/>
      <w:r>
        <w:rPr>
          <w:rFonts w:hint="eastAsia"/>
        </w:rPr>
        <w:t>（三）各项指标完成情况分析</w:t>
      </w:r>
      <w:bookmarkEnd w:id="45"/>
      <w:bookmarkEnd w:id="46"/>
      <w:bookmarkEnd w:id="47"/>
      <w:bookmarkEnd w:id="48"/>
    </w:p>
    <w:p>
      <w:pPr>
        <w:pStyle w:val="4"/>
        <w:ind w:firstLine="562"/>
      </w:pPr>
      <w:r>
        <w:t>1</w:t>
      </w:r>
      <w:r>
        <w:rPr>
          <w:rFonts w:hint="eastAsia"/>
        </w:rPr>
        <w:t>.部门整体支出</w:t>
      </w:r>
      <w:r>
        <w:t>预算执行率</w:t>
      </w:r>
      <w:r>
        <w:rPr>
          <w:rFonts w:hint="eastAsia"/>
        </w:rPr>
        <w:t>完成情况分析</w:t>
      </w:r>
    </w:p>
    <w:p>
      <w:pPr>
        <w:ind w:firstLine="560"/>
      </w:pPr>
      <w:r>
        <w:rPr>
          <w:rFonts w:hint="eastAsia"/>
        </w:rPr>
        <w:t>根据《皋兰县人民法院2023年度决算报表》及相关资料，我院2023年年初预算1507.88万元，全年预算数2094.79万元，实际支出数1899.99万元，部门整体支出预算执行率为90.70%。该指标分值10分，自评得分为9.07分，得分率为90.70%。</w:t>
      </w:r>
    </w:p>
    <w:p>
      <w:pPr>
        <w:pStyle w:val="4"/>
        <w:ind w:firstLine="562"/>
      </w:pPr>
      <w:r>
        <w:t>2</w:t>
      </w:r>
      <w:r>
        <w:rPr>
          <w:rFonts w:hint="eastAsia"/>
        </w:rPr>
        <w:t>.</w:t>
      </w:r>
      <w:r>
        <w:t>部门管理</w:t>
      </w:r>
      <w:r>
        <w:rPr>
          <w:rFonts w:hint="eastAsia"/>
        </w:rPr>
        <w:t>目标完成情况分析</w:t>
      </w:r>
    </w:p>
    <w:p>
      <w:pPr>
        <w:ind w:firstLine="560"/>
      </w:pPr>
      <w:r>
        <w:rPr>
          <w:rFonts w:hint="eastAsia"/>
        </w:rPr>
        <w:t>部门管理指标包括资金投入、财务管理、采购管理、资产管理、人员管理、重点工作管理6个二级指标，下设10个三级指标。指标分值20分，自评得分19.44分，得分率97.20%。具体如下表：</w:t>
      </w:r>
    </w:p>
    <w:tbl>
      <w:tblPr>
        <w:tblStyle w:val="25"/>
        <w:tblW w:w="912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2665"/>
        <w:gridCol w:w="1305"/>
        <w:gridCol w:w="1125"/>
        <w:gridCol w:w="810"/>
        <w:gridCol w:w="845"/>
        <w:gridCol w:w="113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二级指标</w:t>
            </w:r>
          </w:p>
        </w:tc>
        <w:tc>
          <w:tcPr>
            <w:tcW w:w="266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三级指标</w:t>
            </w:r>
          </w:p>
        </w:tc>
        <w:tc>
          <w:tcPr>
            <w:tcW w:w="130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年度</w:t>
            </w:r>
          </w:p>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指标值</w:t>
            </w:r>
          </w:p>
        </w:tc>
        <w:tc>
          <w:tcPr>
            <w:tcW w:w="112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实际</w:t>
            </w:r>
          </w:p>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完成值</w:t>
            </w:r>
          </w:p>
        </w:tc>
        <w:tc>
          <w:tcPr>
            <w:tcW w:w="810"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分值</w:t>
            </w:r>
          </w:p>
        </w:tc>
        <w:tc>
          <w:tcPr>
            <w:tcW w:w="845"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自评得分</w:t>
            </w:r>
          </w:p>
        </w:tc>
        <w:tc>
          <w:tcPr>
            <w:tcW w:w="1131"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widowControl/>
              <w:ind w:firstLine="0" w:firstLineChars="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资金投入</w:t>
            </w:r>
          </w:p>
          <w:p>
            <w:pPr>
              <w:widowControl/>
              <w:ind w:firstLine="0" w:firstLineChars="0"/>
              <w:textAlignment w:val="center"/>
              <w:rPr>
                <w:rFonts w:ascii="宋体" w:hAnsi="宋体" w:eastAsia="宋体" w:cs="宋体"/>
                <w:color w:val="000000"/>
                <w:kern w:val="0"/>
                <w:sz w:val="24"/>
                <w:szCs w:val="24"/>
              </w:rPr>
            </w:pP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基本支出预算执行率</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99.90%</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widowControl/>
              <w:ind w:firstLine="0" w:firstLineChars="0"/>
              <w:textAlignment w:val="center"/>
              <w:rPr>
                <w:rFonts w:ascii="宋体" w:hAnsi="宋体" w:eastAsia="宋体" w:cs="宋体"/>
                <w:color w:val="000000"/>
                <w:kern w:val="0"/>
                <w:sz w:val="24"/>
                <w:szCs w:val="24"/>
              </w:rPr>
            </w:pP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项目支出预算执行率</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72.31%</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1.45</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72.50%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widowControl/>
              <w:ind w:firstLine="0" w:firstLineChars="0"/>
              <w:textAlignment w:val="center"/>
              <w:rPr>
                <w:rFonts w:ascii="宋体" w:hAnsi="宋体" w:eastAsia="宋体" w:cs="宋体"/>
                <w:color w:val="000000"/>
                <w:kern w:val="0"/>
                <w:sz w:val="24"/>
                <w:szCs w:val="24"/>
              </w:rPr>
            </w:pP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“三公经费”控制率</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&lt;=100.00%</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99.81%</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widowControl/>
              <w:ind w:firstLine="0" w:firstLineChars="0"/>
              <w:textAlignment w:val="center"/>
              <w:rPr>
                <w:rFonts w:ascii="宋体" w:hAnsi="宋体" w:eastAsia="宋体" w:cs="宋体"/>
                <w:color w:val="000000"/>
                <w:kern w:val="0"/>
                <w:sz w:val="24"/>
                <w:szCs w:val="24"/>
              </w:rPr>
            </w:pP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结转结余变动率</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&lt;=0%</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-44.70%</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8"/>
              </w:rPr>
            </w:pPr>
            <w:r>
              <w:rPr>
                <w:rFonts w:hint="eastAsia" w:ascii="宋体" w:hAnsi="宋体" w:eastAsia="宋体" w:cs="宋体"/>
                <w:color w:val="000000"/>
                <w:kern w:val="0"/>
                <w:sz w:val="24"/>
                <w:szCs w:val="24"/>
              </w:rPr>
              <w:t>财务管理</w:t>
            </w: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财务管理制度健全性</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健全</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健全</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8"/>
              </w:rPr>
            </w:pPr>
            <w:r>
              <w:rPr>
                <w:rFonts w:hint="eastAsia" w:ascii="宋体" w:hAnsi="宋体" w:eastAsia="宋体" w:cs="宋体"/>
                <w:color w:val="000000"/>
                <w:kern w:val="0"/>
                <w:sz w:val="24"/>
                <w:szCs w:val="24"/>
              </w:rPr>
              <w:t>财务管理</w:t>
            </w: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资金使用规范性</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规范</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规范</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8"/>
              </w:rPr>
            </w:pPr>
            <w:r>
              <w:rPr>
                <w:rFonts w:hint="eastAsia" w:ascii="宋体" w:hAnsi="宋体" w:eastAsia="宋体" w:cs="宋体"/>
                <w:color w:val="000000"/>
                <w:kern w:val="0"/>
                <w:sz w:val="24"/>
                <w:szCs w:val="24"/>
              </w:rPr>
              <w:t>采购管理</w:t>
            </w: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政府采购规范性</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规范</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规范</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资产管理</w:t>
            </w: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资产管理规范性</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规范</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规范</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人员管理</w:t>
            </w: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在职人员控制率</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&lt;=100.00%</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94.12%</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重点工作管理</w:t>
            </w:r>
          </w:p>
        </w:tc>
        <w:tc>
          <w:tcPr>
            <w:tcW w:w="266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重点工作管理制度健全性</w:t>
            </w:r>
          </w:p>
        </w:tc>
        <w:tc>
          <w:tcPr>
            <w:tcW w:w="13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健全</w:t>
            </w:r>
          </w:p>
        </w:tc>
        <w:tc>
          <w:tcPr>
            <w:tcW w:w="112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健全</w:t>
            </w:r>
          </w:p>
        </w:tc>
        <w:tc>
          <w:tcPr>
            <w:tcW w:w="81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2</w:t>
            </w:r>
          </w:p>
        </w:tc>
        <w:tc>
          <w:tcPr>
            <w:tcW w:w="113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266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30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12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810"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845"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19.44</w:t>
            </w:r>
          </w:p>
        </w:tc>
        <w:tc>
          <w:tcPr>
            <w:tcW w:w="1131" w:type="dxa"/>
            <w:shd w:val="clear" w:color="auto" w:fill="BDD6EE"/>
            <w:vAlign w:val="center"/>
          </w:tcPr>
          <w:p>
            <w:pPr>
              <w:widowControl/>
              <w:ind w:firstLine="0" w:firstLineChars="0"/>
              <w:textAlignment w:val="center"/>
              <w:rPr>
                <w:rFonts w:ascii="宋体" w:hAnsi="宋体" w:eastAsia="宋体" w:cs="宋体"/>
                <w:kern w:val="0"/>
                <w:sz w:val="22"/>
              </w:rPr>
            </w:pPr>
            <w:r>
              <w:rPr>
                <w:rFonts w:hint="eastAsia" w:ascii="宋体" w:hAnsi="宋体" w:eastAsia="宋体" w:cs="宋体"/>
                <w:b/>
                <w:bCs/>
                <w:color w:val="000000"/>
                <w:kern w:val="0"/>
                <w:sz w:val="22"/>
              </w:rPr>
              <w:t>97.20%</w:t>
            </w:r>
          </w:p>
        </w:tc>
      </w:tr>
    </w:tbl>
    <w:p>
      <w:pPr>
        <w:ind w:firstLine="562"/>
        <w:rPr>
          <w:rFonts w:hAnsi="宋体"/>
          <w:szCs w:val="28"/>
        </w:rPr>
      </w:pPr>
      <w:r>
        <w:rPr>
          <w:rFonts w:hint="eastAsia" w:hAnsi="宋体"/>
          <w:b/>
          <w:bCs/>
          <w:szCs w:val="28"/>
        </w:rPr>
        <w:t>基本支出预算执行率：</w:t>
      </w:r>
      <w:r>
        <w:rPr>
          <w:rFonts w:hint="eastAsia" w:hAnsi="宋体"/>
          <w:szCs w:val="28"/>
        </w:rPr>
        <w:t>2023年度我院基本支出全年预算数1396.46万元，实际支出数均为1395.01万元，基本支出预算执行率为99.90%。该指标分值2分，自评得分2分，得分率为100.00%。</w:t>
      </w:r>
    </w:p>
    <w:p>
      <w:pPr>
        <w:ind w:firstLine="562"/>
        <w:rPr>
          <w:rFonts w:hAnsi="宋体"/>
          <w:szCs w:val="28"/>
        </w:rPr>
      </w:pPr>
      <w:r>
        <w:rPr>
          <w:rFonts w:hint="eastAsia" w:hAnsi="宋体"/>
          <w:b/>
          <w:bCs/>
          <w:szCs w:val="28"/>
        </w:rPr>
        <w:t>项目支出预算执行率：</w:t>
      </w:r>
      <w:r>
        <w:rPr>
          <w:rFonts w:hint="eastAsia" w:hAnsi="宋体"/>
          <w:szCs w:val="28"/>
        </w:rPr>
        <w:t>2023年度我院项目支出全年预算数698.33万元，实际支出数均为504.98万元，项目支出预算执行率为72.31%。该指标分值2分，自评得分1.45分，得分率为72.50%。</w:t>
      </w:r>
    </w:p>
    <w:p>
      <w:pPr>
        <w:ind w:firstLine="562"/>
        <w:rPr>
          <w:rFonts w:hAnsi="宋体"/>
          <w:szCs w:val="28"/>
        </w:rPr>
      </w:pPr>
      <w:r>
        <w:rPr>
          <w:rFonts w:hint="eastAsia" w:hAnsi="宋体"/>
          <w:b/>
          <w:bCs/>
          <w:szCs w:val="28"/>
        </w:rPr>
        <w:t>“三公经费”控制率：</w:t>
      </w:r>
      <w:r>
        <w:rPr>
          <w:rFonts w:hint="eastAsia" w:hAnsi="宋体"/>
          <w:szCs w:val="28"/>
        </w:rPr>
        <w:t>2023年“三公经费”年初预算数77.33万元，实际支出数63.32万元，“三公经费”控制率为99.81%，达到年度目标值。该指标分值2分，自评得分2分，得分率为100.00%。</w:t>
      </w:r>
    </w:p>
    <w:p>
      <w:pPr>
        <w:ind w:firstLine="562"/>
      </w:pPr>
      <w:r>
        <w:rPr>
          <w:rFonts w:hint="eastAsia" w:hAnsi="宋体"/>
          <w:b/>
          <w:bCs/>
          <w:szCs w:val="28"/>
        </w:rPr>
        <w:t>结转结余变动率：</w:t>
      </w:r>
      <w:r>
        <w:rPr>
          <w:rFonts w:hint="eastAsia" w:hAnsi="宋体"/>
          <w:szCs w:val="28"/>
        </w:rPr>
        <w:t>我院2022年结转结余352.22万元，2023年结转结余194.79万元，结转结余资金变动率为-44.70%，年度目标值小于等于0%。该指标分值2分，自评得分2分，得分率为100.00%。</w:t>
      </w:r>
    </w:p>
    <w:p>
      <w:pPr>
        <w:ind w:firstLine="562"/>
        <w:rPr>
          <w:rFonts w:hAnsi="宋体"/>
          <w:szCs w:val="28"/>
        </w:rPr>
      </w:pPr>
      <w:r>
        <w:rPr>
          <w:rFonts w:hint="eastAsia" w:hAnsi="宋体"/>
          <w:b/>
          <w:bCs/>
          <w:szCs w:val="28"/>
        </w:rPr>
        <w:t>财务管理制度健全性：</w:t>
      </w:r>
      <w:r>
        <w:rPr>
          <w:rFonts w:hint="eastAsia" w:hAnsi="宋体"/>
          <w:szCs w:val="28"/>
        </w:rPr>
        <w:t>我院根据制定了的相关财务制度，经费收支管理以及票据管理等事项有完备的审批流程和管控手续，在预算执行、事项支出、会计核算以及重大事项支出程序等方面不存在不规范现象，财务管理制度内容完备，具备可操作性。该指标分值2分，自评得分2分，得分率为100.00%。</w:t>
      </w:r>
    </w:p>
    <w:p>
      <w:pPr>
        <w:ind w:firstLine="562"/>
        <w:rPr>
          <w:rFonts w:hAnsi="宋体"/>
          <w:szCs w:val="28"/>
        </w:rPr>
      </w:pPr>
      <w:r>
        <w:rPr>
          <w:rFonts w:hint="eastAsia" w:hAnsi="宋体"/>
          <w:b/>
          <w:bCs/>
          <w:szCs w:val="28"/>
        </w:rPr>
        <w:t>资金使用规范性：</w:t>
      </w:r>
      <w:r>
        <w:rPr>
          <w:rFonts w:hint="eastAsia" w:hAnsi="宋体"/>
          <w:szCs w:val="28"/>
        </w:rPr>
        <w:t>我院资金支出总体上审批程序合规、手续齐全，支出内容符合省财政预算批复规定的用途，严格使用公务卡报销，有效提高了财务资金使用的合理性和规范性,防止了国有资金流失。该指标分值2分，自评得分2分，得分率为100.00%。</w:t>
      </w:r>
    </w:p>
    <w:p>
      <w:pPr>
        <w:ind w:firstLine="562"/>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我院采购实际执行情况与采购计划安排无差异。采购事项严格执行相关标准，采购业务符合政府采购相关规定。指标分值2分，自评得分2分，得分率为100.00%。</w:t>
      </w:r>
    </w:p>
    <w:p>
      <w:pPr>
        <w:ind w:firstLine="562"/>
        <w:rPr>
          <w:rFonts w:hAnsi="宋体"/>
          <w:szCs w:val="28"/>
        </w:rPr>
      </w:pPr>
      <w:r>
        <w:rPr>
          <w:rFonts w:hint="eastAsia" w:hAnsi="宋体"/>
          <w:b/>
          <w:bCs/>
          <w:szCs w:val="28"/>
        </w:rPr>
        <w:t>资产管理规范性：</w:t>
      </w:r>
      <w:r>
        <w:rPr>
          <w:rFonts w:hint="eastAsia" w:hAnsi="宋体"/>
          <w:szCs w:val="28"/>
        </w:rPr>
        <w:t>2023年我院账务和资产卡片数据相符，资产卡片与实物相符，各类资产保存完整、使用合规、配置合理、处置规范，资产处置收入能够及时足额上缴财政，资产管理符合相关要求。该指标分值2分，自评得分2分，得分率为100.00%。</w:t>
      </w:r>
    </w:p>
    <w:p>
      <w:pPr>
        <w:ind w:firstLine="562"/>
        <w:rPr>
          <w:rFonts w:hAnsi="宋体"/>
          <w:szCs w:val="28"/>
        </w:rPr>
      </w:pPr>
      <w:r>
        <w:rPr>
          <w:rFonts w:hint="eastAsia" w:hAnsi="宋体"/>
          <w:b/>
          <w:bCs/>
          <w:szCs w:val="28"/>
        </w:rPr>
        <w:t>在职人员控制率：</w:t>
      </w:r>
      <w:r>
        <w:rPr>
          <w:rFonts w:hint="eastAsia" w:hAnsi="宋体"/>
          <w:szCs w:val="28"/>
        </w:rPr>
        <w:t>我院人员管理规范，部门整体的财政供养人员规模得到有效控制，编制数51人，实有人数48人,在职人员控制率94.12%，达到目标值。该指标分值2分，自评得分2分，得分率为100.00%。</w:t>
      </w:r>
    </w:p>
    <w:p>
      <w:pPr>
        <w:ind w:firstLine="562"/>
        <w:rPr>
          <w:rFonts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我院针对重点工作，修订并完善了相关案件审判制度，制度合法、合规、完整，并且能够有效执行和指导重点工作的有效推进和实施。指标分值2分，自评得分2分，得分率为100.00%。</w:t>
      </w:r>
    </w:p>
    <w:p>
      <w:pPr>
        <w:pStyle w:val="4"/>
        <w:ind w:firstLine="562"/>
      </w:pPr>
      <w:bookmarkStart w:id="49" w:name="_Toc40046032"/>
      <w:r>
        <w:rPr>
          <w:rFonts w:hint="eastAsia"/>
        </w:rPr>
        <w:t>3.履职效果</w:t>
      </w:r>
      <w:bookmarkEnd w:id="49"/>
      <w:r>
        <w:rPr>
          <w:rFonts w:hint="eastAsia"/>
        </w:rPr>
        <w:t>目标完成情况分析</w:t>
      </w:r>
    </w:p>
    <w:p>
      <w:pPr>
        <w:ind w:firstLine="560"/>
      </w:pPr>
      <w:r>
        <w:rPr>
          <w:rFonts w:hint="eastAsia"/>
        </w:rPr>
        <w:t>履职效果指标包括部门履职目标、部门效果、服务对象满意度及社会影响4个二级指标，下设22个三级指标。履职效果指标分值60分，自评得分56.81分，得分率94.68%。</w:t>
      </w:r>
      <w:r>
        <w:rPr>
          <w:rFonts w:hint="eastAsia"/>
        </w:rPr>
        <w:tab/>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92"/>
        <w:gridCol w:w="2541"/>
        <w:gridCol w:w="1395"/>
        <w:gridCol w:w="1080"/>
        <w:gridCol w:w="915"/>
        <w:gridCol w:w="875"/>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二级指标</w:t>
            </w:r>
          </w:p>
        </w:tc>
        <w:tc>
          <w:tcPr>
            <w:tcW w:w="2541"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三级指标</w:t>
            </w:r>
          </w:p>
        </w:tc>
        <w:tc>
          <w:tcPr>
            <w:tcW w:w="139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年度</w:t>
            </w:r>
          </w:p>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指标值</w:t>
            </w:r>
          </w:p>
        </w:tc>
        <w:tc>
          <w:tcPr>
            <w:tcW w:w="108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实际</w:t>
            </w:r>
          </w:p>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完成值</w:t>
            </w:r>
          </w:p>
        </w:tc>
        <w:tc>
          <w:tcPr>
            <w:tcW w:w="915"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分值</w:t>
            </w:r>
          </w:p>
        </w:tc>
        <w:tc>
          <w:tcPr>
            <w:tcW w:w="875"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自评得分</w:t>
            </w:r>
          </w:p>
        </w:tc>
        <w:tc>
          <w:tcPr>
            <w:tcW w:w="1071"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restart"/>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部门履职目标</w:t>
            </w:r>
          </w:p>
        </w:tc>
        <w:tc>
          <w:tcPr>
            <w:tcW w:w="254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产出数量指标1-刑事案件审结率</w:t>
            </w:r>
          </w:p>
        </w:tc>
        <w:tc>
          <w:tcPr>
            <w:tcW w:w="139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&gt;=90%</w:t>
            </w:r>
          </w:p>
        </w:tc>
        <w:tc>
          <w:tcPr>
            <w:tcW w:w="1080"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92.72%</w:t>
            </w:r>
          </w:p>
        </w:tc>
        <w:tc>
          <w:tcPr>
            <w:tcW w:w="91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2.4</w:t>
            </w:r>
          </w:p>
        </w:tc>
        <w:tc>
          <w:tcPr>
            <w:tcW w:w="87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2.4</w:t>
            </w:r>
          </w:p>
        </w:tc>
        <w:tc>
          <w:tcPr>
            <w:tcW w:w="107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产出数量指标2-民商事案件审结率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&gt;=85%</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92.76%</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000000"/>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产出数量指标3-行政案件审结率</w:t>
            </w:r>
          </w:p>
        </w:tc>
        <w:tc>
          <w:tcPr>
            <w:tcW w:w="139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&gt;=90%</w:t>
            </w:r>
          </w:p>
        </w:tc>
        <w:tc>
          <w:tcPr>
            <w:tcW w:w="1080"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0.00%</w:t>
            </w:r>
          </w:p>
        </w:tc>
        <w:tc>
          <w:tcPr>
            <w:tcW w:w="91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0</w:t>
            </w:r>
          </w:p>
        </w:tc>
        <w:tc>
          <w:tcPr>
            <w:tcW w:w="107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产出数量指标4-执行案件结案率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&gt;=85%</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99.61%</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产出数量指标5-装备购置完成率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产出数量指标6-维修改造项目完成率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产出质量指标1-一审服判息诉率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&gt;=85%</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87.29%</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产出质量指标2-上诉案件改判率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&lt;=6%</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3.19%</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产出质量指标3-上诉案件发回重审率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&lt;=3%</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1.88%</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90"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产出质量指标4-购置装备验收合格率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产出质量指标5-维修改造项目验收合格率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产出时效指标1-法定审限内结案率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&gt;=90%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99.06%</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产出时效指标2-装备购置及时性</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及时</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产出时效指标3-维修改造项目完成及时性</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及时</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333333"/>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产出成本指标-成本控制情况</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在预算范围内</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restart"/>
            <w:vAlign w:val="center"/>
          </w:tcPr>
          <w:p>
            <w:pPr>
              <w:widowControl/>
              <w:ind w:firstLine="0" w:firstLineChars="0"/>
              <w:textAlignment w:val="center"/>
              <w:rPr>
                <w:rFonts w:ascii="宋体" w:hAnsi="宋体" w:eastAsia="宋体" w:cs="宋体"/>
                <w:color w:val="333333"/>
                <w:kern w:val="0"/>
                <w:sz w:val="24"/>
                <w:szCs w:val="24"/>
              </w:rPr>
            </w:pPr>
            <w:r>
              <w:rPr>
                <w:rFonts w:hint="eastAsia" w:ascii="宋体" w:hAnsi="宋体" w:eastAsia="宋体" w:cs="宋体"/>
                <w:color w:val="333333"/>
                <w:kern w:val="0"/>
                <w:sz w:val="22"/>
              </w:rPr>
              <w:t>部门效果目标</w:t>
            </w: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经济效益指标-执行标的到位率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62.73%</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1.87</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78.57%</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000000"/>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社会效益指标1-民商事案件调撤率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&gt;=52%</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57.11%</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000000"/>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社会效益指标2-当庭宣判率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90.25%</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000000"/>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社会效益指标3-一审案件陪审率</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&gt;=96%</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96%</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服务对象满意度</w:t>
            </w:r>
          </w:p>
        </w:tc>
        <w:tc>
          <w:tcPr>
            <w:tcW w:w="254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当事人满意度</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&gt;=90%</w:t>
            </w:r>
          </w:p>
        </w:tc>
        <w:tc>
          <w:tcPr>
            <w:tcW w:w="108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92%</w:t>
            </w:r>
          </w:p>
        </w:tc>
        <w:tc>
          <w:tcPr>
            <w:tcW w:w="91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7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restart"/>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社会影响</w:t>
            </w:r>
          </w:p>
        </w:tc>
        <w:tc>
          <w:tcPr>
            <w:tcW w:w="254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单位获奖情况</w:t>
            </w:r>
          </w:p>
        </w:tc>
        <w:tc>
          <w:tcPr>
            <w:tcW w:w="139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&gt;=1</w:t>
            </w:r>
          </w:p>
        </w:tc>
        <w:tc>
          <w:tcPr>
            <w:tcW w:w="1080"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3</w:t>
            </w:r>
          </w:p>
        </w:tc>
        <w:tc>
          <w:tcPr>
            <w:tcW w:w="91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2.08</w:t>
            </w:r>
          </w:p>
        </w:tc>
        <w:tc>
          <w:tcPr>
            <w:tcW w:w="107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87.39%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vMerge w:val="continue"/>
            <w:vAlign w:val="center"/>
          </w:tcPr>
          <w:p>
            <w:pPr>
              <w:ind w:firstLine="480"/>
              <w:jc w:val="center"/>
              <w:rPr>
                <w:rFonts w:ascii="宋体" w:hAnsi="宋体" w:eastAsia="宋体" w:cs="宋体"/>
                <w:color w:val="000000"/>
                <w:kern w:val="0"/>
                <w:sz w:val="24"/>
                <w:szCs w:val="24"/>
              </w:rPr>
            </w:pPr>
          </w:p>
        </w:tc>
        <w:tc>
          <w:tcPr>
            <w:tcW w:w="254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违法违纪情况</w:t>
            </w:r>
          </w:p>
        </w:tc>
        <w:tc>
          <w:tcPr>
            <w:tcW w:w="139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=0</w:t>
            </w:r>
          </w:p>
        </w:tc>
        <w:tc>
          <w:tcPr>
            <w:tcW w:w="1080"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0</w:t>
            </w:r>
          </w:p>
        </w:tc>
        <w:tc>
          <w:tcPr>
            <w:tcW w:w="91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000000"/>
                <w:kern w:val="0"/>
                <w:sz w:val="22"/>
              </w:rPr>
              <w:t>2.38</w:t>
            </w:r>
          </w:p>
        </w:tc>
        <w:tc>
          <w:tcPr>
            <w:tcW w:w="875"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2.38</w:t>
            </w:r>
          </w:p>
        </w:tc>
        <w:tc>
          <w:tcPr>
            <w:tcW w:w="1071" w:type="dxa"/>
            <w:vAlign w:val="center"/>
          </w:tcPr>
          <w:p>
            <w:pPr>
              <w:widowControl/>
              <w:ind w:firstLine="0" w:firstLineChars="0"/>
              <w:jc w:val="left"/>
              <w:textAlignment w:val="center"/>
              <w:rPr>
                <w:rFonts w:ascii="宋体" w:hAnsi="宋体" w:eastAsia="宋体" w:cs="宋体"/>
                <w:color w:val="000000"/>
                <w:kern w:val="0"/>
                <w:sz w:val="24"/>
                <w:szCs w:val="24"/>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192" w:type="dxa"/>
            <w:shd w:val="clear" w:color="auto" w:fill="BDD6EE"/>
            <w:vAlign w:val="center"/>
          </w:tcPr>
          <w:p>
            <w:pPr>
              <w:widowControl/>
              <w:ind w:firstLine="0" w:firstLineChars="0"/>
              <w:textAlignment w:val="center"/>
              <w:rPr>
                <w:rFonts w:ascii="宋体" w:hAnsi="宋体" w:eastAsia="宋体" w:cs="宋体"/>
                <w:b/>
                <w:color w:val="000000"/>
                <w:kern w:val="0"/>
                <w:sz w:val="24"/>
                <w:szCs w:val="24"/>
              </w:rPr>
            </w:pPr>
            <w:r>
              <w:rPr>
                <w:rFonts w:hint="eastAsia" w:ascii="宋体" w:hAnsi="宋体" w:eastAsia="宋体" w:cs="宋体"/>
                <w:b/>
                <w:bCs/>
                <w:color w:val="000000"/>
                <w:kern w:val="0"/>
                <w:sz w:val="24"/>
                <w:szCs w:val="24"/>
              </w:rPr>
              <w:t>合计</w:t>
            </w:r>
          </w:p>
        </w:tc>
        <w:tc>
          <w:tcPr>
            <w:tcW w:w="2541" w:type="dxa"/>
            <w:shd w:val="clear" w:color="auto" w:fill="BDD6EE"/>
            <w:vAlign w:val="center"/>
          </w:tcPr>
          <w:p>
            <w:pPr>
              <w:widowControl/>
              <w:ind w:firstLine="482"/>
              <w:jc w:val="center"/>
              <w:textAlignment w:val="center"/>
              <w:rPr>
                <w:rFonts w:ascii="宋体" w:hAnsi="宋体" w:eastAsia="宋体" w:cs="宋体"/>
                <w:b/>
                <w:color w:val="000000"/>
                <w:kern w:val="0"/>
                <w:sz w:val="24"/>
                <w:szCs w:val="24"/>
              </w:rPr>
            </w:pPr>
          </w:p>
        </w:tc>
        <w:tc>
          <w:tcPr>
            <w:tcW w:w="1395" w:type="dxa"/>
            <w:shd w:val="clear" w:color="auto" w:fill="BDD6EE"/>
            <w:vAlign w:val="center"/>
          </w:tcPr>
          <w:p>
            <w:pPr>
              <w:widowControl/>
              <w:ind w:firstLine="482"/>
              <w:jc w:val="center"/>
              <w:textAlignment w:val="center"/>
              <w:rPr>
                <w:rFonts w:ascii="宋体" w:hAnsi="宋体" w:eastAsia="宋体" w:cs="宋体"/>
                <w:b/>
                <w:color w:val="000000"/>
                <w:kern w:val="0"/>
                <w:sz w:val="24"/>
                <w:szCs w:val="24"/>
              </w:rPr>
            </w:pPr>
          </w:p>
        </w:tc>
        <w:tc>
          <w:tcPr>
            <w:tcW w:w="1080" w:type="dxa"/>
            <w:shd w:val="clear" w:color="auto" w:fill="BDD6EE"/>
            <w:vAlign w:val="center"/>
          </w:tcPr>
          <w:p>
            <w:pPr>
              <w:widowControl/>
              <w:ind w:firstLine="482"/>
              <w:jc w:val="center"/>
              <w:textAlignment w:val="center"/>
              <w:rPr>
                <w:rFonts w:ascii="宋体" w:hAnsi="宋体" w:eastAsia="宋体" w:cs="宋体"/>
                <w:b/>
                <w:color w:val="000000"/>
                <w:kern w:val="0"/>
                <w:sz w:val="24"/>
                <w:szCs w:val="24"/>
              </w:rPr>
            </w:pPr>
          </w:p>
        </w:tc>
        <w:tc>
          <w:tcPr>
            <w:tcW w:w="915" w:type="dxa"/>
            <w:shd w:val="clear" w:color="auto" w:fill="BDD6EE"/>
            <w:vAlign w:val="center"/>
          </w:tcPr>
          <w:p>
            <w:pPr>
              <w:widowControl/>
              <w:ind w:firstLine="0" w:firstLineChars="0"/>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60</w:t>
            </w:r>
          </w:p>
        </w:tc>
        <w:tc>
          <w:tcPr>
            <w:tcW w:w="875" w:type="dxa"/>
            <w:shd w:val="clear" w:color="auto" w:fill="BDD6EE"/>
            <w:vAlign w:val="center"/>
          </w:tcPr>
          <w:p>
            <w:pPr>
              <w:widowControl/>
              <w:ind w:firstLine="0" w:firstLineChars="0"/>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56.81</w:t>
            </w:r>
          </w:p>
        </w:tc>
        <w:tc>
          <w:tcPr>
            <w:tcW w:w="1071" w:type="dxa"/>
            <w:shd w:val="clear" w:color="auto" w:fill="BDD6EE"/>
            <w:vAlign w:val="center"/>
          </w:tcPr>
          <w:p>
            <w:pPr>
              <w:widowControl/>
              <w:ind w:firstLine="0" w:firstLineChars="0"/>
              <w:textAlignment w:val="center"/>
              <w:rPr>
                <w:rFonts w:ascii="宋体" w:hAnsi="宋体" w:eastAsia="宋体" w:cs="宋体"/>
                <w:kern w:val="0"/>
                <w:sz w:val="24"/>
                <w:szCs w:val="24"/>
              </w:rPr>
            </w:pPr>
            <w:r>
              <w:rPr>
                <w:rFonts w:hint="eastAsia" w:ascii="宋体" w:hAnsi="宋体" w:eastAsia="宋体" w:cs="宋体"/>
                <w:b/>
                <w:bCs/>
                <w:color w:val="000000"/>
                <w:kern w:val="0"/>
                <w:sz w:val="24"/>
                <w:szCs w:val="24"/>
              </w:rPr>
              <w:t>94.68%</w:t>
            </w:r>
          </w:p>
        </w:tc>
      </w:tr>
    </w:tbl>
    <w:p>
      <w:pPr>
        <w:ind w:firstLine="562"/>
      </w:pPr>
      <w:r>
        <w:rPr>
          <w:rFonts w:hint="eastAsia"/>
          <w:b/>
          <w:bCs/>
        </w:rPr>
        <w:t>刑事案件审结率：</w:t>
      </w:r>
      <w:r>
        <w:rPr>
          <w:rFonts w:hint="eastAsia"/>
        </w:rPr>
        <w:t>我院刑事案件立案数151件，刑事案件结案数140件，年度指标值大于等于90%，实际完成92.72%，该指标分值2.4分，自评得分2.4分，得分率为100.00%。</w:t>
      </w:r>
    </w:p>
    <w:p>
      <w:pPr>
        <w:ind w:firstLine="562"/>
      </w:pPr>
      <w:r>
        <w:rPr>
          <w:rFonts w:hint="eastAsia"/>
          <w:b/>
          <w:bCs/>
        </w:rPr>
        <w:t>民商事案件审结率：</w:t>
      </w:r>
      <w:r>
        <w:rPr>
          <w:rFonts w:hint="eastAsia"/>
        </w:rPr>
        <w:t>我院民商事案件立案数2706件，民商事案件结案数2510件，年度指标值大于等于85%，实际完成92.76%，该指标分值2.38分，自评得分2.38分，得分率为100.00%。</w:t>
      </w:r>
    </w:p>
    <w:p>
      <w:pPr>
        <w:ind w:firstLine="562"/>
      </w:pPr>
      <w:r>
        <w:rPr>
          <w:rFonts w:hint="eastAsia"/>
          <w:b/>
          <w:bCs/>
        </w:rPr>
        <w:t>行政案件审结率：</w:t>
      </w:r>
      <w:r>
        <w:rPr>
          <w:rFonts w:hint="eastAsia"/>
        </w:rPr>
        <w:t>我院行政案件立案数0件，行政案件结案数0件，年度指标值大于90%，实际完成0.00%，该指标分值2.38分，自评得分0分，得分率为0.00%。</w:t>
      </w:r>
    </w:p>
    <w:p>
      <w:pPr>
        <w:ind w:firstLine="562"/>
      </w:pPr>
      <w:r>
        <w:rPr>
          <w:rFonts w:hint="eastAsia"/>
          <w:b/>
          <w:bCs/>
        </w:rPr>
        <w:t>执行案件结案率：</w:t>
      </w:r>
      <w:r>
        <w:rPr>
          <w:rFonts w:hint="eastAsia"/>
        </w:rPr>
        <w:t>我院执行案件立案数2058件，执行案件结案数2050件，年度指标值大于等于85%，实际完成99.61%，该指标分值2.38分，自评得分2.38分，得分率为100.00%。</w:t>
      </w:r>
    </w:p>
    <w:p>
      <w:pPr>
        <w:ind w:firstLine="562"/>
      </w:pPr>
      <w:r>
        <w:rPr>
          <w:rFonts w:hint="eastAsia"/>
          <w:b/>
          <w:bCs/>
        </w:rPr>
        <w:t>装备购置完成率：</w:t>
      </w:r>
      <w:r>
        <w:rPr>
          <w:rFonts w:hint="eastAsia"/>
        </w:rPr>
        <w:t>年度目标值等于100.00%，实际完成值100.00%。该指标分值2.38分，自评得分2.38分，得分率为100.00%。</w:t>
      </w:r>
    </w:p>
    <w:p>
      <w:pPr>
        <w:ind w:firstLine="562"/>
        <w:rPr>
          <w:b/>
          <w:bCs/>
        </w:rPr>
      </w:pPr>
      <w:r>
        <w:rPr>
          <w:rFonts w:hint="eastAsia"/>
          <w:b/>
          <w:bCs/>
        </w:rPr>
        <w:t>维修改造项目完成率：</w:t>
      </w:r>
      <w:r>
        <w:rPr>
          <w:rFonts w:hint="eastAsia"/>
        </w:rPr>
        <w:t>年度目标值等于100.00%，实际完成值100.00%。该指标分值2.38分，自评得分2.38分，得分率为100.00%。</w:t>
      </w:r>
    </w:p>
    <w:p>
      <w:pPr>
        <w:ind w:firstLine="562"/>
      </w:pPr>
      <w:r>
        <w:rPr>
          <w:rFonts w:hint="eastAsia"/>
          <w:b/>
          <w:bCs/>
        </w:rPr>
        <w:t>一审服判息诉率：</w:t>
      </w:r>
      <w:r>
        <w:rPr>
          <w:rFonts w:hint="eastAsia"/>
        </w:rPr>
        <w:t>一审案件数2471件，一审服判息诉数2157件，年度目标值大于等于85%，实际完成值87.29%。指标分值2.38分，自评得分2.38分，得分率为100.00%。</w:t>
      </w:r>
    </w:p>
    <w:p>
      <w:pPr>
        <w:ind w:firstLine="562"/>
      </w:pPr>
      <w:r>
        <w:rPr>
          <w:rFonts w:hint="eastAsia"/>
          <w:b/>
          <w:bCs/>
        </w:rPr>
        <w:t>上诉案件改判率：</w:t>
      </w:r>
      <w:r>
        <w:rPr>
          <w:rFonts w:hint="eastAsia"/>
        </w:rPr>
        <w:t>二审改判案件数78件，一审结案总数2447件，年度目标值小于等于6%，实际完成值3.19%。指标分值2.38分，自评得分2.38分，得分率为100.00%。</w:t>
      </w:r>
    </w:p>
    <w:p>
      <w:pPr>
        <w:ind w:firstLine="562"/>
      </w:pPr>
      <w:r>
        <w:rPr>
          <w:rFonts w:hint="eastAsia"/>
          <w:b/>
          <w:bCs/>
        </w:rPr>
        <w:t>上诉案件发回重审率:</w:t>
      </w:r>
      <w:r>
        <w:rPr>
          <w:rFonts w:hint="eastAsia"/>
        </w:rPr>
        <w:t>上诉案件发回重审数46件，一审结案总数2447件，年度目标值小于等于3%，实际完成值1.88%。指标分值2.38分，自评得分2.38分，得分率为100.00%。</w:t>
      </w:r>
    </w:p>
    <w:p>
      <w:pPr>
        <w:ind w:firstLine="562"/>
      </w:pPr>
      <w:r>
        <w:rPr>
          <w:rFonts w:hint="eastAsia"/>
          <w:b/>
          <w:bCs/>
        </w:rPr>
        <w:t>购置装备验收合格率</w:t>
      </w:r>
      <w:r>
        <w:rPr>
          <w:rFonts w:hint="eastAsia" w:hAnsi="宋体"/>
          <w:b/>
          <w:bCs/>
          <w:szCs w:val="28"/>
        </w:rPr>
        <w:t>：</w:t>
      </w:r>
      <w:r>
        <w:rPr>
          <w:rFonts w:hint="eastAsia"/>
        </w:rPr>
        <w:t>年度目标值100%，实际完成值100.00%。该指标分值2.38分，自评得分2.38分，得分率为100.00%。</w:t>
      </w:r>
    </w:p>
    <w:p>
      <w:pPr>
        <w:ind w:firstLine="562"/>
      </w:pPr>
      <w:r>
        <w:rPr>
          <w:rFonts w:hint="eastAsia"/>
          <w:b/>
          <w:bCs/>
        </w:rPr>
        <w:t>维修改造项目验收合格率：</w:t>
      </w:r>
      <w:r>
        <w:rPr>
          <w:rFonts w:hint="eastAsia"/>
        </w:rPr>
        <w:t>年度目标值100%，实际完成值100.00%。该指标分值2.38分，自评得分2.38分，得分率为100.00%。</w:t>
      </w:r>
    </w:p>
    <w:p>
      <w:pPr>
        <w:ind w:firstLine="562"/>
      </w:pPr>
      <w:r>
        <w:rPr>
          <w:rFonts w:hint="eastAsia"/>
          <w:b/>
          <w:bCs/>
        </w:rPr>
        <w:t>法定审限内结案率</w:t>
      </w:r>
      <w:r>
        <w:rPr>
          <w:rFonts w:hint="eastAsia" w:cs="仿宋_GB2312"/>
          <w:b/>
          <w:bCs/>
          <w:szCs w:val="28"/>
        </w:rPr>
        <w:t>：</w:t>
      </w:r>
      <w:r>
        <w:rPr>
          <w:rFonts w:hint="eastAsia"/>
        </w:rPr>
        <w:t>法定审限内结案数2622件，审结案件总数2647件，年度目标值大于等于90%，实际完成值99.06%。指标分值2.38分，自评得分2.38分，得分率为100.00%。</w:t>
      </w:r>
    </w:p>
    <w:p>
      <w:pPr>
        <w:ind w:firstLine="562"/>
      </w:pPr>
      <w:r>
        <w:rPr>
          <w:rFonts w:hint="eastAsia" w:cs="仿宋_GB2312"/>
          <w:b/>
          <w:bCs/>
          <w:szCs w:val="28"/>
        </w:rPr>
        <w:t>装备购置及时性：</w:t>
      </w:r>
      <w:r>
        <w:rPr>
          <w:rFonts w:hint="eastAsia"/>
        </w:rPr>
        <w:t>我院2023年装备购置及时。该指标分值2.38分，自评得分2.38分，得分率为100.00%。</w:t>
      </w:r>
    </w:p>
    <w:p>
      <w:pPr>
        <w:ind w:firstLine="562"/>
      </w:pPr>
      <w:r>
        <w:rPr>
          <w:rFonts w:hint="eastAsia" w:cs="仿宋_GB2312"/>
          <w:b/>
          <w:bCs/>
          <w:szCs w:val="28"/>
        </w:rPr>
        <w:t>维修改造项目完成及时性：</w:t>
      </w:r>
      <w:r>
        <w:rPr>
          <w:rFonts w:hint="eastAsia"/>
        </w:rPr>
        <w:t>我院2023年维修改造项目完成及时。该指标分值2.38分，自评得分2.38分，得分率为100.00%。</w:t>
      </w:r>
    </w:p>
    <w:p>
      <w:pPr>
        <w:ind w:firstLine="562"/>
      </w:pPr>
      <w:r>
        <w:rPr>
          <w:rFonts w:hint="eastAsia" w:cs="仿宋_GB2312"/>
          <w:b/>
          <w:bCs/>
          <w:szCs w:val="28"/>
        </w:rPr>
        <w:t>成本控制情况：</w:t>
      </w:r>
      <w:r>
        <w:rPr>
          <w:rFonts w:hint="eastAsia"/>
        </w:rPr>
        <w:t>我院2023年成本控制在预算范围内。该指标分值2.38分，自评得分2.38分，得分率为100.00%。</w:t>
      </w:r>
    </w:p>
    <w:p>
      <w:pPr>
        <w:ind w:firstLine="562"/>
        <w:rPr>
          <w:rFonts w:cs="仿宋_GB2312"/>
          <w:b/>
          <w:bCs/>
          <w:szCs w:val="28"/>
        </w:rPr>
      </w:pPr>
      <w:r>
        <w:rPr>
          <w:rFonts w:hint="eastAsia" w:cs="仿宋_GB2312"/>
          <w:b/>
          <w:bCs/>
          <w:szCs w:val="28"/>
        </w:rPr>
        <w:t>执行标的到位率：</w:t>
      </w:r>
      <w:r>
        <w:rPr>
          <w:rFonts w:hint="eastAsia"/>
        </w:rPr>
        <w:t>执行标的到位数额15.67亿元，申请执行标的数额24.98亿元，实际完成值62.73%，年度目标值大于等于80%。该指标分值2.38分，自评得分1.87分，得分率为78.57%。</w:t>
      </w:r>
    </w:p>
    <w:p>
      <w:pPr>
        <w:ind w:firstLine="562"/>
        <w:rPr>
          <w:rFonts w:cs="仿宋_GB2312"/>
          <w:b/>
          <w:bCs/>
          <w:szCs w:val="28"/>
        </w:rPr>
      </w:pPr>
      <w:r>
        <w:rPr>
          <w:rFonts w:hint="eastAsia" w:cs="仿宋_GB2312"/>
          <w:b/>
          <w:bCs/>
          <w:szCs w:val="28"/>
        </w:rPr>
        <w:t>民商事案件调撤率：</w:t>
      </w:r>
      <w:r>
        <w:rPr>
          <w:rFonts w:hint="eastAsia"/>
        </w:rPr>
        <w:t>民商事案件调解撤诉数1333件，民商事案件一审案件数量2334件，实际完成值57.11%，年度目标值大于等于52%。该指标分值2.38分，自评得分2.38分，得分率为100.00%。</w:t>
      </w:r>
    </w:p>
    <w:p>
      <w:pPr>
        <w:ind w:firstLine="562"/>
        <w:rPr>
          <w:rFonts w:cs="仿宋_GB2312"/>
          <w:szCs w:val="28"/>
        </w:rPr>
      </w:pPr>
      <w:r>
        <w:rPr>
          <w:rFonts w:hint="eastAsia" w:cs="仿宋_GB2312"/>
          <w:b/>
          <w:bCs/>
          <w:szCs w:val="28"/>
        </w:rPr>
        <w:t>当庭宣判率：</w:t>
      </w:r>
      <w:r>
        <w:rPr>
          <w:rFonts w:hint="eastAsia" w:cs="仿宋_GB2312"/>
          <w:szCs w:val="28"/>
        </w:rPr>
        <w:t>我院当庭宣判率90.25%，达到年度目标值。该指标分值2.38分，自评得分2.38分，得分率100.00%。</w:t>
      </w:r>
    </w:p>
    <w:p>
      <w:pPr>
        <w:ind w:firstLine="562"/>
        <w:rPr>
          <w:rFonts w:cs="仿宋_GB2312"/>
          <w:b/>
          <w:bCs/>
          <w:szCs w:val="28"/>
        </w:rPr>
      </w:pPr>
      <w:r>
        <w:rPr>
          <w:rFonts w:hint="eastAsia" w:cs="仿宋_GB2312"/>
          <w:b/>
          <w:bCs/>
          <w:szCs w:val="28"/>
        </w:rPr>
        <w:t>一审案件陪审率：</w:t>
      </w:r>
      <w:r>
        <w:rPr>
          <w:rFonts w:hint="eastAsia"/>
        </w:rPr>
        <w:t>实际完成值96%，达到年度目标值。该指标分值2.38分，自评得分2.38分，得分率为100.00%。</w:t>
      </w:r>
    </w:p>
    <w:p>
      <w:pPr>
        <w:ind w:firstLine="562"/>
        <w:rPr>
          <w:rFonts w:cs="仿宋_GB2312"/>
          <w:szCs w:val="28"/>
        </w:rPr>
      </w:pPr>
      <w:r>
        <w:rPr>
          <w:rFonts w:hint="eastAsia" w:cs="仿宋_GB2312"/>
          <w:b/>
          <w:bCs/>
          <w:szCs w:val="28"/>
        </w:rPr>
        <w:t>当事人满意度：</w:t>
      </w:r>
      <w:r>
        <w:rPr>
          <w:rFonts w:hint="eastAsia" w:cs="仿宋_GB2312"/>
          <w:szCs w:val="28"/>
        </w:rPr>
        <w:t>我院当事人满意度92%，达到年度目标值。该指标分值10分，自评得分10分，得分率100.00%。</w:t>
      </w:r>
    </w:p>
    <w:p>
      <w:pPr>
        <w:ind w:firstLine="562"/>
        <w:rPr>
          <w:rFonts w:cs="仿宋_GB2312"/>
          <w:b/>
          <w:bCs/>
          <w:szCs w:val="28"/>
        </w:rPr>
      </w:pPr>
      <w:r>
        <w:rPr>
          <w:rFonts w:hint="eastAsia" w:hAnsi="宋体"/>
          <w:b/>
          <w:bCs/>
          <w:szCs w:val="28"/>
        </w:rPr>
        <w:t>单位获奖情况：</w:t>
      </w:r>
      <w:r>
        <w:rPr>
          <w:rFonts w:hint="eastAsia" w:hAnsi="宋体"/>
          <w:szCs w:val="28"/>
        </w:rPr>
        <w:t>本年单位获奖3项，年度目标值大于等于1项，</w:t>
      </w:r>
      <w:r>
        <w:rPr>
          <w:rFonts w:hint="eastAsia" w:cs="仿宋_GB2312"/>
          <w:szCs w:val="28"/>
        </w:rPr>
        <w:t>该指标分值</w:t>
      </w:r>
      <w:r>
        <w:rPr>
          <w:rFonts w:hint="eastAsia"/>
        </w:rPr>
        <w:t>2.38分，自评得分2.08分，得分率为87.39%。</w:t>
      </w:r>
    </w:p>
    <w:p>
      <w:pPr>
        <w:keepNext/>
        <w:keepLines/>
        <w:ind w:firstLine="562"/>
        <w:rPr>
          <w:szCs w:val="28"/>
        </w:rPr>
      </w:pPr>
      <w:r>
        <w:rPr>
          <w:rFonts w:hint="eastAsia" w:hAnsi="宋体"/>
          <w:b/>
          <w:bCs/>
          <w:szCs w:val="28"/>
        </w:rPr>
        <w:t>违法违纪情况：</w:t>
      </w:r>
      <w:r>
        <w:rPr>
          <w:rFonts w:hint="eastAsia" w:cs="仿宋_GB2312"/>
          <w:szCs w:val="28"/>
        </w:rPr>
        <w:t>2023年我院未出现违纪违法的情况。该指标分值2.38分，自评得分2.38分，得分率100.00%。</w:t>
      </w:r>
    </w:p>
    <w:p>
      <w:pPr>
        <w:pStyle w:val="4"/>
        <w:ind w:firstLine="562"/>
      </w:pPr>
      <w:r>
        <w:rPr>
          <w:rFonts w:hint="eastAsia"/>
        </w:rPr>
        <w:t>4.能力建设</w:t>
      </w:r>
    </w:p>
    <w:p>
      <w:pPr>
        <w:ind w:firstLine="560"/>
      </w:pPr>
      <w:r>
        <w:rPr>
          <w:rFonts w:hint="eastAsia"/>
        </w:rPr>
        <w:t>能力建设指标包括长效管理、人力资源建设、档案管理3个二级指标，下设5个三级指标。能力建设指标分值10分，自评得分10分，得分率100.00%。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73"/>
        <w:gridCol w:w="2505"/>
        <w:gridCol w:w="1245"/>
        <w:gridCol w:w="1185"/>
        <w:gridCol w:w="705"/>
        <w:gridCol w:w="81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二级指标</w:t>
            </w:r>
          </w:p>
        </w:tc>
        <w:tc>
          <w:tcPr>
            <w:tcW w:w="2505" w:type="dxa"/>
            <w:shd w:val="clear" w:color="auto" w:fill="BDD6EE"/>
            <w:vAlign w:val="center"/>
          </w:tcPr>
          <w:p>
            <w:pPr>
              <w:widowControl/>
              <w:ind w:firstLine="0" w:firstLineChars="0"/>
              <w:jc w:val="center"/>
              <w:textAlignment w:val="center"/>
              <w:rPr>
                <w:rFonts w:hAnsi="宋体" w:cs="仿宋_GB2312"/>
                <w:b/>
                <w:bCs/>
                <w:color w:val="000000"/>
                <w:kern w:val="0"/>
                <w:sz w:val="24"/>
                <w:szCs w:val="24"/>
              </w:rPr>
            </w:pPr>
            <w:r>
              <w:rPr>
                <w:rFonts w:hint="eastAsia" w:hAnsi="宋体" w:cs="仿宋_GB2312"/>
                <w:b/>
                <w:bCs/>
                <w:color w:val="000000"/>
                <w:kern w:val="0"/>
                <w:sz w:val="24"/>
                <w:szCs w:val="24"/>
              </w:rPr>
              <w:t>三级指标</w:t>
            </w:r>
          </w:p>
        </w:tc>
        <w:tc>
          <w:tcPr>
            <w:tcW w:w="1245" w:type="dxa"/>
            <w:shd w:val="clear" w:color="auto" w:fill="BDD6EE"/>
            <w:vAlign w:val="center"/>
          </w:tcPr>
          <w:p>
            <w:pPr>
              <w:widowControl/>
              <w:ind w:firstLine="0" w:firstLineChars="0"/>
              <w:jc w:val="center"/>
              <w:textAlignment w:val="center"/>
              <w:rPr>
                <w:rFonts w:hAnsi="宋体" w:cs="仿宋_GB2312"/>
                <w:b/>
                <w:bCs/>
                <w:color w:val="000000"/>
                <w:kern w:val="0"/>
                <w:sz w:val="24"/>
                <w:szCs w:val="24"/>
              </w:rPr>
            </w:pPr>
            <w:r>
              <w:rPr>
                <w:rFonts w:hint="eastAsia" w:hAnsi="宋体" w:cs="仿宋_GB2312"/>
                <w:b/>
                <w:bCs/>
                <w:color w:val="000000"/>
                <w:kern w:val="0"/>
                <w:sz w:val="24"/>
                <w:szCs w:val="24"/>
              </w:rPr>
              <w:t>年度</w:t>
            </w:r>
          </w:p>
          <w:p>
            <w:pPr>
              <w:widowControl/>
              <w:ind w:firstLine="0" w:firstLineChars="0"/>
              <w:jc w:val="center"/>
              <w:textAlignment w:val="center"/>
              <w:rPr>
                <w:rFonts w:hAnsi="宋体" w:cs="仿宋_GB2312"/>
                <w:b/>
                <w:bCs/>
                <w:color w:val="000000"/>
                <w:kern w:val="0"/>
                <w:sz w:val="24"/>
                <w:szCs w:val="24"/>
              </w:rPr>
            </w:pPr>
            <w:r>
              <w:rPr>
                <w:rFonts w:hint="eastAsia" w:hAnsi="宋体" w:cs="仿宋_GB2312"/>
                <w:b/>
                <w:bCs/>
                <w:color w:val="000000"/>
                <w:kern w:val="0"/>
                <w:sz w:val="24"/>
                <w:szCs w:val="24"/>
              </w:rPr>
              <w:t>指标值</w:t>
            </w:r>
          </w:p>
        </w:tc>
        <w:tc>
          <w:tcPr>
            <w:tcW w:w="1185" w:type="dxa"/>
            <w:shd w:val="clear" w:color="auto" w:fill="BDD6EE"/>
            <w:vAlign w:val="center"/>
          </w:tcPr>
          <w:p>
            <w:pPr>
              <w:widowControl/>
              <w:ind w:firstLine="0" w:firstLineChars="0"/>
              <w:jc w:val="center"/>
              <w:textAlignment w:val="center"/>
              <w:rPr>
                <w:rFonts w:hAnsi="宋体" w:cs="仿宋_GB2312"/>
                <w:b/>
                <w:bCs/>
                <w:color w:val="000000"/>
                <w:kern w:val="0"/>
                <w:sz w:val="24"/>
                <w:szCs w:val="24"/>
              </w:rPr>
            </w:pPr>
            <w:r>
              <w:rPr>
                <w:rFonts w:hint="eastAsia" w:hAnsi="宋体" w:cs="仿宋_GB2312"/>
                <w:b/>
                <w:bCs/>
                <w:color w:val="000000"/>
                <w:kern w:val="0"/>
                <w:sz w:val="24"/>
                <w:szCs w:val="24"/>
              </w:rPr>
              <w:t>实际</w:t>
            </w:r>
          </w:p>
          <w:p>
            <w:pPr>
              <w:widowControl/>
              <w:ind w:firstLine="0" w:firstLineChars="0"/>
              <w:jc w:val="center"/>
              <w:textAlignment w:val="center"/>
              <w:rPr>
                <w:rFonts w:hAnsi="宋体" w:cs="仿宋_GB2312"/>
                <w:b/>
                <w:bCs/>
                <w:color w:val="000000"/>
                <w:kern w:val="0"/>
                <w:sz w:val="24"/>
                <w:szCs w:val="24"/>
              </w:rPr>
            </w:pPr>
            <w:r>
              <w:rPr>
                <w:rFonts w:hint="eastAsia" w:hAnsi="宋体" w:cs="仿宋_GB2312"/>
                <w:b/>
                <w:bCs/>
                <w:color w:val="000000"/>
                <w:kern w:val="0"/>
                <w:sz w:val="24"/>
                <w:szCs w:val="24"/>
              </w:rPr>
              <w:t>完成值</w:t>
            </w:r>
          </w:p>
        </w:tc>
        <w:tc>
          <w:tcPr>
            <w:tcW w:w="705"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分值</w:t>
            </w:r>
          </w:p>
        </w:tc>
        <w:tc>
          <w:tcPr>
            <w:tcW w:w="810"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自评得分</w:t>
            </w:r>
          </w:p>
        </w:tc>
        <w:tc>
          <w:tcPr>
            <w:tcW w:w="1046" w:type="dxa"/>
            <w:shd w:val="clear" w:color="auto" w:fill="BDD6EE"/>
            <w:vAlign w:val="center"/>
          </w:tcPr>
          <w:p>
            <w:pPr>
              <w:widowControl/>
              <w:ind w:firstLine="0" w:firstLineChars="0"/>
              <w:jc w:val="center"/>
              <w:textAlignment w:val="center"/>
              <w:rPr>
                <w:rFonts w:ascii="宋体" w:hAnsi="宋体" w:cs="宋体"/>
                <w:b/>
                <w:color w:val="000000"/>
                <w:kern w:val="0"/>
                <w:sz w:val="24"/>
              </w:rPr>
            </w:pPr>
            <w:r>
              <w:rPr>
                <w:rFonts w:hint="eastAsia" w:hAnsi="宋体" w:cs="仿宋_GB2312"/>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vMerge w:val="restart"/>
            <w:vAlign w:val="center"/>
          </w:tcPr>
          <w:p>
            <w:pPr>
              <w:widowControl/>
              <w:ind w:firstLine="0" w:firstLineChars="0"/>
              <w:textAlignment w:val="center"/>
              <w:rPr>
                <w:rFonts w:hAnsi="宋体" w:cs="宋体"/>
                <w:color w:val="000000"/>
                <w:kern w:val="0"/>
                <w:sz w:val="22"/>
              </w:rPr>
            </w:pPr>
            <w:r>
              <w:rPr>
                <w:rFonts w:hint="eastAsia" w:ascii="宋体" w:hAnsi="宋体" w:eastAsia="宋体" w:cs="宋体"/>
                <w:color w:val="333333"/>
                <w:kern w:val="0"/>
                <w:sz w:val="22"/>
              </w:rPr>
              <w:t>长效管理</w:t>
            </w:r>
          </w:p>
        </w:tc>
        <w:tc>
          <w:tcPr>
            <w:tcW w:w="2505" w:type="dxa"/>
            <w:vAlign w:val="center"/>
          </w:tcPr>
          <w:p>
            <w:pPr>
              <w:widowControl/>
              <w:ind w:firstLine="0" w:firstLineChars="0"/>
              <w:jc w:val="left"/>
              <w:textAlignment w:val="center"/>
              <w:rPr>
                <w:rFonts w:hAnsi="宋体" w:cs="仿宋_GB2312"/>
                <w:color w:val="000000"/>
                <w:kern w:val="0"/>
                <w:sz w:val="22"/>
              </w:rPr>
            </w:pPr>
            <w:r>
              <w:rPr>
                <w:rFonts w:hint="eastAsia" w:ascii="宋体" w:hAnsi="宋体" w:eastAsia="宋体" w:cs="宋体"/>
                <w:color w:val="333333"/>
                <w:kern w:val="0"/>
                <w:sz w:val="22"/>
              </w:rPr>
              <w:t>中期规划建设完备程度</w:t>
            </w:r>
          </w:p>
        </w:tc>
        <w:tc>
          <w:tcPr>
            <w:tcW w:w="124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完备</w:t>
            </w:r>
          </w:p>
        </w:tc>
        <w:tc>
          <w:tcPr>
            <w:tcW w:w="118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000000"/>
                <w:kern w:val="0"/>
                <w:sz w:val="22"/>
              </w:rPr>
              <w:t>98%</w:t>
            </w:r>
          </w:p>
        </w:tc>
        <w:tc>
          <w:tcPr>
            <w:tcW w:w="70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000000"/>
                <w:kern w:val="0"/>
                <w:sz w:val="22"/>
              </w:rPr>
              <w:t>2</w:t>
            </w:r>
          </w:p>
        </w:tc>
        <w:tc>
          <w:tcPr>
            <w:tcW w:w="810"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2</w:t>
            </w:r>
          </w:p>
        </w:tc>
        <w:tc>
          <w:tcPr>
            <w:tcW w:w="1046"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vMerge w:val="continue"/>
            <w:vAlign w:val="center"/>
          </w:tcPr>
          <w:p>
            <w:pPr>
              <w:ind w:firstLine="440"/>
              <w:jc w:val="center"/>
              <w:rPr>
                <w:rFonts w:ascii="宋体" w:hAnsi="宋体" w:eastAsia="宋体" w:cs="宋体"/>
                <w:color w:val="333333"/>
                <w:kern w:val="0"/>
                <w:sz w:val="22"/>
              </w:rPr>
            </w:pPr>
          </w:p>
        </w:tc>
        <w:tc>
          <w:tcPr>
            <w:tcW w:w="2505"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党建工作开展规律性</w:t>
            </w:r>
          </w:p>
        </w:tc>
        <w:tc>
          <w:tcPr>
            <w:tcW w:w="124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规律</w:t>
            </w:r>
          </w:p>
        </w:tc>
        <w:tc>
          <w:tcPr>
            <w:tcW w:w="118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100.00%</w:t>
            </w:r>
          </w:p>
        </w:tc>
        <w:tc>
          <w:tcPr>
            <w:tcW w:w="7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1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vMerge w:val="continue"/>
            <w:vAlign w:val="center"/>
          </w:tcPr>
          <w:p>
            <w:pPr>
              <w:ind w:firstLine="440"/>
              <w:jc w:val="center"/>
              <w:rPr>
                <w:rFonts w:ascii="宋体" w:hAnsi="宋体" w:eastAsia="宋体" w:cs="宋体"/>
                <w:color w:val="333333"/>
                <w:kern w:val="0"/>
                <w:sz w:val="22"/>
              </w:rPr>
            </w:pPr>
          </w:p>
        </w:tc>
        <w:tc>
          <w:tcPr>
            <w:tcW w:w="2505"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信息化管理覆盖率</w:t>
            </w:r>
          </w:p>
        </w:tc>
        <w:tc>
          <w:tcPr>
            <w:tcW w:w="124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18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7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1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2</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vAlign w:val="center"/>
          </w:tcPr>
          <w:p>
            <w:pPr>
              <w:widowControl/>
              <w:ind w:firstLine="0" w:firstLineChars="0"/>
              <w:textAlignment w:val="center"/>
              <w:rPr>
                <w:rFonts w:hAnsi="宋体" w:cs="宋体"/>
                <w:color w:val="000000"/>
                <w:kern w:val="0"/>
                <w:sz w:val="22"/>
              </w:rPr>
            </w:pPr>
            <w:r>
              <w:rPr>
                <w:rFonts w:hint="eastAsia" w:ascii="宋体" w:hAnsi="宋体" w:eastAsia="宋体" w:cs="宋体"/>
                <w:color w:val="333333"/>
                <w:kern w:val="0"/>
                <w:sz w:val="22"/>
              </w:rPr>
              <w:t>人力资源建设</w:t>
            </w:r>
          </w:p>
        </w:tc>
        <w:tc>
          <w:tcPr>
            <w:tcW w:w="2505" w:type="dxa"/>
            <w:vAlign w:val="center"/>
          </w:tcPr>
          <w:p>
            <w:pPr>
              <w:widowControl/>
              <w:ind w:firstLine="0" w:firstLineChars="0"/>
              <w:jc w:val="left"/>
              <w:textAlignment w:val="center"/>
              <w:rPr>
                <w:rFonts w:hAnsi="宋体" w:cs="仿宋_GB2312"/>
                <w:color w:val="000000"/>
                <w:kern w:val="0"/>
                <w:sz w:val="22"/>
              </w:rPr>
            </w:pPr>
            <w:r>
              <w:rPr>
                <w:rFonts w:hint="eastAsia" w:ascii="宋体" w:hAnsi="宋体" w:eastAsia="宋体" w:cs="宋体"/>
                <w:color w:val="333333"/>
                <w:kern w:val="0"/>
                <w:sz w:val="22"/>
              </w:rPr>
              <w:t>人员培训机制完备性</w:t>
            </w:r>
          </w:p>
        </w:tc>
        <w:tc>
          <w:tcPr>
            <w:tcW w:w="124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完备</w:t>
            </w:r>
          </w:p>
        </w:tc>
        <w:tc>
          <w:tcPr>
            <w:tcW w:w="118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000000"/>
                <w:kern w:val="0"/>
                <w:sz w:val="22"/>
              </w:rPr>
              <w:t>98%</w:t>
            </w:r>
          </w:p>
        </w:tc>
        <w:tc>
          <w:tcPr>
            <w:tcW w:w="70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000000"/>
                <w:kern w:val="0"/>
                <w:sz w:val="22"/>
              </w:rPr>
              <w:t>2</w:t>
            </w:r>
          </w:p>
        </w:tc>
        <w:tc>
          <w:tcPr>
            <w:tcW w:w="810"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2</w:t>
            </w:r>
          </w:p>
        </w:tc>
        <w:tc>
          <w:tcPr>
            <w:tcW w:w="1046"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档案管理</w:t>
            </w:r>
          </w:p>
        </w:tc>
        <w:tc>
          <w:tcPr>
            <w:tcW w:w="2505" w:type="dxa"/>
            <w:vAlign w:val="center"/>
          </w:tcPr>
          <w:p>
            <w:pPr>
              <w:widowControl/>
              <w:ind w:firstLine="0" w:firstLineChars="0"/>
              <w:jc w:val="left"/>
              <w:textAlignment w:val="center"/>
              <w:rPr>
                <w:rFonts w:hAnsi="宋体" w:cs="仿宋_GB2312"/>
                <w:color w:val="000000"/>
                <w:kern w:val="0"/>
                <w:sz w:val="22"/>
              </w:rPr>
            </w:pPr>
            <w:r>
              <w:rPr>
                <w:rFonts w:hint="eastAsia" w:ascii="宋体" w:hAnsi="宋体" w:eastAsia="宋体" w:cs="宋体"/>
                <w:color w:val="333333"/>
                <w:kern w:val="0"/>
                <w:sz w:val="22"/>
              </w:rPr>
              <w:t>档案管理完备性</w:t>
            </w:r>
          </w:p>
        </w:tc>
        <w:tc>
          <w:tcPr>
            <w:tcW w:w="124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完备</w:t>
            </w:r>
          </w:p>
        </w:tc>
        <w:tc>
          <w:tcPr>
            <w:tcW w:w="118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000000"/>
                <w:kern w:val="0"/>
                <w:sz w:val="22"/>
              </w:rPr>
              <w:t>100.00%</w:t>
            </w:r>
          </w:p>
        </w:tc>
        <w:tc>
          <w:tcPr>
            <w:tcW w:w="70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000000"/>
                <w:kern w:val="0"/>
                <w:sz w:val="22"/>
              </w:rPr>
              <w:t>2</w:t>
            </w:r>
          </w:p>
        </w:tc>
        <w:tc>
          <w:tcPr>
            <w:tcW w:w="810"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2</w:t>
            </w:r>
          </w:p>
        </w:tc>
        <w:tc>
          <w:tcPr>
            <w:tcW w:w="1046"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73"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250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24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18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705"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810"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pStyle w:val="47"/>
        <w:ind w:firstLine="562"/>
        <w:rPr>
          <w:rFonts w:hAnsi="宋体"/>
          <w:szCs w:val="28"/>
        </w:rPr>
      </w:pPr>
      <w:r>
        <w:rPr>
          <w:rFonts w:hint="eastAsia" w:hAnsi="宋体"/>
          <w:b/>
          <w:bCs/>
          <w:szCs w:val="28"/>
        </w:rPr>
        <w:t>中期规划建设完备程度：</w:t>
      </w:r>
      <w:r>
        <w:rPr>
          <w:rFonts w:hint="eastAsia" w:hAnsi="宋体"/>
          <w:szCs w:val="28"/>
        </w:rPr>
        <w:t>我院中期规划完整清晰、内容全面可行，能够为今后的工作明确目标、方向和内容，达到年度指标值。该指标分值2分，自评得分为2分，得分率100.00%。</w:t>
      </w:r>
    </w:p>
    <w:p>
      <w:pPr>
        <w:ind w:firstLine="562"/>
        <w:rPr>
          <w:rFonts w:hAnsi="宋体"/>
          <w:szCs w:val="28"/>
        </w:rPr>
      </w:pPr>
      <w:r>
        <w:rPr>
          <w:rFonts w:hint="eastAsia" w:hAnsi="宋体"/>
          <w:b/>
          <w:bCs/>
          <w:szCs w:val="28"/>
        </w:rPr>
        <w:t>党建工作开展规律性：</w:t>
      </w:r>
      <w:r>
        <w:rPr>
          <w:rFonts w:hint="eastAsia" w:hAnsi="宋体"/>
          <w:szCs w:val="28"/>
        </w:rPr>
        <w:t>2023年我院</w:t>
      </w:r>
      <w:r>
        <w:rPr>
          <w:rFonts w:hint="eastAsia" w:cs="仿宋_GB2312"/>
          <w:spacing w:val="4"/>
          <w:szCs w:val="28"/>
        </w:rPr>
        <w:t>不断巩固全面从严治党建设成果，强化党组主体责任，坚持高标准和守底线、抓惩治和抓责任、补短板和推改革、放权力和严监管相统一，党组较好的发挥了把方向、管大局、促担当、保落实的职能作用，党建工作开展规律。</w:t>
      </w:r>
      <w:r>
        <w:rPr>
          <w:rFonts w:hint="eastAsia" w:hAnsi="宋体"/>
          <w:szCs w:val="28"/>
        </w:rPr>
        <w:t>该指标分值2分，根据评分标准本项得满分2分，得分率为100.00%。</w:t>
      </w:r>
    </w:p>
    <w:p>
      <w:pPr>
        <w:ind w:firstLine="562"/>
        <w:rPr>
          <w:rFonts w:hAnsi="宋体"/>
          <w:szCs w:val="28"/>
        </w:rPr>
      </w:pPr>
      <w:r>
        <w:rPr>
          <w:rFonts w:hint="eastAsia" w:hAnsi="宋体"/>
          <w:b/>
          <w:bCs/>
          <w:szCs w:val="28"/>
        </w:rPr>
        <w:t>信息化管理覆盖率：</w:t>
      </w:r>
      <w:r>
        <w:rPr>
          <w:rFonts w:hint="eastAsia" w:cs="仿宋_GB2312"/>
          <w:szCs w:val="28"/>
        </w:rPr>
        <w:t>2023年我院积极推进信息化法院建设，努力提升科技法庭服务水平，实现了案件信息化、人员档案信息化，诉讼服务信息化等，信息化管理覆盖率为100%，达到年度指标值。</w:t>
      </w:r>
      <w:r>
        <w:rPr>
          <w:rFonts w:hint="eastAsia" w:hAnsi="宋体"/>
          <w:szCs w:val="28"/>
        </w:rPr>
        <w:t>该指标分值2分，根据评分标准本项得满分2分，得分率为100.00%。</w:t>
      </w:r>
    </w:p>
    <w:p>
      <w:pPr>
        <w:ind w:firstLine="562"/>
        <w:rPr>
          <w:rFonts w:hAnsi="宋体"/>
          <w:szCs w:val="28"/>
        </w:rPr>
      </w:pPr>
      <w:r>
        <w:rPr>
          <w:rFonts w:hint="eastAsia" w:hAnsi="宋体"/>
          <w:b/>
          <w:bCs/>
          <w:szCs w:val="28"/>
        </w:rPr>
        <w:t>人员培训机制完备性：</w:t>
      </w:r>
      <w:r>
        <w:rPr>
          <w:rFonts w:hint="eastAsia" w:hAnsi="宋体"/>
          <w:szCs w:val="28"/>
        </w:rPr>
        <w:t>我院定期组织开展内部学习与培训，</w:t>
      </w:r>
      <w:r>
        <w:rPr>
          <w:rFonts w:hint="eastAsia"/>
          <w:szCs w:val="32"/>
        </w:rPr>
        <w:t>增强业务素养，为加强全院干警政治理论和业务学习，提高干警政治业务素质，提供了制度保障，人员培训机制健全</w:t>
      </w:r>
      <w:r>
        <w:rPr>
          <w:rFonts w:hint="eastAsia"/>
        </w:rPr>
        <w:t>。</w:t>
      </w:r>
      <w:r>
        <w:rPr>
          <w:rFonts w:hint="eastAsia" w:hAnsi="宋体"/>
          <w:szCs w:val="28"/>
        </w:rPr>
        <w:t>该指标分值2分，自评得分2分，得分率100.00%。</w:t>
      </w:r>
    </w:p>
    <w:p>
      <w:pPr>
        <w:ind w:firstLine="562"/>
      </w:pPr>
      <w:bookmarkStart w:id="50" w:name="_Toc16525"/>
      <w:bookmarkStart w:id="51" w:name="_Toc3174"/>
      <w:bookmarkStart w:id="52" w:name="_Toc40046035"/>
      <w:bookmarkStart w:id="53" w:name="_Toc12558"/>
      <w:bookmarkStart w:id="54" w:name="_Toc16731"/>
      <w:r>
        <w:rPr>
          <w:rFonts w:hint="eastAsia" w:hAnsi="宋体"/>
          <w:b/>
          <w:bCs/>
          <w:szCs w:val="28"/>
        </w:rPr>
        <w:t>档案管理完备性：</w:t>
      </w:r>
      <w:r>
        <w:rPr>
          <w:rFonts w:hint="eastAsia" w:hAnsi="宋体"/>
          <w:szCs w:val="28"/>
        </w:rPr>
        <w:t>我院</w:t>
      </w:r>
      <w:r>
        <w:rPr>
          <w:rFonts w:hint="eastAsia"/>
          <w:szCs w:val="32"/>
        </w:rPr>
        <w:t>规范档案管理工作，大力推进档案数字化进程，采购计算机输入输出系统及档案数字化录入系统，严格按照档案管理办法和上级法院及档案局的要求，规范和完善各项档案管理工作。</w:t>
      </w:r>
      <w:r>
        <w:rPr>
          <w:rFonts w:hint="eastAsia" w:hAnsi="宋体"/>
          <w:szCs w:val="28"/>
        </w:rPr>
        <w:t>该指标分值2分，自评得分2分，得分率100.00%。</w:t>
      </w:r>
    </w:p>
    <w:p>
      <w:pPr>
        <w:pStyle w:val="3"/>
        <w:spacing w:before="0" w:after="0"/>
        <w:ind w:firstLine="643"/>
      </w:pPr>
      <w:bookmarkStart w:id="55" w:name="_Toc30132"/>
      <w:r>
        <w:rPr>
          <w:rFonts w:hint="eastAsia"/>
        </w:rPr>
        <w:t>（四）偏离绩效目标的原因及下一步改进措施</w:t>
      </w:r>
      <w:bookmarkEnd w:id="50"/>
      <w:bookmarkEnd w:id="51"/>
      <w:bookmarkEnd w:id="52"/>
      <w:bookmarkEnd w:id="53"/>
      <w:bookmarkEnd w:id="54"/>
      <w:bookmarkEnd w:id="55"/>
    </w:p>
    <w:p>
      <w:pPr>
        <w:ind w:firstLine="560"/>
      </w:pPr>
      <w:r>
        <w:rPr>
          <w:rFonts w:hint="eastAsia"/>
        </w:rPr>
        <w:t>项目支出预算执行率较低，年末结转结余资金较多，下一步我院将督促提高资金执行率。</w:t>
      </w:r>
    </w:p>
    <w:p>
      <w:pPr>
        <w:pStyle w:val="2"/>
        <w:keepNext w:val="0"/>
        <w:keepLines w:val="0"/>
        <w:spacing w:before="0" w:after="0"/>
        <w:ind w:firstLine="560" w:firstLineChars="200"/>
        <w:rPr>
          <w:rFonts w:ascii="仿宋_GB2312" w:hAnsi="仿宋_GB2312" w:eastAsia="仿宋_GB2312"/>
          <w:b w:val="0"/>
          <w:bCs w:val="0"/>
          <w:kern w:val="2"/>
          <w:sz w:val="28"/>
          <w:szCs w:val="22"/>
        </w:rPr>
      </w:pPr>
      <w:bookmarkStart w:id="56" w:name="_Toc13294"/>
      <w:r>
        <w:rPr>
          <w:rFonts w:hint="eastAsia" w:ascii="仿宋_GB2312" w:hAnsi="仿宋_GB2312" w:eastAsia="仿宋_GB2312"/>
          <w:b w:val="0"/>
          <w:bCs w:val="0"/>
          <w:kern w:val="2"/>
          <w:sz w:val="28"/>
          <w:szCs w:val="22"/>
        </w:rPr>
        <w:t>我院2023年未办理行政案件，行政案件结案率、执行标的到位率指标完成值小于年初目标值；单位获奖情况指标实际完成值大于年初目标值，我院下年度绩效申报将进一步精确年初指标设置。</w:t>
      </w:r>
    </w:p>
    <w:p>
      <w:pPr>
        <w:pStyle w:val="2"/>
        <w:keepNext w:val="0"/>
        <w:keepLines w:val="0"/>
        <w:spacing w:before="0" w:after="0"/>
        <w:ind w:firstLine="643" w:firstLineChars="200"/>
      </w:pPr>
      <w:r>
        <w:rPr>
          <w:rFonts w:hint="eastAsia"/>
        </w:rPr>
        <w:t>四、部门预算项目支出绩效自评情况分析</w:t>
      </w:r>
      <w:bookmarkEnd w:id="56"/>
    </w:p>
    <w:p>
      <w:pPr>
        <w:ind w:firstLine="560"/>
      </w:pPr>
      <w:r>
        <w:rPr>
          <w:rFonts w:hint="eastAsia"/>
        </w:rPr>
        <w:t>2023年，我院预算支出项目2个，通过自评，有2个项目结果为 “优秀”。分项目自评情况分析如下：</w:t>
      </w:r>
    </w:p>
    <w:p>
      <w:pPr>
        <w:pStyle w:val="3"/>
        <w:spacing w:before="0" w:after="0"/>
        <w:ind w:firstLine="643"/>
      </w:pPr>
      <w:bookmarkStart w:id="57" w:name="_Toc30269"/>
      <w:r>
        <w:rPr>
          <w:rFonts w:hint="eastAsia"/>
        </w:rPr>
        <w:t>（一）全省法院业务费</w:t>
      </w:r>
      <w:bookmarkEnd w:id="57"/>
    </w:p>
    <w:p>
      <w:pPr>
        <w:ind w:firstLine="560"/>
        <w:rPr>
          <w:rFonts w:ascii="宋体" w:hAnsi="宋体" w:cs="宋体"/>
          <w:b/>
          <w:bCs/>
          <w:kern w:val="0"/>
          <w:sz w:val="24"/>
        </w:rPr>
      </w:pPr>
      <w:bookmarkStart w:id="58" w:name="_Toc3777"/>
      <w:bookmarkStart w:id="59" w:name="_Toc40046064"/>
      <w:bookmarkStart w:id="60" w:name="_Toc22570"/>
      <w:bookmarkStart w:id="61" w:name="_Toc1889"/>
      <w:bookmarkStart w:id="62" w:name="_Toc18806"/>
      <w:bookmarkStart w:id="63" w:name="_Toc40046065"/>
      <w:bookmarkStart w:id="64" w:name="_Toc7144"/>
      <w:r>
        <w:rPr>
          <w:rFonts w:hint="eastAsia"/>
        </w:rPr>
        <w:t>本次绩效自评综合评定2023年业务费项目支出绩效得分为98.4分，绩效等级为“优”。项目支出绩效评价包括项目成本、产出、效益、满意度四个一级指标，下设10个二级指标和18个三级指标。一级指标得分情况详见下表：</w:t>
      </w:r>
    </w:p>
    <w:p>
      <w:pPr>
        <w:ind w:firstLine="482"/>
        <w:jc w:val="center"/>
        <w:rPr>
          <w:rFonts w:ascii="宋体" w:hAnsi="宋体"/>
        </w:rPr>
      </w:pPr>
      <w:r>
        <w:rPr>
          <w:rFonts w:hint="eastAsia" w:ascii="宋体" w:hAnsi="宋体" w:cs="宋体"/>
          <w:b/>
          <w:bCs/>
          <w:kern w:val="0"/>
          <w:sz w:val="24"/>
        </w:rPr>
        <w:t>2023年度项目支出绩效评价指标得分情况</w:t>
      </w:r>
    </w:p>
    <w:tbl>
      <w:tblPr>
        <w:tblStyle w:val="25"/>
        <w:tblW w:w="877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431"/>
        <w:gridCol w:w="1630"/>
        <w:gridCol w:w="1651"/>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31" w:hRule="atLeast"/>
        </w:trPr>
        <w:tc>
          <w:tcPr>
            <w:tcW w:w="3431" w:type="dxa"/>
            <w:shd w:val="clear" w:color="auto" w:fill="BDD6EE"/>
            <w:vAlign w:val="center"/>
          </w:tcPr>
          <w:p>
            <w:pPr>
              <w:widowControl/>
              <w:ind w:firstLine="0" w:firstLineChars="0"/>
              <w:jc w:val="left"/>
              <w:textAlignment w:val="center"/>
              <w:rPr>
                <w:rFonts w:ascii="宋体" w:hAnsi="宋体" w:eastAsia="宋体" w:cs="宋体"/>
                <w:b/>
                <w:bCs/>
                <w:color w:val="333333"/>
                <w:kern w:val="0"/>
                <w:sz w:val="22"/>
              </w:rPr>
            </w:pPr>
            <w:r>
              <w:rPr>
                <w:rFonts w:hint="eastAsia" w:ascii="宋体" w:hAnsi="宋体" w:eastAsia="宋体" w:cs="宋体"/>
                <w:b/>
                <w:bCs/>
                <w:color w:val="333333"/>
                <w:kern w:val="0"/>
                <w:sz w:val="22"/>
              </w:rPr>
              <w:t>一级指标</w:t>
            </w:r>
          </w:p>
        </w:tc>
        <w:tc>
          <w:tcPr>
            <w:tcW w:w="1630" w:type="dxa"/>
            <w:shd w:val="clear" w:color="auto" w:fill="BDD6EE"/>
            <w:vAlign w:val="center"/>
          </w:tcPr>
          <w:p>
            <w:pPr>
              <w:widowControl/>
              <w:ind w:firstLine="0" w:firstLineChars="0"/>
              <w:jc w:val="left"/>
              <w:textAlignment w:val="center"/>
              <w:rPr>
                <w:rFonts w:ascii="宋体" w:hAnsi="宋体" w:eastAsia="宋体" w:cs="宋体"/>
                <w:b/>
                <w:bCs/>
                <w:color w:val="333333"/>
                <w:kern w:val="0"/>
                <w:sz w:val="22"/>
              </w:rPr>
            </w:pPr>
            <w:r>
              <w:rPr>
                <w:rFonts w:hint="eastAsia" w:ascii="宋体" w:hAnsi="宋体" w:eastAsia="宋体" w:cs="宋体"/>
                <w:b/>
                <w:bCs/>
                <w:color w:val="333333"/>
                <w:kern w:val="0"/>
                <w:sz w:val="22"/>
              </w:rPr>
              <w:t>分值</w:t>
            </w:r>
          </w:p>
        </w:tc>
        <w:tc>
          <w:tcPr>
            <w:tcW w:w="1651" w:type="dxa"/>
            <w:shd w:val="clear" w:color="auto" w:fill="BDD6EE"/>
            <w:vAlign w:val="center"/>
          </w:tcPr>
          <w:p>
            <w:pPr>
              <w:widowControl/>
              <w:ind w:firstLine="0" w:firstLineChars="0"/>
              <w:jc w:val="left"/>
              <w:textAlignment w:val="center"/>
              <w:rPr>
                <w:rFonts w:ascii="宋体" w:hAnsi="宋体" w:eastAsia="宋体" w:cs="宋体"/>
                <w:b/>
                <w:bCs/>
                <w:color w:val="333333"/>
                <w:kern w:val="0"/>
                <w:sz w:val="22"/>
              </w:rPr>
            </w:pPr>
            <w:r>
              <w:rPr>
                <w:rFonts w:hint="eastAsia" w:ascii="宋体" w:hAnsi="宋体" w:eastAsia="宋体" w:cs="宋体"/>
                <w:b/>
                <w:bCs/>
                <w:color w:val="333333"/>
                <w:kern w:val="0"/>
                <w:sz w:val="22"/>
              </w:rPr>
              <w:t>自评得分</w:t>
            </w:r>
          </w:p>
        </w:tc>
        <w:tc>
          <w:tcPr>
            <w:tcW w:w="2066" w:type="dxa"/>
            <w:shd w:val="clear" w:color="auto" w:fill="BDD6EE"/>
            <w:vAlign w:val="center"/>
          </w:tcPr>
          <w:p>
            <w:pPr>
              <w:widowControl/>
              <w:ind w:firstLine="0" w:firstLineChars="0"/>
              <w:jc w:val="left"/>
              <w:textAlignment w:val="center"/>
              <w:rPr>
                <w:rFonts w:ascii="宋体" w:hAnsi="宋体" w:eastAsia="宋体" w:cs="宋体"/>
                <w:b/>
                <w:bCs/>
                <w:color w:val="333333"/>
                <w:kern w:val="0"/>
                <w:sz w:val="22"/>
              </w:rPr>
            </w:pPr>
            <w:r>
              <w:rPr>
                <w:rFonts w:hint="eastAsia" w:ascii="宋体" w:hAnsi="宋体" w:eastAsia="宋体" w:cs="宋体"/>
                <w:b/>
                <w:bCs/>
                <w:color w:val="333333"/>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25" w:hRule="atLeast"/>
        </w:trPr>
        <w:tc>
          <w:tcPr>
            <w:tcW w:w="343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预算执行率</w:t>
            </w:r>
          </w:p>
        </w:tc>
        <w:tc>
          <w:tcPr>
            <w:tcW w:w="1630"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65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9.86</w:t>
            </w:r>
          </w:p>
        </w:tc>
        <w:tc>
          <w:tcPr>
            <w:tcW w:w="206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98.60%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25" w:hRule="atLeast"/>
        </w:trPr>
        <w:tc>
          <w:tcPr>
            <w:tcW w:w="343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成本指标</w:t>
            </w:r>
          </w:p>
        </w:tc>
        <w:tc>
          <w:tcPr>
            <w:tcW w:w="1630"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20</w:t>
            </w:r>
          </w:p>
        </w:tc>
        <w:tc>
          <w:tcPr>
            <w:tcW w:w="165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20</w:t>
            </w:r>
          </w:p>
        </w:tc>
        <w:tc>
          <w:tcPr>
            <w:tcW w:w="206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25" w:hRule="atLeast"/>
        </w:trPr>
        <w:tc>
          <w:tcPr>
            <w:tcW w:w="343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产出指标</w:t>
            </w:r>
          </w:p>
        </w:tc>
        <w:tc>
          <w:tcPr>
            <w:tcW w:w="1630"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40</w:t>
            </w:r>
          </w:p>
        </w:tc>
        <w:tc>
          <w:tcPr>
            <w:tcW w:w="165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38.54</w:t>
            </w:r>
          </w:p>
        </w:tc>
        <w:tc>
          <w:tcPr>
            <w:tcW w:w="206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96.35%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25" w:hRule="atLeast"/>
        </w:trPr>
        <w:tc>
          <w:tcPr>
            <w:tcW w:w="343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效益指标</w:t>
            </w:r>
          </w:p>
        </w:tc>
        <w:tc>
          <w:tcPr>
            <w:tcW w:w="1630"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20</w:t>
            </w:r>
          </w:p>
        </w:tc>
        <w:tc>
          <w:tcPr>
            <w:tcW w:w="165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20</w:t>
            </w:r>
          </w:p>
        </w:tc>
        <w:tc>
          <w:tcPr>
            <w:tcW w:w="206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25" w:hRule="atLeast"/>
        </w:trPr>
        <w:tc>
          <w:tcPr>
            <w:tcW w:w="343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满意度指标</w:t>
            </w:r>
          </w:p>
        </w:tc>
        <w:tc>
          <w:tcPr>
            <w:tcW w:w="1630"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65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206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38" w:hRule="atLeast"/>
        </w:trPr>
        <w:tc>
          <w:tcPr>
            <w:tcW w:w="3431" w:type="dxa"/>
            <w:shd w:val="clear" w:color="auto" w:fill="BDD6EE"/>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合计</w:t>
            </w:r>
          </w:p>
        </w:tc>
        <w:tc>
          <w:tcPr>
            <w:tcW w:w="1630" w:type="dxa"/>
            <w:shd w:val="clear" w:color="auto" w:fill="BDD6EE"/>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w:t>
            </w:r>
          </w:p>
        </w:tc>
        <w:tc>
          <w:tcPr>
            <w:tcW w:w="1651" w:type="dxa"/>
            <w:shd w:val="clear" w:color="auto" w:fill="BDD6EE"/>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98.4</w:t>
            </w:r>
          </w:p>
        </w:tc>
        <w:tc>
          <w:tcPr>
            <w:tcW w:w="2066" w:type="dxa"/>
            <w:shd w:val="clear" w:color="auto" w:fill="BDD6EE"/>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98.4%</w:t>
            </w:r>
          </w:p>
        </w:tc>
      </w:tr>
    </w:tbl>
    <w:p>
      <w:pPr>
        <w:pStyle w:val="4"/>
        <w:ind w:firstLine="562"/>
      </w:pPr>
      <w:r>
        <w:rPr>
          <w:rFonts w:hint="eastAsia"/>
        </w:rPr>
        <w:t>1.项目支出预算总体情况</w:t>
      </w:r>
    </w:p>
    <w:p>
      <w:pPr>
        <w:ind w:firstLine="560"/>
      </w:pPr>
      <w:r>
        <w:rPr>
          <w:rFonts w:hint="eastAsia"/>
        </w:rPr>
        <w:t>业务费项目年初预算数为118万元，全年预算数为171.14万元，全年执行数168.68万元，预算执行率98.56%，满分10分，得分9.86分，得分率98.60%。</w:t>
      </w:r>
    </w:p>
    <w:p>
      <w:pPr>
        <w:pStyle w:val="4"/>
        <w:ind w:firstLine="562"/>
      </w:pPr>
      <w:r>
        <w:rPr>
          <w:rFonts w:hint="eastAsia"/>
        </w:rPr>
        <w:t>2.总体绩效目标完成情况分析</w:t>
      </w:r>
    </w:p>
    <w:p>
      <w:pPr>
        <w:ind w:firstLine="560"/>
      </w:pPr>
      <w:r>
        <w:rPr>
          <w:rFonts w:hint="eastAsia"/>
        </w:rPr>
        <w:t>本年度通过实施全省法院业务费项目，不断完善我院审判机制，刑事案件审结率、民事案件审结率和商事案件审结率均达到90%以上，执行案件结案率达到95%以上，法定审限内结案率达到96%以上；积极开展物业保障工作，为我院执法办案工作提供良好的办公环境。</w:t>
      </w:r>
    </w:p>
    <w:p>
      <w:pPr>
        <w:pStyle w:val="4"/>
        <w:keepNext w:val="0"/>
        <w:keepLines w:val="0"/>
        <w:ind w:firstLine="562"/>
      </w:pPr>
      <w:r>
        <w:rPr>
          <w:rFonts w:hint="eastAsia"/>
        </w:rPr>
        <w:t>3.各项指标完成情况分析</w:t>
      </w:r>
    </w:p>
    <w:p>
      <w:pPr>
        <w:pStyle w:val="5"/>
        <w:keepNext w:val="0"/>
        <w:keepLines w:val="0"/>
        <w:spacing w:before="0" w:after="0" w:line="360" w:lineRule="auto"/>
        <w:ind w:firstLine="562"/>
        <w:rPr>
          <w:rFonts w:ascii="仿宋_GB2312" w:hAnsi="仿宋_GB2312" w:eastAsia="仿宋_GB2312" w:cs="仿宋_GB2312"/>
        </w:rPr>
      </w:pPr>
      <w:r>
        <w:rPr>
          <w:rFonts w:hint="eastAsia" w:ascii="仿宋_GB2312" w:hAnsi="仿宋_GB2312" w:eastAsia="仿宋_GB2312" w:cs="仿宋_GB2312"/>
        </w:rPr>
        <w:t>（1）成本指标</w:t>
      </w:r>
    </w:p>
    <w:p>
      <w:pPr>
        <w:ind w:firstLine="560"/>
      </w:pPr>
      <w:r>
        <w:rPr>
          <w:rFonts w:hint="eastAsia"/>
        </w:rPr>
        <w:t>成本指标下设经济成本指标1个二级指标。总分值20分，得分20分，得分率100.00%。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2"/>
        <w:gridCol w:w="1771"/>
        <w:gridCol w:w="1800"/>
        <w:gridCol w:w="1095"/>
        <w:gridCol w:w="915"/>
        <w:gridCol w:w="900"/>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2" w:type="dxa"/>
            <w:shd w:val="clear" w:color="auto" w:fill="BDD6EE"/>
            <w:vAlign w:val="center"/>
          </w:tcPr>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二级指标</w:t>
            </w:r>
          </w:p>
        </w:tc>
        <w:tc>
          <w:tcPr>
            <w:tcW w:w="1771"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三级指标</w:t>
            </w:r>
          </w:p>
        </w:tc>
        <w:tc>
          <w:tcPr>
            <w:tcW w:w="1800"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年度指标值</w:t>
            </w:r>
          </w:p>
        </w:tc>
        <w:tc>
          <w:tcPr>
            <w:tcW w:w="1095"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实际</w:t>
            </w:r>
          </w:p>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完成值</w:t>
            </w:r>
          </w:p>
        </w:tc>
        <w:tc>
          <w:tcPr>
            <w:tcW w:w="915" w:type="dxa"/>
            <w:shd w:val="clear" w:color="auto" w:fill="BDD6EE"/>
            <w:vAlign w:val="center"/>
          </w:tcPr>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分值</w:t>
            </w:r>
          </w:p>
        </w:tc>
        <w:tc>
          <w:tcPr>
            <w:tcW w:w="900"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自评</w:t>
            </w:r>
          </w:p>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得分</w:t>
            </w:r>
          </w:p>
        </w:tc>
        <w:tc>
          <w:tcPr>
            <w:tcW w:w="1046" w:type="dxa"/>
            <w:shd w:val="clear" w:color="auto" w:fill="BDD6EE"/>
            <w:vAlign w:val="center"/>
          </w:tcPr>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2" w:type="dxa"/>
            <w:vAlign w:val="center"/>
          </w:tcPr>
          <w:p>
            <w:pPr>
              <w:widowControl/>
              <w:ind w:firstLine="0" w:firstLineChars="0"/>
              <w:textAlignment w:val="center"/>
              <w:rPr>
                <w:rFonts w:hAnsi="宋体" w:cs="宋体"/>
                <w:color w:val="000000"/>
                <w:kern w:val="0"/>
                <w:sz w:val="22"/>
              </w:rPr>
            </w:pPr>
            <w:r>
              <w:rPr>
                <w:rFonts w:hint="eastAsia" w:ascii="宋体" w:hAnsi="宋体" w:eastAsia="宋体" w:cs="宋体"/>
                <w:color w:val="333333"/>
                <w:kern w:val="0"/>
                <w:sz w:val="22"/>
              </w:rPr>
              <w:t>经济成本指标</w:t>
            </w:r>
          </w:p>
        </w:tc>
        <w:tc>
          <w:tcPr>
            <w:tcW w:w="1771" w:type="dxa"/>
            <w:vAlign w:val="center"/>
          </w:tcPr>
          <w:p>
            <w:pPr>
              <w:widowControl/>
              <w:ind w:firstLine="0" w:firstLineChars="0"/>
              <w:jc w:val="left"/>
              <w:textAlignment w:val="center"/>
              <w:rPr>
                <w:rFonts w:hAnsi="宋体" w:cs="仿宋_GB2312"/>
                <w:color w:val="000000"/>
                <w:kern w:val="0"/>
                <w:sz w:val="22"/>
              </w:rPr>
            </w:pPr>
            <w:r>
              <w:rPr>
                <w:rFonts w:hint="eastAsia" w:ascii="宋体" w:hAnsi="宋体" w:eastAsia="宋体" w:cs="宋体"/>
                <w:color w:val="333333"/>
                <w:kern w:val="0"/>
                <w:sz w:val="22"/>
              </w:rPr>
              <w:t>成本控制情况</w:t>
            </w:r>
          </w:p>
        </w:tc>
        <w:tc>
          <w:tcPr>
            <w:tcW w:w="1800"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在预算范围之内</w:t>
            </w:r>
          </w:p>
        </w:tc>
        <w:tc>
          <w:tcPr>
            <w:tcW w:w="109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100%</w:t>
            </w:r>
          </w:p>
        </w:tc>
        <w:tc>
          <w:tcPr>
            <w:tcW w:w="91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20</w:t>
            </w:r>
          </w:p>
        </w:tc>
        <w:tc>
          <w:tcPr>
            <w:tcW w:w="900"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20</w:t>
            </w:r>
          </w:p>
        </w:tc>
        <w:tc>
          <w:tcPr>
            <w:tcW w:w="1046"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2"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771"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80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09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915"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900"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ind w:firstLine="562"/>
        <w:rPr>
          <w:rFonts w:hAnsi="宋体"/>
          <w:szCs w:val="28"/>
        </w:rPr>
      </w:pPr>
      <w:r>
        <w:rPr>
          <w:rFonts w:hint="eastAsia" w:hAnsi="宋体"/>
          <w:b/>
          <w:bCs/>
          <w:szCs w:val="28"/>
        </w:rPr>
        <w:t>成本控制情况：</w:t>
      </w:r>
      <w:r>
        <w:rPr>
          <w:rFonts w:hint="eastAsia" w:hAnsi="宋体"/>
          <w:szCs w:val="28"/>
        </w:rPr>
        <w:t>我院2023年全省法院业务费成本控制在全年预算数以内，节约经济增长成本，符合年度指标值的要求。该指标分值20分，自评得分为20分，得分率为100.00%。</w:t>
      </w:r>
    </w:p>
    <w:p>
      <w:pPr>
        <w:pStyle w:val="5"/>
        <w:keepNext w:val="0"/>
        <w:keepLines w:val="0"/>
        <w:spacing w:before="0" w:after="0" w:line="360" w:lineRule="auto"/>
        <w:ind w:firstLine="562"/>
        <w:rPr>
          <w:rFonts w:ascii="仿宋_GB2312" w:hAnsi="仿宋_GB2312" w:eastAsia="仿宋_GB2312" w:cs="仿宋_GB2312"/>
        </w:rPr>
      </w:pPr>
      <w:r>
        <w:rPr>
          <w:rFonts w:hint="eastAsia" w:ascii="仿宋_GB2312" w:hAnsi="仿宋_GB2312" w:eastAsia="仿宋_GB2312" w:cs="仿宋_GB2312"/>
        </w:rPr>
        <w:t>（2）产出指标</w:t>
      </w:r>
    </w:p>
    <w:p>
      <w:pPr>
        <w:ind w:firstLine="560"/>
      </w:pPr>
      <w:r>
        <w:rPr>
          <w:rFonts w:hint="eastAsia"/>
        </w:rPr>
        <w:t>产出指标下设数量、质量、时效3个二级指标。总分值40分，得分38.54分，得分率96.35%。</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29"/>
        <w:gridCol w:w="3188"/>
        <w:gridCol w:w="1347"/>
        <w:gridCol w:w="1215"/>
        <w:gridCol w:w="738"/>
        <w:gridCol w:w="806"/>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二级</w:t>
            </w:r>
          </w:p>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指标</w:t>
            </w:r>
          </w:p>
        </w:tc>
        <w:tc>
          <w:tcPr>
            <w:tcW w:w="3188"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三级指标</w:t>
            </w:r>
          </w:p>
        </w:tc>
        <w:tc>
          <w:tcPr>
            <w:tcW w:w="1347"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年度</w:t>
            </w:r>
          </w:p>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指标值</w:t>
            </w:r>
          </w:p>
        </w:tc>
        <w:tc>
          <w:tcPr>
            <w:tcW w:w="1215"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实际</w:t>
            </w:r>
          </w:p>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完成值</w:t>
            </w:r>
          </w:p>
        </w:tc>
        <w:tc>
          <w:tcPr>
            <w:tcW w:w="738" w:type="dxa"/>
            <w:shd w:val="clear" w:color="auto" w:fill="BDD6EE"/>
            <w:vAlign w:val="center"/>
          </w:tcPr>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分值</w:t>
            </w:r>
          </w:p>
        </w:tc>
        <w:tc>
          <w:tcPr>
            <w:tcW w:w="806" w:type="dxa"/>
            <w:shd w:val="clear" w:color="auto" w:fill="BDD6EE"/>
            <w:vAlign w:val="center"/>
          </w:tcPr>
          <w:p>
            <w:pPr>
              <w:widowControl/>
              <w:ind w:firstLine="0" w:firstLineChars="0"/>
              <w:jc w:val="center"/>
              <w:textAlignment w:val="center"/>
              <w:rPr>
                <w:rFonts w:hAnsi="宋体" w:cs="仿宋_GB2312"/>
                <w:b/>
                <w:bCs/>
                <w:color w:val="000000"/>
                <w:kern w:val="0"/>
                <w:sz w:val="22"/>
              </w:rPr>
            </w:pPr>
            <w:r>
              <w:rPr>
                <w:rFonts w:hint="eastAsia" w:hAnsi="宋体" w:cs="仿宋_GB2312"/>
                <w:b/>
                <w:bCs/>
                <w:color w:val="000000"/>
                <w:kern w:val="0"/>
                <w:sz w:val="22"/>
              </w:rPr>
              <w:t>自评</w:t>
            </w:r>
          </w:p>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得分</w:t>
            </w:r>
          </w:p>
        </w:tc>
        <w:tc>
          <w:tcPr>
            <w:tcW w:w="1046" w:type="dxa"/>
            <w:shd w:val="clear" w:color="auto" w:fill="BDD6EE"/>
            <w:vAlign w:val="center"/>
          </w:tcPr>
          <w:p>
            <w:pPr>
              <w:widowControl/>
              <w:ind w:firstLine="0" w:firstLineChars="0"/>
              <w:jc w:val="center"/>
              <w:textAlignment w:val="center"/>
              <w:rPr>
                <w:rFonts w:ascii="宋体" w:hAnsi="宋体" w:cs="宋体"/>
                <w:b/>
                <w:color w:val="000000"/>
                <w:kern w:val="0"/>
                <w:sz w:val="22"/>
              </w:rPr>
            </w:pPr>
            <w:r>
              <w:rPr>
                <w:rFonts w:hint="eastAsia" w:hAnsi="宋体" w:cs="仿宋_GB2312"/>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restart"/>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数量</w:t>
            </w:r>
          </w:p>
          <w:p>
            <w:pPr>
              <w:widowControl/>
              <w:ind w:firstLine="0" w:firstLineChars="0"/>
              <w:textAlignment w:val="center"/>
              <w:rPr>
                <w:rFonts w:hAnsi="宋体" w:cs="宋体"/>
                <w:color w:val="000000"/>
                <w:kern w:val="0"/>
                <w:sz w:val="22"/>
              </w:rPr>
            </w:pPr>
            <w:r>
              <w:rPr>
                <w:rFonts w:hint="eastAsia" w:ascii="宋体" w:hAnsi="宋体" w:eastAsia="宋体" w:cs="宋体"/>
                <w:color w:val="333333"/>
                <w:kern w:val="0"/>
                <w:sz w:val="22"/>
              </w:rPr>
              <w:t>指标</w:t>
            </w:r>
          </w:p>
        </w:tc>
        <w:tc>
          <w:tcPr>
            <w:tcW w:w="3188" w:type="dxa"/>
            <w:vAlign w:val="center"/>
          </w:tcPr>
          <w:p>
            <w:pPr>
              <w:widowControl/>
              <w:ind w:firstLine="0" w:firstLineChars="0"/>
              <w:jc w:val="left"/>
              <w:textAlignment w:val="center"/>
              <w:rPr>
                <w:rFonts w:hAnsi="宋体" w:cs="仿宋_GB2312"/>
                <w:color w:val="000000"/>
                <w:kern w:val="0"/>
                <w:sz w:val="22"/>
              </w:rPr>
            </w:pPr>
            <w:r>
              <w:rPr>
                <w:rFonts w:hint="eastAsia" w:ascii="宋体" w:hAnsi="宋体" w:eastAsia="宋体" w:cs="宋体"/>
                <w:color w:val="333333"/>
                <w:kern w:val="0"/>
                <w:sz w:val="22"/>
              </w:rPr>
              <w:t>办公设备购置数量</w:t>
            </w:r>
          </w:p>
        </w:tc>
        <w:tc>
          <w:tcPr>
            <w:tcW w:w="1347"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5套（个）</w:t>
            </w:r>
          </w:p>
        </w:tc>
        <w:tc>
          <w:tcPr>
            <w:tcW w:w="1215"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30套（个）</w:t>
            </w:r>
          </w:p>
        </w:tc>
        <w:tc>
          <w:tcPr>
            <w:tcW w:w="738"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hAnsi="宋体" w:cs="仿宋_GB2312"/>
                <w:color w:val="000000"/>
                <w:kern w:val="0"/>
                <w:sz w:val="22"/>
              </w:rPr>
            </w:pPr>
            <w:r>
              <w:rPr>
                <w:rFonts w:hint="eastAsia" w:ascii="宋体" w:hAnsi="宋体" w:eastAsia="宋体" w:cs="宋体"/>
                <w:color w:val="333333"/>
                <w:kern w:val="0"/>
                <w:sz w:val="22"/>
              </w:rPr>
              <w:t>2.17</w:t>
            </w:r>
          </w:p>
        </w:tc>
        <w:tc>
          <w:tcPr>
            <w:tcW w:w="1046"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59.78%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结案率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&gt;=85%</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95.67%</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3.7</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3.7</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物业管理面积</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10233㎡</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10233㎡</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信息化运维服务完成率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restart"/>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质量</w:t>
            </w:r>
          </w:p>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指标</w:t>
            </w: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办公设备购置验收合格率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物业管理合格率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信息化运维服务验收合格率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一审服判息诉率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&gt;=85%</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87.29%</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restart"/>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时效</w:t>
            </w:r>
          </w:p>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指标</w:t>
            </w: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法定审限内结案率</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&gt;=95%</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99.06%</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物业服务保障工作开展及时性</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vMerge w:val="continue"/>
            <w:vAlign w:val="center"/>
          </w:tcPr>
          <w:p>
            <w:pPr>
              <w:ind w:firstLine="440"/>
              <w:jc w:val="center"/>
              <w:rPr>
                <w:rFonts w:ascii="宋体" w:hAnsi="宋体" w:eastAsia="宋体" w:cs="宋体"/>
                <w:color w:val="333333"/>
                <w:kern w:val="0"/>
                <w:sz w:val="22"/>
              </w:rPr>
            </w:pPr>
          </w:p>
        </w:tc>
        <w:tc>
          <w:tcPr>
            <w:tcW w:w="3188"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信息化运维工作及时性</w:t>
            </w:r>
          </w:p>
        </w:tc>
        <w:tc>
          <w:tcPr>
            <w:tcW w:w="1347"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21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738"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806"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3.63</w:t>
            </w:r>
          </w:p>
        </w:tc>
        <w:tc>
          <w:tcPr>
            <w:tcW w:w="1046"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729"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3188"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347"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21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738"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40</w:t>
            </w:r>
          </w:p>
        </w:tc>
        <w:tc>
          <w:tcPr>
            <w:tcW w:w="806"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38.54</w:t>
            </w:r>
          </w:p>
        </w:tc>
        <w:tc>
          <w:tcPr>
            <w:tcW w:w="1046" w:type="dxa"/>
            <w:shd w:val="clear" w:color="auto" w:fill="BDD6EE"/>
            <w:vAlign w:val="center"/>
          </w:tcPr>
          <w:p>
            <w:pPr>
              <w:widowControl/>
              <w:ind w:firstLine="0" w:firstLineChars="0"/>
              <w:textAlignment w:val="center"/>
              <w:rPr>
                <w:rFonts w:ascii="宋体" w:hAnsi="宋体" w:eastAsia="宋体" w:cs="宋体"/>
                <w:kern w:val="0"/>
                <w:sz w:val="22"/>
              </w:rPr>
            </w:pPr>
            <w:r>
              <w:rPr>
                <w:rFonts w:hint="eastAsia" w:ascii="宋体" w:hAnsi="宋体" w:eastAsia="宋体" w:cs="宋体"/>
                <w:b/>
                <w:bCs/>
                <w:color w:val="000000"/>
                <w:kern w:val="0"/>
                <w:sz w:val="22"/>
              </w:rPr>
              <w:t>96.35%</w:t>
            </w:r>
          </w:p>
        </w:tc>
      </w:tr>
    </w:tbl>
    <w:p>
      <w:pPr>
        <w:ind w:firstLine="562"/>
        <w:rPr>
          <w:rFonts w:hAnsi="宋体"/>
          <w:b/>
          <w:bCs/>
        </w:rPr>
      </w:pPr>
      <w:r>
        <w:rPr>
          <w:rFonts w:hint="eastAsia" w:hAnsi="宋体"/>
          <w:b/>
          <w:bCs/>
          <w:szCs w:val="28"/>
        </w:rPr>
        <w:t>办公设备购置数量：</w:t>
      </w:r>
      <w:r>
        <w:rPr>
          <w:rFonts w:hint="eastAsia"/>
        </w:rPr>
        <w:t>年度目标值5套（个），实际完成值30套（个）。指标分值3.63分，自评得分2.17分，得分率为59.78%。</w:t>
      </w:r>
    </w:p>
    <w:p>
      <w:pPr>
        <w:ind w:firstLine="562"/>
      </w:pPr>
      <w:r>
        <w:rPr>
          <w:rFonts w:hint="eastAsia"/>
          <w:b/>
          <w:bCs/>
        </w:rPr>
        <w:t>结案率：</w:t>
      </w:r>
      <w:r>
        <w:rPr>
          <w:rFonts w:hint="eastAsia"/>
        </w:rPr>
        <w:t>我院2023年我院立案件数4966件，结案4751件，结案率95.67%，年度目标值大于等于85%</w:t>
      </w:r>
      <w:r>
        <w:t>。</w:t>
      </w:r>
      <w:r>
        <w:rPr>
          <w:rFonts w:hint="eastAsia"/>
        </w:rPr>
        <w:t>该指标分值3.7分，自评得分3.7分，得分率为100.00%。</w:t>
      </w:r>
    </w:p>
    <w:p>
      <w:pPr>
        <w:ind w:firstLine="562"/>
        <w:rPr>
          <w:rFonts w:hAnsi="宋体"/>
          <w:b/>
          <w:bCs/>
          <w:szCs w:val="28"/>
        </w:rPr>
      </w:pPr>
      <w:r>
        <w:rPr>
          <w:rFonts w:hint="eastAsia" w:hAnsi="宋体"/>
          <w:b/>
          <w:bCs/>
          <w:szCs w:val="28"/>
        </w:rPr>
        <w:t>物业管理面积：</w:t>
      </w:r>
      <w:r>
        <w:rPr>
          <w:rFonts w:hint="eastAsia" w:hAnsi="宋体"/>
          <w:szCs w:val="28"/>
        </w:rPr>
        <w:t>我院2023年度物业管理面积10233㎡，达到年度指标值。该指标分值3.63分，自评得分为3.63分，得分率为100.00%。</w:t>
      </w:r>
    </w:p>
    <w:p>
      <w:pPr>
        <w:ind w:firstLine="562"/>
        <w:rPr>
          <w:rFonts w:hAnsi="宋体"/>
          <w:b/>
          <w:bCs/>
          <w:szCs w:val="28"/>
        </w:rPr>
      </w:pPr>
      <w:r>
        <w:rPr>
          <w:rFonts w:hint="eastAsia" w:hAnsi="宋体"/>
          <w:b/>
          <w:bCs/>
          <w:szCs w:val="28"/>
        </w:rPr>
        <w:t>信息化运维服务完成率：</w:t>
      </w:r>
      <w:r>
        <w:rPr>
          <w:rFonts w:hint="eastAsia" w:hAnsi="宋体"/>
          <w:szCs w:val="28"/>
        </w:rPr>
        <w:t>我院信息化运维服务完成率达到年度指标值。该指标分值3.63分，自评得分为3.63分，得分率为100.00%。</w:t>
      </w:r>
    </w:p>
    <w:p>
      <w:pPr>
        <w:ind w:firstLine="562"/>
        <w:rPr>
          <w:rFonts w:hAnsi="宋体"/>
          <w:b/>
          <w:bCs/>
          <w:szCs w:val="28"/>
        </w:rPr>
      </w:pPr>
      <w:r>
        <w:rPr>
          <w:rFonts w:hint="eastAsia" w:hAnsi="宋体"/>
          <w:b/>
          <w:bCs/>
          <w:szCs w:val="28"/>
        </w:rPr>
        <w:t>办公设备购置验收合格率：</w:t>
      </w:r>
      <w:r>
        <w:rPr>
          <w:rFonts w:hint="eastAsia" w:hAnsi="宋体"/>
          <w:szCs w:val="28"/>
        </w:rPr>
        <w:t>我院办公设备购置验收合格率达到年度指标值。该指标分值3.63分，自评得分为3.63分，得分率为100.00%。</w:t>
      </w:r>
    </w:p>
    <w:p>
      <w:pPr>
        <w:ind w:firstLine="562"/>
        <w:rPr>
          <w:rFonts w:hAnsi="宋体"/>
          <w:b/>
          <w:bCs/>
          <w:szCs w:val="28"/>
        </w:rPr>
      </w:pPr>
      <w:r>
        <w:rPr>
          <w:rFonts w:hint="eastAsia" w:hAnsi="宋体"/>
          <w:b/>
          <w:bCs/>
          <w:szCs w:val="28"/>
        </w:rPr>
        <w:t>物业管理合格率：</w:t>
      </w:r>
      <w:r>
        <w:rPr>
          <w:rFonts w:hint="eastAsia" w:hAnsi="宋体"/>
          <w:szCs w:val="28"/>
        </w:rPr>
        <w:t>我院物业管理合格率达到年度指标值。该指标分值3.63分，自评得分为3.63分，得分率为100.00%。</w:t>
      </w:r>
    </w:p>
    <w:p>
      <w:pPr>
        <w:ind w:firstLine="562"/>
        <w:rPr>
          <w:rFonts w:hAnsi="宋体"/>
          <w:szCs w:val="28"/>
        </w:rPr>
      </w:pPr>
      <w:r>
        <w:rPr>
          <w:rFonts w:hint="eastAsia" w:hAnsi="宋体"/>
          <w:b/>
          <w:bCs/>
          <w:szCs w:val="28"/>
        </w:rPr>
        <w:t>信息化运维服务验收合格率：</w:t>
      </w:r>
      <w:r>
        <w:rPr>
          <w:rFonts w:hint="eastAsia" w:hAnsi="宋体"/>
          <w:szCs w:val="28"/>
        </w:rPr>
        <w:t>我院信息化运维服务验收合格率100.00%，达到年度指标值。该指标分值3.63分，自评得分为3.63分，得分率为100.00%。</w:t>
      </w:r>
    </w:p>
    <w:p>
      <w:pPr>
        <w:ind w:firstLine="562"/>
        <w:rPr>
          <w:rFonts w:hAnsi="宋体"/>
          <w:szCs w:val="28"/>
        </w:rPr>
      </w:pPr>
      <w:r>
        <w:rPr>
          <w:rFonts w:hint="eastAsia" w:hAnsi="宋体"/>
          <w:b/>
          <w:bCs/>
          <w:szCs w:val="28"/>
        </w:rPr>
        <w:t>一审服判息诉率：</w:t>
      </w:r>
      <w:r>
        <w:rPr>
          <w:rFonts w:hint="eastAsia" w:hAnsi="宋体"/>
          <w:szCs w:val="28"/>
        </w:rPr>
        <w:t>我院2023年度</w:t>
      </w:r>
      <w:r>
        <w:rPr>
          <w:rFonts w:hint="eastAsia"/>
        </w:rPr>
        <w:t>一审服判息诉率目标值大于等于85</w:t>
      </w:r>
      <w:r>
        <w:t>%</w:t>
      </w:r>
      <w:r>
        <w:rPr>
          <w:rFonts w:hint="eastAsia"/>
        </w:rPr>
        <w:t>，实际完成率87.29%。指标分值</w:t>
      </w:r>
      <w:r>
        <w:rPr>
          <w:rFonts w:hint="eastAsia" w:hAnsi="宋体"/>
          <w:szCs w:val="28"/>
        </w:rPr>
        <w:t>3.63分，自评得分为3.63</w:t>
      </w:r>
      <w:r>
        <w:rPr>
          <w:rFonts w:hint="eastAsia"/>
        </w:rPr>
        <w:t>分，得分率为100.00%。</w:t>
      </w:r>
    </w:p>
    <w:p>
      <w:pPr>
        <w:ind w:firstLine="562"/>
        <w:rPr>
          <w:b/>
          <w:bCs/>
        </w:rPr>
      </w:pPr>
      <w:r>
        <w:rPr>
          <w:rFonts w:hint="eastAsia"/>
          <w:b/>
          <w:bCs/>
        </w:rPr>
        <w:t>法定审限内结案率：</w:t>
      </w:r>
      <w:r>
        <w:rPr>
          <w:rFonts w:hint="eastAsia"/>
        </w:rPr>
        <w:t>年度目标值大于等于95%，实际完成值99.06%。指标分值</w:t>
      </w:r>
      <w:r>
        <w:rPr>
          <w:rFonts w:hint="eastAsia" w:hAnsi="宋体"/>
          <w:szCs w:val="28"/>
        </w:rPr>
        <w:t>3.63分，自评得分为3.63</w:t>
      </w:r>
      <w:r>
        <w:rPr>
          <w:rFonts w:hint="eastAsia"/>
        </w:rPr>
        <w:t>分，得分率为100.00%。</w:t>
      </w:r>
    </w:p>
    <w:p>
      <w:pPr>
        <w:ind w:firstLine="562"/>
      </w:pPr>
      <w:r>
        <w:rPr>
          <w:rFonts w:hint="eastAsia"/>
          <w:b/>
          <w:bCs/>
        </w:rPr>
        <w:t>物业服务保障工作开展及时性：</w:t>
      </w:r>
      <w:r>
        <w:rPr>
          <w:rFonts w:hint="eastAsia"/>
        </w:rPr>
        <w:t>我院2023年物业服务保障工作开展及时。指标分值</w:t>
      </w:r>
      <w:r>
        <w:rPr>
          <w:rFonts w:hint="eastAsia" w:hAnsi="宋体"/>
          <w:szCs w:val="28"/>
        </w:rPr>
        <w:t>3.63分，自评得分为3.63</w:t>
      </w:r>
      <w:r>
        <w:rPr>
          <w:rFonts w:hint="eastAsia"/>
        </w:rPr>
        <w:t>分，得分率为100.00%。</w:t>
      </w:r>
    </w:p>
    <w:p>
      <w:pPr>
        <w:ind w:firstLine="562"/>
      </w:pPr>
      <w:r>
        <w:rPr>
          <w:rFonts w:hint="eastAsia"/>
          <w:b/>
          <w:bCs/>
        </w:rPr>
        <w:t>信息化运维工作及时性：</w:t>
      </w:r>
      <w:r>
        <w:rPr>
          <w:rFonts w:hint="eastAsia"/>
        </w:rPr>
        <w:t>我院2023年信息化运维工作及时。指标分值</w:t>
      </w:r>
      <w:r>
        <w:rPr>
          <w:rFonts w:hint="eastAsia" w:hAnsi="宋体"/>
          <w:szCs w:val="28"/>
        </w:rPr>
        <w:t>3.63分，自评得分为3.63</w:t>
      </w:r>
      <w:r>
        <w:rPr>
          <w:rFonts w:hint="eastAsia"/>
        </w:rPr>
        <w:t>分，得分率为100.00%。</w:t>
      </w:r>
    </w:p>
    <w:p>
      <w:pPr>
        <w:pStyle w:val="5"/>
        <w:keepNext w:val="0"/>
        <w:keepLines w:val="0"/>
        <w:spacing w:before="0" w:after="0" w:line="360" w:lineRule="auto"/>
        <w:ind w:firstLine="562"/>
        <w:rPr>
          <w:rFonts w:ascii="仿宋_GB2312" w:hAnsi="仿宋_GB2312" w:eastAsia="仿宋_GB2312" w:cs="仿宋_GB2312"/>
        </w:rPr>
      </w:pPr>
      <w:r>
        <w:rPr>
          <w:rFonts w:hint="eastAsia" w:ascii="仿宋_GB2312" w:hAnsi="仿宋_GB2312" w:eastAsia="仿宋_GB2312" w:cs="仿宋_GB2312"/>
        </w:rPr>
        <w:t>（3）效益指标</w:t>
      </w:r>
    </w:p>
    <w:p>
      <w:pPr>
        <w:ind w:firstLine="560"/>
      </w:pPr>
      <w:r>
        <w:rPr>
          <w:rFonts w:hint="eastAsia"/>
        </w:rPr>
        <w:t>效益指标下设经济效益、社会效益指标、生态效益指标3个二级指标。总分值20分，得分20分，得分率100.00%。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44"/>
        <w:gridCol w:w="1875"/>
        <w:gridCol w:w="1365"/>
        <w:gridCol w:w="1410"/>
        <w:gridCol w:w="720"/>
        <w:gridCol w:w="1062"/>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二级指标</w:t>
            </w:r>
          </w:p>
        </w:tc>
        <w:tc>
          <w:tcPr>
            <w:tcW w:w="187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三级指标</w:t>
            </w:r>
          </w:p>
        </w:tc>
        <w:tc>
          <w:tcPr>
            <w:tcW w:w="136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年度</w:t>
            </w:r>
          </w:p>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指标值</w:t>
            </w:r>
          </w:p>
        </w:tc>
        <w:tc>
          <w:tcPr>
            <w:tcW w:w="141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实际</w:t>
            </w:r>
          </w:p>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完成值</w:t>
            </w:r>
          </w:p>
        </w:tc>
        <w:tc>
          <w:tcPr>
            <w:tcW w:w="720"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分值</w:t>
            </w:r>
          </w:p>
        </w:tc>
        <w:tc>
          <w:tcPr>
            <w:tcW w:w="1062" w:type="dxa"/>
            <w:shd w:val="clear" w:color="auto" w:fill="BDD6EE"/>
            <w:vAlign w:val="center"/>
          </w:tcPr>
          <w:p>
            <w:pPr>
              <w:widowControl/>
              <w:ind w:firstLine="0" w:firstLineChars="0"/>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自评</w:t>
            </w:r>
          </w:p>
          <w:p>
            <w:pPr>
              <w:widowControl/>
              <w:ind w:firstLine="0" w:firstLineChars="0"/>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得分</w:t>
            </w:r>
          </w:p>
        </w:tc>
        <w:tc>
          <w:tcPr>
            <w:tcW w:w="1093"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0"/>
                <w:szCs w:val="20"/>
              </w:rPr>
              <w:t>经济效益指标</w:t>
            </w:r>
          </w:p>
        </w:tc>
        <w:tc>
          <w:tcPr>
            <w:tcW w:w="187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挽回经济损失效果</w:t>
            </w:r>
          </w:p>
        </w:tc>
        <w:tc>
          <w:tcPr>
            <w:tcW w:w="1365"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显著</w:t>
            </w:r>
          </w:p>
        </w:tc>
        <w:tc>
          <w:tcPr>
            <w:tcW w:w="1410" w:type="dxa"/>
            <w:vAlign w:val="center"/>
          </w:tcPr>
          <w:p>
            <w:pPr>
              <w:widowControl/>
              <w:ind w:firstLine="40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98%</w:t>
            </w:r>
          </w:p>
        </w:tc>
        <w:tc>
          <w:tcPr>
            <w:tcW w:w="72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62"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9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Merge w:val="restart"/>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0"/>
                <w:szCs w:val="20"/>
              </w:rPr>
              <w:t>社会效益指标</w:t>
            </w:r>
          </w:p>
        </w:tc>
        <w:tc>
          <w:tcPr>
            <w:tcW w:w="1875" w:type="dxa"/>
            <w:vAlign w:val="center"/>
          </w:tcPr>
          <w:p>
            <w:pPr>
              <w:widowControl/>
              <w:ind w:firstLine="0" w:firstLineChars="0"/>
              <w:jc w:val="left"/>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维护社会稳定</w:t>
            </w:r>
          </w:p>
        </w:tc>
        <w:tc>
          <w:tcPr>
            <w:tcW w:w="1365" w:type="dxa"/>
            <w:vAlign w:val="center"/>
          </w:tcPr>
          <w:p>
            <w:pPr>
              <w:widowControl/>
              <w:ind w:firstLine="0" w:firstLineChars="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良好</w:t>
            </w:r>
          </w:p>
        </w:tc>
        <w:tc>
          <w:tcPr>
            <w:tcW w:w="1410" w:type="dxa"/>
            <w:vAlign w:val="center"/>
          </w:tcPr>
          <w:p>
            <w:pPr>
              <w:widowControl/>
              <w:ind w:firstLine="40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100.00%</w:t>
            </w:r>
          </w:p>
        </w:tc>
        <w:tc>
          <w:tcPr>
            <w:tcW w:w="720" w:type="dxa"/>
            <w:vAlign w:val="center"/>
          </w:tcPr>
          <w:p>
            <w:pPr>
              <w:widowControl/>
              <w:ind w:firstLine="0" w:firstLineChars="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5</w:t>
            </w:r>
          </w:p>
        </w:tc>
        <w:tc>
          <w:tcPr>
            <w:tcW w:w="1062" w:type="dxa"/>
            <w:vAlign w:val="center"/>
          </w:tcPr>
          <w:p>
            <w:pPr>
              <w:widowControl/>
              <w:ind w:firstLine="0" w:firstLineChars="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5</w:t>
            </w:r>
          </w:p>
        </w:tc>
        <w:tc>
          <w:tcPr>
            <w:tcW w:w="1093" w:type="dxa"/>
            <w:vAlign w:val="center"/>
          </w:tcPr>
          <w:p>
            <w:pPr>
              <w:widowControl/>
              <w:ind w:firstLine="0" w:firstLineChars="0"/>
              <w:jc w:val="left"/>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88" w:hRule="atLeast"/>
          <w:tblHeader/>
          <w:jc w:val="center"/>
        </w:trPr>
        <w:tc>
          <w:tcPr>
            <w:tcW w:w="1544" w:type="dxa"/>
            <w:vMerge w:val="continue"/>
            <w:vAlign w:val="center"/>
          </w:tcPr>
          <w:p>
            <w:pPr>
              <w:ind w:firstLine="480"/>
              <w:jc w:val="center"/>
              <w:rPr>
                <w:rFonts w:ascii="宋体" w:hAnsi="宋体" w:eastAsia="宋体" w:cs="宋体"/>
                <w:color w:val="000000"/>
                <w:kern w:val="0"/>
                <w:sz w:val="24"/>
                <w:szCs w:val="24"/>
              </w:rPr>
            </w:pPr>
          </w:p>
        </w:tc>
        <w:tc>
          <w:tcPr>
            <w:tcW w:w="187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有效保障审判服务</w:t>
            </w:r>
          </w:p>
        </w:tc>
        <w:tc>
          <w:tcPr>
            <w:tcW w:w="1365"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有效保障</w:t>
            </w:r>
          </w:p>
        </w:tc>
        <w:tc>
          <w:tcPr>
            <w:tcW w:w="1410" w:type="dxa"/>
            <w:vAlign w:val="center"/>
          </w:tcPr>
          <w:p>
            <w:pPr>
              <w:widowControl/>
              <w:ind w:firstLine="40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98%</w:t>
            </w:r>
          </w:p>
        </w:tc>
        <w:tc>
          <w:tcPr>
            <w:tcW w:w="72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62"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9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0"/>
                <w:szCs w:val="20"/>
              </w:rPr>
              <w:t>生态效益指标</w:t>
            </w:r>
          </w:p>
        </w:tc>
        <w:tc>
          <w:tcPr>
            <w:tcW w:w="187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打击生态犯罪，维护生态秩序</w:t>
            </w:r>
          </w:p>
        </w:tc>
        <w:tc>
          <w:tcPr>
            <w:tcW w:w="1365"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有效维护</w:t>
            </w:r>
          </w:p>
        </w:tc>
        <w:tc>
          <w:tcPr>
            <w:tcW w:w="1410" w:type="dxa"/>
            <w:vAlign w:val="center"/>
          </w:tcPr>
          <w:p>
            <w:pPr>
              <w:widowControl/>
              <w:ind w:firstLine="40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90%</w:t>
            </w:r>
          </w:p>
        </w:tc>
        <w:tc>
          <w:tcPr>
            <w:tcW w:w="72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62"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9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44"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87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36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41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720" w:type="dxa"/>
            <w:shd w:val="clear" w:color="auto" w:fill="BDD6EE"/>
            <w:vAlign w:val="center"/>
          </w:tcPr>
          <w:p>
            <w:pPr>
              <w:widowControl/>
              <w:ind w:firstLine="221" w:firstLineChars="10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1062"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 xml:space="preserve">   20</w:t>
            </w:r>
          </w:p>
        </w:tc>
        <w:tc>
          <w:tcPr>
            <w:tcW w:w="1093" w:type="dxa"/>
            <w:shd w:val="clear" w:color="auto" w:fill="BDD6EE"/>
            <w:vAlign w:val="center"/>
          </w:tcPr>
          <w:p>
            <w:pPr>
              <w:widowControl/>
              <w:ind w:firstLine="0" w:firstLineChars="0"/>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ind w:firstLine="562"/>
        <w:rPr>
          <w:rFonts w:hAnsi="宋体"/>
          <w:szCs w:val="28"/>
        </w:rPr>
      </w:pPr>
      <w:r>
        <w:rPr>
          <w:rFonts w:hint="eastAsia" w:hAnsi="宋体"/>
          <w:b/>
          <w:bCs/>
          <w:szCs w:val="28"/>
        </w:rPr>
        <w:t>挽回经济损失效果：</w:t>
      </w:r>
      <w:r>
        <w:rPr>
          <w:rFonts w:hint="eastAsia" w:hAnsi="宋体"/>
          <w:szCs w:val="28"/>
        </w:rPr>
        <w:t>我院2023年挽回经济损失效果显著，该指标分值5分，自评得分5分，得分率为100.00%。</w:t>
      </w:r>
    </w:p>
    <w:p>
      <w:pPr>
        <w:ind w:firstLine="562"/>
        <w:rPr>
          <w:rFonts w:hAnsi="宋体"/>
          <w:szCs w:val="28"/>
        </w:rPr>
      </w:pPr>
      <w:r>
        <w:rPr>
          <w:rFonts w:hint="eastAsia" w:hAnsi="宋体"/>
          <w:b/>
          <w:bCs/>
          <w:szCs w:val="28"/>
        </w:rPr>
        <w:t>维护社会稳定：</w:t>
      </w:r>
      <w:r>
        <w:rPr>
          <w:rFonts w:hint="eastAsia" w:hAnsi="宋体"/>
          <w:szCs w:val="28"/>
        </w:rPr>
        <w:t>我院维护社会稳定效果良好。该指标分值5分，自评得分为5分，得分率为100.00%。</w:t>
      </w:r>
    </w:p>
    <w:p>
      <w:pPr>
        <w:ind w:firstLine="562"/>
        <w:rPr>
          <w:rFonts w:hAnsi="宋体"/>
          <w:szCs w:val="28"/>
        </w:rPr>
      </w:pPr>
      <w:r>
        <w:rPr>
          <w:rFonts w:hint="eastAsia" w:hAnsi="宋体"/>
          <w:b/>
          <w:bCs/>
          <w:szCs w:val="28"/>
        </w:rPr>
        <w:t>有效保障审判服务：</w:t>
      </w:r>
      <w:r>
        <w:rPr>
          <w:rFonts w:hint="eastAsia" w:hAnsi="宋体"/>
          <w:szCs w:val="28"/>
        </w:rPr>
        <w:t>我院积极开展法院审判工作，审判流程信息公开及时，有效保障审判服务，达到年度指标值。该指标分值5分，自评得分为5分，得分率为100.00%。</w:t>
      </w:r>
    </w:p>
    <w:p>
      <w:pPr>
        <w:ind w:firstLine="562"/>
        <w:rPr>
          <w:rFonts w:hAnsi="宋体"/>
          <w:szCs w:val="28"/>
        </w:rPr>
      </w:pPr>
      <w:r>
        <w:rPr>
          <w:rFonts w:hint="eastAsia" w:hAnsi="宋体"/>
          <w:b/>
          <w:bCs/>
          <w:szCs w:val="28"/>
        </w:rPr>
        <w:t>打击生态犯罪，维护生态秩序：</w:t>
      </w:r>
      <w:r>
        <w:rPr>
          <w:rFonts w:hint="eastAsia" w:cs="仿宋_GB2312"/>
        </w:rPr>
        <w:t>2023年</w:t>
      </w:r>
      <w:r>
        <w:rPr>
          <w:rFonts w:hint="eastAsia" w:cs="仿宋_GB2312"/>
          <w:szCs w:val="28"/>
        </w:rPr>
        <w:t>我院有效打击了生态犯罪，维护了生态秩序。</w:t>
      </w:r>
      <w:r>
        <w:rPr>
          <w:rFonts w:hint="eastAsia" w:hAnsi="宋体"/>
          <w:szCs w:val="28"/>
        </w:rPr>
        <w:t>该指标分值5分，自评得分为5分，得分率为100.00%。</w:t>
      </w:r>
    </w:p>
    <w:p>
      <w:pPr>
        <w:pStyle w:val="5"/>
        <w:keepNext w:val="0"/>
        <w:keepLines w:val="0"/>
        <w:spacing w:before="0" w:after="0" w:line="360" w:lineRule="auto"/>
        <w:ind w:firstLine="562"/>
        <w:rPr>
          <w:rFonts w:ascii="仿宋_GB2312" w:hAnsi="仿宋_GB2312" w:eastAsia="仿宋_GB2312" w:cs="仿宋_GB2312"/>
        </w:rPr>
      </w:pPr>
      <w:r>
        <w:rPr>
          <w:rFonts w:hint="eastAsia" w:ascii="仿宋_GB2312" w:hAnsi="仿宋_GB2312" w:eastAsia="仿宋_GB2312" w:cs="仿宋_GB2312"/>
        </w:rPr>
        <w:t>（4）服务对象满意度</w:t>
      </w:r>
    </w:p>
    <w:p>
      <w:pPr>
        <w:ind w:firstLine="560"/>
      </w:pPr>
      <w:r>
        <w:rPr>
          <w:rFonts w:hint="eastAsia"/>
        </w:rPr>
        <w:t>服务对象满意度指标指标根据我院向社会提供公共产品和服务的主要对象。该指标分值合计10分，自评得分10分，得分率100.00%。</w:t>
      </w:r>
    </w:p>
    <w:p>
      <w:pPr>
        <w:spacing w:line="121" w:lineRule="exact"/>
        <w:ind w:firstLine="560"/>
      </w:pP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937"/>
        <w:gridCol w:w="1500"/>
        <w:gridCol w:w="1422"/>
        <w:gridCol w:w="711"/>
        <w:gridCol w:w="1244"/>
        <w:gridCol w:w="1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二级指标</w:t>
            </w:r>
          </w:p>
        </w:tc>
        <w:tc>
          <w:tcPr>
            <w:tcW w:w="1937"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三级指标</w:t>
            </w:r>
          </w:p>
        </w:tc>
        <w:tc>
          <w:tcPr>
            <w:tcW w:w="150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年度指标值</w:t>
            </w:r>
          </w:p>
        </w:tc>
        <w:tc>
          <w:tcPr>
            <w:tcW w:w="1422"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实际完成值</w:t>
            </w:r>
          </w:p>
        </w:tc>
        <w:tc>
          <w:tcPr>
            <w:tcW w:w="711"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分值</w:t>
            </w:r>
          </w:p>
        </w:tc>
        <w:tc>
          <w:tcPr>
            <w:tcW w:w="1244"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自评得分</w:t>
            </w:r>
          </w:p>
        </w:tc>
        <w:tc>
          <w:tcPr>
            <w:tcW w:w="1007" w:type="dxa"/>
            <w:shd w:val="clear" w:color="auto" w:fill="BDD6EE"/>
            <w:vAlign w:val="center"/>
          </w:tcPr>
          <w:p>
            <w:pPr>
              <w:widowControl/>
              <w:ind w:firstLine="0" w:firstLineChars="0"/>
              <w:jc w:val="center"/>
              <w:textAlignment w:val="center"/>
              <w:rPr>
                <w:rFonts w:ascii="宋体" w:hAnsi="宋体" w:eastAsia="宋体" w:cs="宋体"/>
                <w:b/>
                <w:color w:val="000000"/>
                <w:kern w:val="0"/>
                <w:sz w:val="24"/>
              </w:rPr>
            </w:pPr>
            <w:r>
              <w:rPr>
                <w:rFonts w:hint="eastAsia" w:ascii="宋体" w:hAnsi="宋体" w:eastAsia="宋体" w:cs="宋体"/>
                <w:b/>
                <w:bCs/>
                <w:color w:val="000000"/>
                <w:kern w:val="0"/>
                <w:sz w:val="24"/>
                <w:szCs w:val="24"/>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widowControl/>
              <w:ind w:firstLine="0" w:firstLineChars="0"/>
              <w:textAlignment w:val="center"/>
              <w:rPr>
                <w:rFonts w:ascii="宋体" w:hAnsi="宋体" w:eastAsia="宋体" w:cs="宋体"/>
                <w:color w:val="000000"/>
                <w:kern w:val="0"/>
                <w:sz w:val="24"/>
                <w:szCs w:val="24"/>
              </w:rPr>
            </w:pPr>
            <w:r>
              <w:rPr>
                <w:rFonts w:hint="eastAsia" w:ascii="宋体" w:hAnsi="宋体" w:eastAsia="宋体" w:cs="宋体"/>
                <w:color w:val="333333"/>
                <w:kern w:val="0"/>
                <w:sz w:val="20"/>
                <w:szCs w:val="20"/>
              </w:rPr>
              <w:t>服务对象满意度指标</w:t>
            </w:r>
          </w:p>
        </w:tc>
        <w:tc>
          <w:tcPr>
            <w:tcW w:w="1937" w:type="dxa"/>
            <w:vAlign w:val="center"/>
          </w:tcPr>
          <w:p>
            <w:pPr>
              <w:widowControl/>
              <w:ind w:firstLine="0" w:firstLineChars="0"/>
              <w:jc w:val="left"/>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当事人满意程度</w:t>
            </w:r>
          </w:p>
        </w:tc>
        <w:tc>
          <w:tcPr>
            <w:tcW w:w="1500" w:type="dxa"/>
            <w:vAlign w:val="center"/>
          </w:tcPr>
          <w:p>
            <w:pPr>
              <w:widowControl/>
              <w:ind w:firstLine="40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&gt;=90%</w:t>
            </w:r>
          </w:p>
        </w:tc>
        <w:tc>
          <w:tcPr>
            <w:tcW w:w="1422" w:type="dxa"/>
            <w:vAlign w:val="center"/>
          </w:tcPr>
          <w:p>
            <w:pPr>
              <w:widowControl/>
              <w:ind w:firstLine="40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92%</w:t>
            </w:r>
          </w:p>
        </w:tc>
        <w:tc>
          <w:tcPr>
            <w:tcW w:w="711" w:type="dxa"/>
            <w:vAlign w:val="center"/>
          </w:tcPr>
          <w:p>
            <w:pPr>
              <w:widowControl/>
              <w:ind w:firstLine="0" w:firstLineChars="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5</w:t>
            </w:r>
          </w:p>
        </w:tc>
        <w:tc>
          <w:tcPr>
            <w:tcW w:w="1244" w:type="dxa"/>
            <w:vAlign w:val="center"/>
          </w:tcPr>
          <w:p>
            <w:pPr>
              <w:widowControl/>
              <w:ind w:firstLine="0" w:firstLineChars="0"/>
              <w:jc w:val="center"/>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5</w:t>
            </w:r>
          </w:p>
        </w:tc>
        <w:tc>
          <w:tcPr>
            <w:tcW w:w="1007" w:type="dxa"/>
            <w:vAlign w:val="center"/>
          </w:tcPr>
          <w:p>
            <w:pPr>
              <w:widowControl/>
              <w:ind w:firstLine="0" w:firstLineChars="0"/>
              <w:jc w:val="left"/>
              <w:textAlignment w:val="center"/>
              <w:rPr>
                <w:rFonts w:ascii="宋体" w:hAnsi="宋体" w:eastAsia="宋体" w:cs="宋体"/>
                <w:color w:val="333333"/>
                <w:kern w:val="0"/>
                <w:sz w:val="20"/>
                <w:szCs w:val="20"/>
              </w:rPr>
            </w:pPr>
            <w:r>
              <w:rPr>
                <w:rFonts w:hint="eastAsia" w:ascii="宋体" w:hAnsi="宋体" w:eastAsia="宋体" w:cs="宋体"/>
                <w:color w:val="333333"/>
                <w:kern w:val="0"/>
                <w:sz w:val="20"/>
                <w:szCs w:val="20"/>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ind w:firstLine="480"/>
              <w:jc w:val="center"/>
              <w:rPr>
                <w:rFonts w:ascii="宋体" w:hAnsi="宋体" w:eastAsia="宋体" w:cs="宋体"/>
                <w:color w:val="000000"/>
                <w:kern w:val="0"/>
                <w:sz w:val="24"/>
                <w:szCs w:val="24"/>
              </w:rPr>
            </w:pPr>
          </w:p>
        </w:tc>
        <w:tc>
          <w:tcPr>
            <w:tcW w:w="1937"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干警满意程度</w:t>
            </w:r>
          </w:p>
        </w:tc>
        <w:tc>
          <w:tcPr>
            <w:tcW w:w="1500" w:type="dxa"/>
            <w:vAlign w:val="center"/>
          </w:tcPr>
          <w:p>
            <w:pPr>
              <w:widowControl/>
              <w:ind w:firstLine="40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&gt;=90%</w:t>
            </w:r>
          </w:p>
        </w:tc>
        <w:tc>
          <w:tcPr>
            <w:tcW w:w="1422" w:type="dxa"/>
            <w:vAlign w:val="center"/>
          </w:tcPr>
          <w:p>
            <w:pPr>
              <w:widowControl/>
              <w:ind w:firstLine="40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96%</w:t>
            </w:r>
          </w:p>
        </w:tc>
        <w:tc>
          <w:tcPr>
            <w:tcW w:w="711"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244"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5</w:t>
            </w:r>
          </w:p>
        </w:tc>
        <w:tc>
          <w:tcPr>
            <w:tcW w:w="1007"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0"/>
                <w:szCs w:val="20"/>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937"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50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422"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711"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1244"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1007" w:type="dxa"/>
            <w:shd w:val="clear" w:color="auto" w:fill="BDD6EE"/>
            <w:vAlign w:val="center"/>
          </w:tcPr>
          <w:p>
            <w:pPr>
              <w:widowControl/>
              <w:ind w:firstLine="0" w:firstLineChars="0"/>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ind w:firstLine="562"/>
        <w:rPr>
          <w:rFonts w:cs="仿宋_GB2312"/>
          <w:szCs w:val="28"/>
        </w:rPr>
      </w:pPr>
      <w:r>
        <w:rPr>
          <w:rFonts w:hint="eastAsia" w:cs="仿宋_GB2312"/>
          <w:b/>
          <w:bCs/>
          <w:szCs w:val="28"/>
        </w:rPr>
        <w:t>服务对象满意度：</w:t>
      </w:r>
      <w:r>
        <w:rPr>
          <w:rFonts w:hint="eastAsia" w:cs="仿宋_GB2312"/>
          <w:szCs w:val="28"/>
        </w:rPr>
        <w:t>我院2023年度各项办案质效不断提升，服务对象满意度达到92%。该指标分值5分，自评得分5分，得分率100.00%。</w:t>
      </w:r>
    </w:p>
    <w:p>
      <w:pPr>
        <w:ind w:firstLine="562"/>
        <w:rPr>
          <w:rFonts w:cs="仿宋_GB2312"/>
          <w:szCs w:val="28"/>
        </w:rPr>
      </w:pPr>
      <w:r>
        <w:rPr>
          <w:rFonts w:hint="eastAsia" w:cs="仿宋_GB2312"/>
          <w:b/>
          <w:bCs/>
          <w:szCs w:val="28"/>
        </w:rPr>
        <w:t>干警满意程度：</w:t>
      </w:r>
      <w:r>
        <w:rPr>
          <w:rFonts w:hint="eastAsia" w:cs="仿宋_GB2312"/>
          <w:szCs w:val="28"/>
        </w:rPr>
        <w:t>我院2023年度干警满意程度达到96%。该指标分值5分，自评得分5分，得分率100.00%。</w:t>
      </w:r>
    </w:p>
    <w:p>
      <w:pPr>
        <w:pStyle w:val="4"/>
        <w:ind w:firstLine="562"/>
      </w:pPr>
      <w:r>
        <w:rPr>
          <w:rFonts w:hint="eastAsia"/>
        </w:rPr>
        <w:t>4.偏离绩效目标的原因及下一步改进措施</w:t>
      </w:r>
    </w:p>
    <w:p>
      <w:pPr>
        <w:ind w:firstLine="560"/>
        <w:rPr>
          <w:rFonts w:cs="仿宋_GB2312"/>
          <w:szCs w:val="28"/>
        </w:rPr>
      </w:pPr>
      <w:r>
        <w:rPr>
          <w:rFonts w:hint="eastAsia" w:cs="仿宋_GB2312"/>
          <w:szCs w:val="28"/>
        </w:rPr>
        <w:t>我院年度办公设备购置数量为5套（个），实际采购数量30套（个），该指标实际完成值较年度目标值偏高，我院下年度绩效申报将进一步精确年初指标设置。</w:t>
      </w:r>
    </w:p>
    <w:p>
      <w:pPr>
        <w:pStyle w:val="3"/>
        <w:spacing w:before="0" w:after="0"/>
        <w:ind w:firstLine="643"/>
      </w:pPr>
      <w:bookmarkStart w:id="65" w:name="_Toc23050"/>
      <w:r>
        <w:rPr>
          <w:rFonts w:hint="eastAsia"/>
        </w:rPr>
        <w:t>（二）法庭运维费</w:t>
      </w:r>
      <w:bookmarkEnd w:id="65"/>
    </w:p>
    <w:p>
      <w:pPr>
        <w:spacing w:before="294" w:line="624" w:lineRule="exact"/>
        <w:ind w:right="74" w:firstLine="540"/>
        <w:rPr>
          <w:rFonts w:ascii="仿宋" w:hAnsi="仿宋" w:eastAsia="仿宋" w:cs="仿宋"/>
          <w:spacing w:val="-5"/>
          <w:position w:val="26"/>
          <w:szCs w:val="28"/>
        </w:rPr>
      </w:pPr>
      <w:r>
        <w:rPr>
          <w:rFonts w:hint="eastAsia" w:ascii="仿宋" w:hAnsi="仿宋" w:eastAsia="仿宋" w:cs="仿宋"/>
          <w:spacing w:val="-5"/>
          <w:position w:val="26"/>
          <w:szCs w:val="28"/>
        </w:rPr>
        <w:t>本次绩效自评综合评定2023年法庭运维费项目支出绩效得分为100分，绩效等级为“优”。项目支出绩效评价包括成本、产出、效益、满意度四个一级指标，下设10个二级指标和17个三级指标。一级指标得分情况详见下表：</w:t>
      </w:r>
    </w:p>
    <w:tbl>
      <w:tblPr>
        <w:tblStyle w:val="25"/>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rPr>
            </w:pPr>
            <w:r>
              <w:rPr>
                <w:rFonts w:hint="eastAsia" w:ascii="宋体" w:hAnsi="宋体" w:eastAsia="宋体" w:cs="宋体"/>
                <w:b/>
                <w:bCs/>
                <w:color w:val="000000"/>
                <w:kern w:val="0"/>
                <w:sz w:val="22"/>
              </w:rPr>
              <w:t>一级指标</w:t>
            </w:r>
          </w:p>
        </w:tc>
        <w:tc>
          <w:tcPr>
            <w:tcW w:w="2064"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rPr>
            </w:pPr>
            <w:r>
              <w:rPr>
                <w:rFonts w:hint="eastAsia" w:ascii="宋体" w:hAnsi="宋体" w:eastAsia="宋体" w:cs="宋体"/>
                <w:b/>
                <w:bCs/>
                <w:color w:val="000000"/>
                <w:kern w:val="0"/>
                <w:sz w:val="22"/>
              </w:rPr>
              <w:t>分值</w:t>
            </w:r>
          </w:p>
        </w:tc>
        <w:tc>
          <w:tcPr>
            <w:tcW w:w="2064"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rPr>
            </w:pPr>
            <w:r>
              <w:rPr>
                <w:rFonts w:hint="eastAsia" w:ascii="宋体" w:hAnsi="宋体" w:eastAsia="宋体" w:cs="宋体"/>
                <w:b/>
                <w:bCs/>
                <w:color w:val="000000"/>
                <w:kern w:val="0"/>
                <w:sz w:val="22"/>
              </w:rPr>
              <w:t>自评得分</w:t>
            </w:r>
          </w:p>
        </w:tc>
        <w:tc>
          <w:tcPr>
            <w:tcW w:w="2066"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szCs w:val="21"/>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066"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066"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jc w:val="center"/>
              <w:textAlignment w:val="center"/>
              <w:rPr>
                <w:rFonts w:ascii="宋体" w:hAnsi="宋体" w:eastAsia="宋体" w:cs="宋体"/>
                <w:color w:val="000000"/>
                <w:kern w:val="0"/>
                <w:sz w:val="22"/>
                <w:szCs w:val="24"/>
              </w:rPr>
            </w:pPr>
            <w:r>
              <w:rPr>
                <w:rFonts w:hint="eastAsia" w:ascii="宋体" w:hAnsi="宋体" w:eastAsia="宋体" w:cs="宋体"/>
                <w:color w:val="000000"/>
                <w:kern w:val="0"/>
                <w:sz w:val="22"/>
              </w:rPr>
              <w:t>产出指标</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40</w:t>
            </w:r>
          </w:p>
        </w:tc>
        <w:tc>
          <w:tcPr>
            <w:tcW w:w="2066"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20</w:t>
            </w:r>
          </w:p>
        </w:tc>
        <w:tc>
          <w:tcPr>
            <w:tcW w:w="2066"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firstLine="0" w:firstLineChars="0"/>
              <w:jc w:val="center"/>
              <w:textAlignment w:val="center"/>
              <w:rPr>
                <w:rFonts w:ascii="宋体" w:hAnsi="宋体" w:eastAsia="宋体" w:cs="宋体"/>
                <w:color w:val="000000"/>
                <w:kern w:val="0"/>
                <w:sz w:val="22"/>
                <w:szCs w:val="24"/>
              </w:rPr>
            </w:pPr>
            <w:r>
              <w:rPr>
                <w:rFonts w:hint="eastAsia" w:ascii="宋体" w:hAnsi="宋体" w:eastAsia="宋体" w:cs="宋体"/>
                <w:color w:val="000000"/>
                <w:kern w:val="0"/>
                <w:sz w:val="22"/>
              </w:rPr>
              <w:t>满意度指标</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064"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066" w:type="dxa"/>
            <w:vAlign w:val="center"/>
          </w:tcPr>
          <w:p>
            <w:pPr>
              <w:widowControl/>
              <w:ind w:firstLine="0" w:firstLineChars="0"/>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widowControl/>
              <w:ind w:firstLine="422"/>
              <w:jc w:val="center"/>
              <w:textAlignment w:val="center"/>
              <w:rPr>
                <w:rFonts w:ascii="宋体" w:hAnsi="宋体" w:eastAsia="宋体" w:cs="宋体"/>
                <w:b/>
                <w:color w:val="000000"/>
                <w:kern w:val="0"/>
                <w:sz w:val="21"/>
                <w:szCs w:val="21"/>
              </w:rPr>
            </w:pPr>
            <w:r>
              <w:rPr>
                <w:rFonts w:hint="eastAsia" w:ascii="宋体" w:hAnsi="宋体" w:eastAsia="宋体" w:cs="宋体"/>
                <w:b/>
                <w:bCs/>
                <w:color w:val="000000"/>
                <w:kern w:val="0"/>
                <w:sz w:val="21"/>
                <w:szCs w:val="21"/>
              </w:rPr>
              <w:t>合计</w:t>
            </w:r>
          </w:p>
        </w:tc>
        <w:tc>
          <w:tcPr>
            <w:tcW w:w="2064"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b/>
                <w:bCs/>
                <w:color w:val="000000"/>
                <w:kern w:val="0"/>
                <w:sz w:val="21"/>
                <w:szCs w:val="21"/>
              </w:rPr>
              <w:t>100</w:t>
            </w:r>
          </w:p>
        </w:tc>
        <w:tc>
          <w:tcPr>
            <w:tcW w:w="2064" w:type="dxa"/>
            <w:shd w:val="clear" w:color="auto" w:fill="BDD6EE"/>
            <w:vAlign w:val="center"/>
          </w:tcPr>
          <w:p>
            <w:pPr>
              <w:widowControl/>
              <w:ind w:firstLine="0" w:firstLineChars="0"/>
              <w:jc w:val="center"/>
              <w:textAlignment w:val="center"/>
              <w:rPr>
                <w:rFonts w:ascii="宋体" w:hAnsi="宋体" w:eastAsia="宋体" w:cs="宋体"/>
                <w:b/>
                <w:color w:val="000000"/>
                <w:kern w:val="0"/>
                <w:sz w:val="21"/>
                <w:szCs w:val="21"/>
              </w:rPr>
            </w:pPr>
            <w:r>
              <w:rPr>
                <w:rFonts w:hint="eastAsia" w:ascii="宋体" w:hAnsi="宋体" w:eastAsia="宋体" w:cs="宋体"/>
                <w:b/>
                <w:bCs/>
                <w:color w:val="000000"/>
                <w:kern w:val="0"/>
                <w:sz w:val="21"/>
                <w:szCs w:val="21"/>
              </w:rPr>
              <w:t>100</w:t>
            </w:r>
          </w:p>
        </w:tc>
        <w:tc>
          <w:tcPr>
            <w:tcW w:w="2066" w:type="dxa"/>
            <w:shd w:val="clear" w:color="auto" w:fill="BDD6EE"/>
            <w:vAlign w:val="center"/>
          </w:tcPr>
          <w:p>
            <w:pPr>
              <w:widowControl/>
              <w:ind w:firstLine="0" w:firstLineChars="0"/>
              <w:jc w:val="center"/>
              <w:textAlignment w:val="center"/>
              <w:rPr>
                <w:rFonts w:ascii="宋体" w:hAnsi="宋体" w:eastAsia="宋体" w:cs="宋体"/>
                <w:kern w:val="0"/>
                <w:sz w:val="21"/>
                <w:szCs w:val="21"/>
              </w:rPr>
            </w:pPr>
            <w:r>
              <w:rPr>
                <w:rFonts w:hint="eastAsia" w:ascii="宋体" w:hAnsi="宋体" w:eastAsia="宋体" w:cs="宋体"/>
                <w:color w:val="000000"/>
                <w:kern w:val="0"/>
                <w:sz w:val="21"/>
                <w:szCs w:val="21"/>
              </w:rPr>
              <w:t>100.00%</w:t>
            </w:r>
          </w:p>
        </w:tc>
      </w:tr>
    </w:tbl>
    <w:p>
      <w:pPr>
        <w:pStyle w:val="4"/>
        <w:ind w:firstLine="562"/>
      </w:pPr>
      <w:r>
        <w:t>1、项目支出预算执行情况</w:t>
      </w:r>
    </w:p>
    <w:p>
      <w:pPr>
        <w:spacing w:before="294" w:line="624" w:lineRule="exact"/>
        <w:ind w:right="74" w:firstLine="540"/>
        <w:rPr>
          <w:rFonts w:ascii="仿宋" w:hAnsi="仿宋" w:eastAsia="仿宋" w:cs="仿宋"/>
          <w:spacing w:val="-5"/>
          <w:position w:val="26"/>
          <w:szCs w:val="28"/>
        </w:rPr>
      </w:pPr>
      <w:r>
        <w:rPr>
          <w:rFonts w:hint="eastAsia" w:ascii="仿宋" w:hAnsi="仿宋" w:eastAsia="仿宋" w:cs="仿宋"/>
          <w:spacing w:val="-5"/>
          <w:position w:val="26"/>
          <w:szCs w:val="28"/>
        </w:rPr>
        <w:t>我院法庭运维费项目年初预算数16万元、全年预算数16万元，全年执行数16万元，预算执行率100.00%，满分 10 分，得分10分。</w:t>
      </w:r>
    </w:p>
    <w:p>
      <w:pPr>
        <w:pStyle w:val="4"/>
        <w:ind w:firstLine="562"/>
      </w:pPr>
      <w:r>
        <w:t>2、总体绩效目标完成情况分析</w:t>
      </w:r>
    </w:p>
    <w:p>
      <w:pPr>
        <w:spacing w:before="294" w:line="624" w:lineRule="exact"/>
        <w:ind w:right="74" w:firstLine="540"/>
        <w:rPr>
          <w:rFonts w:ascii="仿宋" w:hAnsi="仿宋" w:eastAsia="仿宋" w:cs="仿宋"/>
          <w:spacing w:val="-5"/>
          <w:position w:val="26"/>
          <w:szCs w:val="28"/>
        </w:rPr>
      </w:pPr>
      <w:r>
        <w:rPr>
          <w:rFonts w:ascii="仿宋" w:hAnsi="仿宋" w:eastAsia="仿宋" w:cs="仿宋"/>
          <w:spacing w:val="-5"/>
          <w:position w:val="26"/>
          <w:szCs w:val="28"/>
        </w:rPr>
        <w:t>法</w:t>
      </w:r>
      <w:r>
        <w:rPr>
          <w:rFonts w:hint="eastAsia" w:ascii="仿宋" w:hAnsi="仿宋" w:eastAsia="仿宋" w:cs="仿宋"/>
          <w:spacing w:val="-5"/>
          <w:position w:val="26"/>
          <w:szCs w:val="28"/>
        </w:rPr>
        <w:t>庭运维费项目自评价得分100分，自评结果为“优”。法庭运行经费项目的实施为我院后勤服务提供保障，按时完成公务用车运行及维护工作，保障法庭水电供应，加大基层法庭的管护力度，有效保障我院设施设备的配备和日常环境的改善，为我院执法办案工作提供良好的办公环境。</w:t>
      </w:r>
    </w:p>
    <w:p>
      <w:pPr>
        <w:pStyle w:val="4"/>
        <w:numPr>
          <w:ilvl w:val="0"/>
          <w:numId w:val="1"/>
        </w:numPr>
        <w:ind w:firstLine="562"/>
      </w:pPr>
      <w:r>
        <w:t>各项指标完成情况分析</w:t>
      </w:r>
    </w:p>
    <w:p>
      <w:pPr>
        <w:ind w:firstLine="562"/>
        <w:rPr>
          <w:rFonts w:hAnsi="宋体"/>
          <w:b/>
          <w:bCs/>
          <w:szCs w:val="28"/>
        </w:rPr>
      </w:pPr>
      <w:r>
        <w:rPr>
          <w:rFonts w:hint="eastAsia" w:hAnsi="宋体"/>
          <w:b/>
          <w:bCs/>
          <w:szCs w:val="28"/>
        </w:rPr>
        <w:t>（1）成本指标</w:t>
      </w:r>
    </w:p>
    <w:p>
      <w:pPr>
        <w:ind w:firstLine="560"/>
        <w:rPr>
          <w:rFonts w:hAnsi="宋体"/>
          <w:szCs w:val="28"/>
        </w:rPr>
      </w:pPr>
      <w:r>
        <w:rPr>
          <w:rFonts w:hint="eastAsia" w:hAnsi="宋体"/>
          <w:szCs w:val="28"/>
        </w:rPr>
        <w:t>成本指标下设1个二级指标，1个三级指标，指标权重合计20分，自评得分20分，得分率为100.00%。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567"/>
        <w:gridCol w:w="1550"/>
        <w:gridCol w:w="1587"/>
        <w:gridCol w:w="1400"/>
        <w:gridCol w:w="731"/>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67"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二级指标</w:t>
            </w:r>
          </w:p>
        </w:tc>
        <w:tc>
          <w:tcPr>
            <w:tcW w:w="155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1587"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年度指标值</w:t>
            </w:r>
          </w:p>
        </w:tc>
        <w:tc>
          <w:tcPr>
            <w:tcW w:w="140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实际完成值</w:t>
            </w:r>
          </w:p>
        </w:tc>
        <w:tc>
          <w:tcPr>
            <w:tcW w:w="731"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118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046"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67"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经济成本指标</w:t>
            </w:r>
          </w:p>
        </w:tc>
        <w:tc>
          <w:tcPr>
            <w:tcW w:w="1550"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成本控制情况</w:t>
            </w:r>
          </w:p>
        </w:tc>
        <w:tc>
          <w:tcPr>
            <w:tcW w:w="1587"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2"/>
              </w:rPr>
              <w:t>预算范围之内</w:t>
            </w:r>
          </w:p>
        </w:tc>
        <w:tc>
          <w:tcPr>
            <w:tcW w:w="1400"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c>
          <w:tcPr>
            <w:tcW w:w="731"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2"/>
              </w:rPr>
              <w:t>20</w:t>
            </w:r>
          </w:p>
        </w:tc>
        <w:tc>
          <w:tcPr>
            <w:tcW w:w="1188" w:type="dxa"/>
            <w:vAlign w:val="center"/>
          </w:tcPr>
          <w:p>
            <w:pPr>
              <w:widowControl/>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333333"/>
                <w:kern w:val="0"/>
                <w:sz w:val="22"/>
              </w:rPr>
              <w:t>20</w:t>
            </w:r>
          </w:p>
        </w:tc>
        <w:tc>
          <w:tcPr>
            <w:tcW w:w="1046"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567"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55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587"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40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731"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1188"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1046" w:type="dxa"/>
            <w:shd w:val="clear" w:color="auto" w:fill="BDD6EE"/>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ind w:firstLine="562"/>
        <w:rPr>
          <w:rFonts w:ascii="仿宋" w:hAnsi="仿宋" w:eastAsia="仿宋" w:cs="仿宋"/>
          <w:szCs w:val="28"/>
        </w:rPr>
      </w:pPr>
      <w:r>
        <w:rPr>
          <w:rFonts w:hint="eastAsia" w:ascii="仿宋" w:hAnsi="仿宋" w:eastAsia="仿宋" w:cs="仿宋"/>
          <w:b/>
          <w:bCs/>
          <w:szCs w:val="28"/>
        </w:rPr>
        <w:t>成本控制情况：</w:t>
      </w:r>
      <w:r>
        <w:rPr>
          <w:rFonts w:hint="eastAsia" w:hAnsi="宋体"/>
          <w:szCs w:val="28"/>
        </w:rPr>
        <w:t>我院2023年度</w:t>
      </w:r>
      <w:r>
        <w:rPr>
          <w:rFonts w:hint="eastAsia" w:ascii="仿宋" w:hAnsi="仿宋" w:eastAsia="仿宋" w:cs="仿宋"/>
          <w:szCs w:val="28"/>
        </w:rPr>
        <w:t>成本控制在全年预算数以内，节约经济增长成本，符合年度指标值的要求。该指标分值20分，自评得分为20分，得分率为100.00%。</w:t>
      </w:r>
    </w:p>
    <w:p>
      <w:pPr>
        <w:ind w:firstLine="562"/>
        <w:rPr>
          <w:rFonts w:hAnsi="宋体"/>
          <w:b/>
          <w:bCs/>
          <w:szCs w:val="28"/>
        </w:rPr>
      </w:pPr>
      <w:r>
        <w:rPr>
          <w:rFonts w:hint="eastAsia" w:hAnsi="宋体"/>
          <w:b/>
          <w:bCs/>
          <w:szCs w:val="28"/>
        </w:rPr>
        <w:t>（2）产出指标</w:t>
      </w:r>
    </w:p>
    <w:p>
      <w:pPr>
        <w:ind w:firstLine="540"/>
        <w:rPr>
          <w:rFonts w:ascii="仿宋" w:hAnsi="仿宋" w:eastAsia="仿宋" w:cs="仿宋"/>
          <w:spacing w:val="-5"/>
          <w:position w:val="26"/>
          <w:szCs w:val="28"/>
        </w:rPr>
      </w:pPr>
      <w:r>
        <w:rPr>
          <w:rFonts w:hint="eastAsia" w:ascii="仿宋" w:hAnsi="仿宋" w:eastAsia="仿宋" w:cs="仿宋"/>
          <w:spacing w:val="-5"/>
          <w:position w:val="26"/>
          <w:szCs w:val="28"/>
        </w:rPr>
        <w:t>产出指标主要包括数量、质量、 时效3个二级指标。总分值40分，得分40分，得分率 100.00%。</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04"/>
        <w:gridCol w:w="3579"/>
        <w:gridCol w:w="1140"/>
        <w:gridCol w:w="1005"/>
        <w:gridCol w:w="630"/>
        <w:gridCol w:w="740"/>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w:t>
            </w:r>
          </w:p>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指标</w:t>
            </w:r>
          </w:p>
        </w:tc>
        <w:tc>
          <w:tcPr>
            <w:tcW w:w="3579"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114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年度</w:t>
            </w:r>
          </w:p>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指标值</w:t>
            </w:r>
          </w:p>
        </w:tc>
        <w:tc>
          <w:tcPr>
            <w:tcW w:w="100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实际</w:t>
            </w:r>
          </w:p>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完成值</w:t>
            </w:r>
          </w:p>
        </w:tc>
        <w:tc>
          <w:tcPr>
            <w:tcW w:w="63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74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071"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restart"/>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数量</w:t>
            </w:r>
          </w:p>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指标</w:t>
            </w:r>
          </w:p>
        </w:tc>
        <w:tc>
          <w:tcPr>
            <w:tcW w:w="3579"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保障法庭个数</w:t>
            </w:r>
          </w:p>
        </w:tc>
        <w:tc>
          <w:tcPr>
            <w:tcW w:w="114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=1个</w:t>
            </w:r>
          </w:p>
        </w:tc>
        <w:tc>
          <w:tcPr>
            <w:tcW w:w="100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1个</w:t>
            </w:r>
          </w:p>
        </w:tc>
        <w:tc>
          <w:tcPr>
            <w:tcW w:w="63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continue"/>
            <w:vAlign w:val="center"/>
          </w:tcPr>
          <w:p>
            <w:pPr>
              <w:ind w:firstLine="440"/>
              <w:jc w:val="center"/>
              <w:rPr>
                <w:rFonts w:ascii="宋体" w:hAnsi="宋体" w:eastAsia="宋体" w:cs="宋体"/>
                <w:color w:val="000000"/>
                <w:kern w:val="0"/>
                <w:sz w:val="22"/>
              </w:rPr>
            </w:pP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公务用车运行维护工作完成率</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continue"/>
            <w:vAlign w:val="center"/>
          </w:tcPr>
          <w:p>
            <w:pPr>
              <w:ind w:firstLine="440"/>
              <w:jc w:val="center"/>
              <w:rPr>
                <w:rFonts w:ascii="宋体" w:hAnsi="宋体" w:eastAsia="宋体" w:cs="宋体"/>
                <w:color w:val="000000"/>
                <w:kern w:val="0"/>
                <w:sz w:val="22"/>
              </w:rPr>
            </w:pP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水电暖服务保障工作完成率</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continue"/>
            <w:vAlign w:val="center"/>
          </w:tcPr>
          <w:p>
            <w:pPr>
              <w:ind w:firstLine="440"/>
              <w:jc w:val="center"/>
              <w:rPr>
                <w:rFonts w:ascii="宋体" w:hAnsi="宋体" w:eastAsia="宋体" w:cs="宋体"/>
                <w:color w:val="000000"/>
                <w:kern w:val="0"/>
                <w:sz w:val="22"/>
              </w:rPr>
            </w:pP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维修维护项目</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=1个</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1个</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质量</w:t>
            </w:r>
          </w:p>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指标</w:t>
            </w: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水电暖运行通畅率</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restart"/>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时效</w:t>
            </w:r>
          </w:p>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指标</w:t>
            </w: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公务用车运行维护工作开展及时性</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continue"/>
            <w:vAlign w:val="center"/>
          </w:tcPr>
          <w:p>
            <w:pPr>
              <w:ind w:firstLine="440"/>
              <w:jc w:val="center"/>
              <w:rPr>
                <w:rFonts w:ascii="宋体" w:hAnsi="宋体" w:eastAsia="宋体" w:cs="宋体"/>
                <w:color w:val="000000"/>
                <w:kern w:val="0"/>
                <w:sz w:val="22"/>
              </w:rPr>
            </w:pP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水电暖服务保障工作及时性</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vMerge w:val="continue"/>
            <w:vAlign w:val="center"/>
          </w:tcPr>
          <w:p>
            <w:pPr>
              <w:ind w:firstLine="440"/>
              <w:jc w:val="center"/>
              <w:rPr>
                <w:rFonts w:ascii="宋体" w:hAnsi="宋体" w:eastAsia="宋体" w:cs="宋体"/>
                <w:color w:val="000000"/>
                <w:kern w:val="0"/>
                <w:sz w:val="22"/>
              </w:rPr>
            </w:pPr>
          </w:p>
        </w:tc>
        <w:tc>
          <w:tcPr>
            <w:tcW w:w="3579"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维修维护工作完成及时性</w:t>
            </w:r>
          </w:p>
        </w:tc>
        <w:tc>
          <w:tcPr>
            <w:tcW w:w="11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100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及时</w:t>
            </w:r>
          </w:p>
        </w:tc>
        <w:tc>
          <w:tcPr>
            <w:tcW w:w="63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74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5</w:t>
            </w:r>
          </w:p>
        </w:tc>
        <w:tc>
          <w:tcPr>
            <w:tcW w:w="107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904"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3579"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14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00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630"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40</w:t>
            </w:r>
          </w:p>
        </w:tc>
        <w:tc>
          <w:tcPr>
            <w:tcW w:w="740"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40</w:t>
            </w:r>
          </w:p>
        </w:tc>
        <w:tc>
          <w:tcPr>
            <w:tcW w:w="1071" w:type="dxa"/>
            <w:shd w:val="clear" w:color="auto" w:fill="BDD6EE"/>
            <w:vAlign w:val="center"/>
          </w:tcPr>
          <w:p>
            <w:pPr>
              <w:widowControl/>
              <w:ind w:firstLine="0" w:firstLineChars="0"/>
              <w:jc w:val="center"/>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pStyle w:val="24"/>
        <w:spacing w:after="0"/>
        <w:ind w:left="0" w:leftChars="0" w:firstLine="562"/>
      </w:pPr>
      <w:r>
        <w:rPr>
          <w:rFonts w:hint="eastAsia" w:ascii="仿宋" w:hAnsi="仿宋" w:eastAsia="仿宋" w:cs="仿宋"/>
          <w:b/>
          <w:bCs/>
          <w:shd w:val="clear" w:color="auto" w:fill="FFFFFF"/>
        </w:rPr>
        <w:t>保障法庭个数:</w:t>
      </w:r>
      <w:r>
        <w:rPr>
          <w:rFonts w:hint="eastAsia"/>
        </w:rPr>
        <w:t>2023年保障基层法庭1个，达到年度目标值，指标分值5分，自评得分5分，得分率100.00%。</w:t>
      </w:r>
    </w:p>
    <w:p>
      <w:pPr>
        <w:ind w:firstLine="562"/>
        <w:rPr>
          <w:b/>
          <w:bCs/>
        </w:rPr>
      </w:pPr>
      <w:r>
        <w:rPr>
          <w:rFonts w:hint="eastAsia"/>
          <w:b/>
          <w:bCs/>
        </w:rPr>
        <w:t>公务用车运行维护工作完成率:</w:t>
      </w:r>
      <w:r>
        <w:rPr>
          <w:rFonts w:hint="eastAsia"/>
        </w:rPr>
        <w:t xml:space="preserve"> 2023年我院公务用车运行维护工作完成率实际完成值100.00%，达到年度目标值，指标分值5分，自评得分5分，得分率100.00%。</w:t>
      </w:r>
    </w:p>
    <w:p>
      <w:pPr>
        <w:ind w:firstLine="562"/>
        <w:rPr>
          <w:b/>
          <w:bCs/>
        </w:rPr>
      </w:pPr>
      <w:r>
        <w:rPr>
          <w:rFonts w:hint="eastAsia"/>
          <w:b/>
          <w:bCs/>
        </w:rPr>
        <w:t>水电暖服务保障工作完成率:</w:t>
      </w:r>
      <w:r>
        <w:rPr>
          <w:rFonts w:hint="eastAsia"/>
        </w:rPr>
        <w:t xml:space="preserve"> 2023年我院水电暖服务保障工作完成率实际完成值100%，达到年度目标值，指标分值5分，自评得分5分，得分率100.00%。</w:t>
      </w:r>
    </w:p>
    <w:p>
      <w:pPr>
        <w:ind w:firstLine="562"/>
        <w:rPr>
          <w:b/>
          <w:bCs/>
        </w:rPr>
      </w:pPr>
      <w:r>
        <w:rPr>
          <w:rFonts w:hint="eastAsia"/>
          <w:b/>
          <w:bCs/>
        </w:rPr>
        <w:t>维修维护项目:</w:t>
      </w:r>
      <w:r>
        <w:rPr>
          <w:rFonts w:hint="eastAsia"/>
        </w:rPr>
        <w:t xml:space="preserve"> 2023年我院维修维护项目1个，达到年度目标值，指标分值5分，自评得分5分，得分率100.00%。</w:t>
      </w:r>
    </w:p>
    <w:p>
      <w:pPr>
        <w:ind w:firstLine="562"/>
        <w:rPr>
          <w:b/>
          <w:bCs/>
        </w:rPr>
      </w:pPr>
      <w:r>
        <w:rPr>
          <w:rFonts w:hint="eastAsia"/>
          <w:b/>
          <w:bCs/>
        </w:rPr>
        <w:t>水电暖运行通畅率：</w:t>
      </w:r>
      <w:r>
        <w:rPr>
          <w:rFonts w:hint="eastAsia"/>
        </w:rPr>
        <w:t>2023年我院水电暖运行通畅率实际完成值100%，达到年度目标值，指标分值5分，自评得分5分，得分率100.00%。</w:t>
      </w:r>
    </w:p>
    <w:p>
      <w:pPr>
        <w:ind w:firstLine="562"/>
      </w:pPr>
      <w:r>
        <w:rPr>
          <w:rFonts w:hint="eastAsia"/>
          <w:b/>
          <w:bCs/>
        </w:rPr>
        <w:t>公务用车运行维护工作开展及时性:</w:t>
      </w:r>
      <w:r>
        <w:rPr>
          <w:rFonts w:hint="eastAsia"/>
        </w:rPr>
        <w:t>我院2023年公务用车运行维护工作开展及时，指标分值5分，自评得分5分，得分率100.00%。</w:t>
      </w:r>
    </w:p>
    <w:p>
      <w:pPr>
        <w:ind w:firstLine="562"/>
      </w:pPr>
      <w:r>
        <w:rPr>
          <w:rFonts w:hint="eastAsia"/>
          <w:b/>
          <w:bCs/>
        </w:rPr>
        <w:t>水电暖服务保障工作及时性:</w:t>
      </w:r>
      <w:r>
        <w:rPr>
          <w:rFonts w:hint="eastAsia"/>
        </w:rPr>
        <w:t xml:space="preserve"> 2023年我院通过快速诊断问题并采取有效的措施进行修复相关问题，以最短的时间恢复法庭的正常运行。水电暖服务保障工作及时，该指标分值5分，自评得分5分，得分率100.00%。</w:t>
      </w:r>
    </w:p>
    <w:p>
      <w:pPr>
        <w:ind w:firstLine="562"/>
        <w:rPr>
          <w:b/>
          <w:bCs/>
        </w:rPr>
      </w:pPr>
      <w:r>
        <w:rPr>
          <w:rFonts w:hint="eastAsia"/>
          <w:b/>
          <w:bCs/>
        </w:rPr>
        <w:t>维修维护工作完成及时性:</w:t>
      </w:r>
      <w:r>
        <w:rPr>
          <w:rFonts w:hint="eastAsia"/>
        </w:rPr>
        <w:t>我院2023年维修维护工作完成及时，该指标分值5分，自评得分5分，得分率100.00%。</w:t>
      </w:r>
    </w:p>
    <w:p>
      <w:pPr>
        <w:ind w:left="319" w:leftChars="114" w:firstLine="281" w:firstLineChars="100"/>
        <w:rPr>
          <w:rFonts w:ascii="仿宋" w:hAnsi="仿宋" w:eastAsia="仿宋"/>
          <w:b/>
          <w:bCs/>
          <w:szCs w:val="28"/>
        </w:rPr>
      </w:pPr>
      <w:r>
        <w:rPr>
          <w:rFonts w:hint="eastAsia" w:ascii="仿宋" w:hAnsi="仿宋" w:eastAsia="仿宋"/>
          <w:b/>
          <w:bCs/>
          <w:szCs w:val="28"/>
        </w:rPr>
        <w:t>（3</w:t>
      </w:r>
      <w:r>
        <w:rPr>
          <w:rFonts w:ascii="仿宋" w:hAnsi="仿宋" w:eastAsia="仿宋"/>
          <w:b/>
          <w:bCs/>
          <w:szCs w:val="28"/>
        </w:rPr>
        <w:t>）效益指标</w:t>
      </w:r>
    </w:p>
    <w:p>
      <w:pPr>
        <w:ind w:firstLine="560"/>
        <w:rPr>
          <w:shd w:val="clear" w:color="auto" w:fill="FFFFFF"/>
        </w:rPr>
      </w:pPr>
      <w:r>
        <w:rPr>
          <w:rFonts w:hint="eastAsia"/>
          <w:shd w:val="clear" w:color="auto" w:fill="FFFFFF"/>
        </w:rPr>
        <w:t>效益指标包括社会效益1个二级指标。总分值20</w:t>
      </w:r>
      <w:r>
        <w:rPr>
          <w:shd w:val="clear" w:color="auto" w:fill="FFFFFF"/>
        </w:rPr>
        <w:t>分，得分</w:t>
      </w:r>
      <w:r>
        <w:rPr>
          <w:rFonts w:hint="eastAsia"/>
          <w:shd w:val="clear" w:color="auto" w:fill="FFFFFF"/>
        </w:rPr>
        <w:t>20</w:t>
      </w:r>
      <w:r>
        <w:rPr>
          <w:shd w:val="clear" w:color="auto" w:fill="FFFFFF"/>
        </w:rPr>
        <w:t>分，得分率</w:t>
      </w:r>
      <w:r>
        <w:rPr>
          <w:rFonts w:hint="eastAsia"/>
          <w:shd w:val="clear" w:color="auto" w:fill="FFFFFF"/>
        </w:rPr>
        <w:t>100.00%</w:t>
      </w:r>
      <w:r>
        <w:rPr>
          <w:shd w:val="clear" w:color="auto" w:fill="FFFFFF"/>
        </w:rPr>
        <w:t>。</w:t>
      </w: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92"/>
        <w:gridCol w:w="2261"/>
        <w:gridCol w:w="1342"/>
        <w:gridCol w:w="1395"/>
        <w:gridCol w:w="660"/>
        <w:gridCol w:w="1054"/>
        <w:gridCol w:w="106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92"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二级指标</w:t>
            </w:r>
          </w:p>
        </w:tc>
        <w:tc>
          <w:tcPr>
            <w:tcW w:w="2261"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1342"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年度指标值</w:t>
            </w:r>
          </w:p>
        </w:tc>
        <w:tc>
          <w:tcPr>
            <w:tcW w:w="139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实际完成值</w:t>
            </w:r>
          </w:p>
        </w:tc>
        <w:tc>
          <w:tcPr>
            <w:tcW w:w="660"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1054"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自评</w:t>
            </w:r>
          </w:p>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w:t>
            </w:r>
          </w:p>
        </w:tc>
        <w:tc>
          <w:tcPr>
            <w:tcW w:w="1065"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92" w:type="dxa"/>
            <w:vMerge w:val="restart"/>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社会效益指标</w:t>
            </w:r>
          </w:p>
        </w:tc>
        <w:tc>
          <w:tcPr>
            <w:tcW w:w="226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物业考核机制健全性</w:t>
            </w:r>
          </w:p>
        </w:tc>
        <w:tc>
          <w:tcPr>
            <w:tcW w:w="1342"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健全</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健全</w:t>
            </w:r>
          </w:p>
        </w:tc>
        <w:tc>
          <w:tcPr>
            <w:tcW w:w="66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054"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065"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92" w:type="dxa"/>
            <w:vMerge w:val="continue"/>
            <w:vAlign w:val="center"/>
          </w:tcPr>
          <w:p>
            <w:pPr>
              <w:ind w:firstLine="440"/>
              <w:jc w:val="center"/>
              <w:rPr>
                <w:rFonts w:ascii="宋体" w:hAnsi="宋体" w:eastAsia="宋体" w:cs="宋体"/>
                <w:color w:val="333333"/>
                <w:kern w:val="0"/>
                <w:sz w:val="22"/>
              </w:rPr>
            </w:pPr>
          </w:p>
        </w:tc>
        <w:tc>
          <w:tcPr>
            <w:tcW w:w="2261"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有效保障审判服务</w:t>
            </w:r>
          </w:p>
        </w:tc>
        <w:tc>
          <w:tcPr>
            <w:tcW w:w="1342"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保障</w:t>
            </w:r>
          </w:p>
        </w:tc>
        <w:tc>
          <w:tcPr>
            <w:tcW w:w="1395"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100.00%</w:t>
            </w:r>
          </w:p>
        </w:tc>
        <w:tc>
          <w:tcPr>
            <w:tcW w:w="660"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054" w:type="dxa"/>
            <w:vAlign w:val="center"/>
          </w:tcPr>
          <w:p>
            <w:pPr>
              <w:widowControl/>
              <w:ind w:firstLine="0" w:firstLineChars="0"/>
              <w:textAlignment w:val="center"/>
              <w:rPr>
                <w:rFonts w:ascii="宋体" w:hAnsi="宋体" w:eastAsia="宋体" w:cs="宋体"/>
                <w:color w:val="333333"/>
                <w:kern w:val="0"/>
                <w:sz w:val="22"/>
              </w:rPr>
            </w:pPr>
            <w:r>
              <w:rPr>
                <w:rFonts w:hint="eastAsia" w:ascii="宋体" w:hAnsi="宋体" w:eastAsia="宋体" w:cs="宋体"/>
                <w:color w:val="333333"/>
                <w:kern w:val="0"/>
                <w:sz w:val="22"/>
              </w:rPr>
              <w:t>10</w:t>
            </w:r>
          </w:p>
        </w:tc>
        <w:tc>
          <w:tcPr>
            <w:tcW w:w="1065" w:type="dxa"/>
            <w:vAlign w:val="center"/>
          </w:tcPr>
          <w:p>
            <w:pPr>
              <w:widowControl/>
              <w:ind w:firstLine="0" w:firstLineChars="0"/>
              <w:jc w:val="left"/>
              <w:textAlignment w:val="center"/>
              <w:rPr>
                <w:rFonts w:ascii="宋体" w:hAnsi="宋体" w:eastAsia="宋体" w:cs="宋体"/>
                <w:color w:val="333333"/>
                <w:kern w:val="0"/>
                <w:sz w:val="22"/>
              </w:rPr>
            </w:pPr>
            <w:r>
              <w:rPr>
                <w:rFonts w:hint="eastAsia" w:ascii="宋体" w:hAnsi="宋体" w:eastAsia="宋体" w:cs="宋体"/>
                <w:color w:val="333333"/>
                <w:kern w:val="0"/>
                <w:sz w:val="22"/>
              </w:rPr>
              <w:t>100.005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1292"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2261"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342"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39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660"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1054"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20</w:t>
            </w:r>
          </w:p>
        </w:tc>
        <w:tc>
          <w:tcPr>
            <w:tcW w:w="1065" w:type="dxa"/>
            <w:shd w:val="clear" w:color="auto" w:fill="BDD6EE"/>
            <w:vAlign w:val="center"/>
          </w:tcPr>
          <w:p>
            <w:pPr>
              <w:widowControl/>
              <w:ind w:firstLine="0" w:firstLineChars="0"/>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ind w:firstLine="562"/>
        <w:rPr>
          <w:rFonts w:hAnsi="宋体"/>
          <w:szCs w:val="28"/>
        </w:rPr>
      </w:pPr>
      <w:r>
        <w:rPr>
          <w:rFonts w:hint="eastAsia"/>
          <w:b/>
          <w:bCs/>
        </w:rPr>
        <w:t>物业考核机制健全性:</w:t>
      </w:r>
      <w:r>
        <w:rPr>
          <w:rFonts w:hint="eastAsia"/>
        </w:rPr>
        <w:t>2023年我院物业考核机制健全,该指标分值10分，自评得分10分，得分率100.00%</w:t>
      </w:r>
      <w:r>
        <w:rPr>
          <w:rFonts w:hint="eastAsia" w:hAnsi="宋体"/>
          <w:szCs w:val="28"/>
        </w:rPr>
        <w:t>。</w:t>
      </w:r>
    </w:p>
    <w:p>
      <w:pPr>
        <w:ind w:firstLine="562"/>
        <w:rPr>
          <w:rFonts w:hAnsi="宋体"/>
          <w:szCs w:val="28"/>
        </w:rPr>
      </w:pPr>
      <w:r>
        <w:rPr>
          <w:rFonts w:hint="eastAsia"/>
          <w:b/>
          <w:bCs/>
        </w:rPr>
        <w:t>有效保障审判服务:</w:t>
      </w:r>
      <w:r>
        <w:rPr>
          <w:rFonts w:hint="eastAsia"/>
        </w:rPr>
        <w:t xml:space="preserve"> 2023年我院通过</w:t>
      </w:r>
      <w:r>
        <w:t>加强人员培训</w:t>
      </w:r>
      <w:r>
        <w:rPr>
          <w:rFonts w:hint="eastAsia"/>
        </w:rPr>
        <w:t>、</w:t>
      </w:r>
      <w:r>
        <w:t>优化审判流程</w:t>
      </w:r>
      <w:r>
        <w:rPr>
          <w:rFonts w:hint="eastAsia"/>
        </w:rPr>
        <w:t>、</w:t>
      </w:r>
      <w:r>
        <w:t>加强信息化建设</w:t>
      </w:r>
      <w:r>
        <w:rPr>
          <w:rFonts w:hint="eastAsia"/>
        </w:rPr>
        <w:t>、</w:t>
      </w:r>
      <w:r>
        <w:t>加强监督管理</w:t>
      </w:r>
      <w:r>
        <w:rPr>
          <w:rFonts w:hint="eastAsia"/>
        </w:rPr>
        <w:t>、</w:t>
      </w:r>
      <w:r>
        <w:t>加强与公安、检察等其他部门的协作，共同推进审判工作的顺利进行</w:t>
      </w:r>
      <w:r>
        <w:rPr>
          <w:rFonts w:hint="eastAsia"/>
        </w:rPr>
        <w:t>，帮助法院提高审判服务的质量和效率，保障当事人的合法权益，维护了社会公平正义。该指标实际完成值100.00%，指标分值10分，自评得分10分，得分率100.00%</w:t>
      </w:r>
      <w:r>
        <w:rPr>
          <w:rFonts w:hint="eastAsia" w:hAnsi="宋体"/>
          <w:szCs w:val="28"/>
        </w:rPr>
        <w:t>。</w:t>
      </w:r>
    </w:p>
    <w:p>
      <w:pPr>
        <w:ind w:left="319" w:leftChars="114" w:firstLine="281" w:firstLineChars="100"/>
        <w:rPr>
          <w:rFonts w:ascii="仿宋" w:hAnsi="仿宋" w:eastAsia="仿宋"/>
          <w:b/>
          <w:bCs/>
          <w:szCs w:val="28"/>
        </w:rPr>
      </w:pPr>
      <w:r>
        <w:rPr>
          <w:rFonts w:hint="eastAsia" w:ascii="仿宋" w:hAnsi="仿宋" w:eastAsia="仿宋"/>
          <w:b/>
          <w:bCs/>
          <w:szCs w:val="28"/>
        </w:rPr>
        <w:t>（4）服务对象满意度指标</w:t>
      </w:r>
    </w:p>
    <w:p>
      <w:pPr>
        <w:pStyle w:val="47"/>
        <w:ind w:firstLine="560"/>
        <w:rPr>
          <w:rFonts w:hAnsi="宋体"/>
          <w:szCs w:val="28"/>
        </w:rPr>
      </w:pPr>
      <w:r>
        <w:rPr>
          <w:rFonts w:hint="eastAsia" w:hAnsi="宋体"/>
          <w:szCs w:val="28"/>
        </w:rPr>
        <w:t>服务对象满意度指标指标根据我院向社会提供公共产品和服务的主要对象，主要考察服务对象满意度。该指标分值合计10分，自评得分10分，得分率100.00%。</w:t>
      </w:r>
    </w:p>
    <w:p>
      <w:pPr>
        <w:spacing w:line="121" w:lineRule="exact"/>
        <w:ind w:firstLine="560"/>
      </w:pPr>
    </w:p>
    <w:tbl>
      <w:tblPr>
        <w:tblStyle w:val="25"/>
        <w:tblW w:w="906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203"/>
        <w:gridCol w:w="1845"/>
        <w:gridCol w:w="1200"/>
        <w:gridCol w:w="1050"/>
        <w:gridCol w:w="855"/>
        <w:gridCol w:w="82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0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二级指标</w:t>
            </w:r>
          </w:p>
        </w:tc>
        <w:tc>
          <w:tcPr>
            <w:tcW w:w="1845"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120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年度</w:t>
            </w:r>
          </w:p>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指标值</w:t>
            </w:r>
          </w:p>
        </w:tc>
        <w:tc>
          <w:tcPr>
            <w:tcW w:w="1050" w:type="dxa"/>
            <w:shd w:val="clear" w:color="auto" w:fill="BDD6EE"/>
            <w:vAlign w:val="center"/>
          </w:tcPr>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实际</w:t>
            </w:r>
          </w:p>
          <w:p>
            <w:pPr>
              <w:widowControl/>
              <w:ind w:firstLine="0" w:firstLineChars="0"/>
              <w:jc w:val="center"/>
              <w:textAlignment w:val="center"/>
              <w:rPr>
                <w:rFonts w:ascii="宋体" w:hAnsi="宋体" w:eastAsia="宋体" w:cs="宋体"/>
                <w:b/>
                <w:bCs/>
                <w:color w:val="000000"/>
                <w:kern w:val="0"/>
                <w:sz w:val="22"/>
              </w:rPr>
            </w:pPr>
            <w:r>
              <w:rPr>
                <w:rFonts w:hint="eastAsia" w:ascii="宋体" w:hAnsi="宋体" w:eastAsia="宋体" w:cs="宋体"/>
                <w:b/>
                <w:bCs/>
                <w:color w:val="000000"/>
                <w:kern w:val="0"/>
                <w:sz w:val="22"/>
              </w:rPr>
              <w:t>完成值</w:t>
            </w:r>
          </w:p>
        </w:tc>
        <w:tc>
          <w:tcPr>
            <w:tcW w:w="855"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分值</w:t>
            </w:r>
          </w:p>
        </w:tc>
        <w:tc>
          <w:tcPr>
            <w:tcW w:w="82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自评得分</w:t>
            </w:r>
          </w:p>
        </w:tc>
        <w:tc>
          <w:tcPr>
            <w:tcW w:w="1093" w:type="dxa"/>
            <w:shd w:val="clear" w:color="auto" w:fill="BDD6EE"/>
            <w:vAlign w:val="center"/>
          </w:tcPr>
          <w:p>
            <w:pPr>
              <w:widowControl/>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03"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服务对象满意度指标</w:t>
            </w:r>
          </w:p>
        </w:tc>
        <w:tc>
          <w:tcPr>
            <w:tcW w:w="1845"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工作人员满意度</w:t>
            </w:r>
          </w:p>
        </w:tc>
        <w:tc>
          <w:tcPr>
            <w:tcW w:w="120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&gt;=90%</w:t>
            </w:r>
          </w:p>
        </w:tc>
        <w:tc>
          <w:tcPr>
            <w:tcW w:w="1050"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96%</w:t>
            </w:r>
          </w:p>
        </w:tc>
        <w:tc>
          <w:tcPr>
            <w:tcW w:w="855"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10</w:t>
            </w:r>
          </w:p>
        </w:tc>
        <w:tc>
          <w:tcPr>
            <w:tcW w:w="823" w:type="dxa"/>
            <w:vAlign w:val="center"/>
          </w:tcPr>
          <w:p>
            <w:pPr>
              <w:widowControl/>
              <w:ind w:firstLine="0" w:firstLineChars="0"/>
              <w:textAlignment w:val="center"/>
              <w:rPr>
                <w:rFonts w:ascii="宋体" w:hAnsi="宋体" w:eastAsia="宋体" w:cs="宋体"/>
                <w:color w:val="000000"/>
                <w:kern w:val="0"/>
                <w:sz w:val="22"/>
              </w:rPr>
            </w:pPr>
            <w:r>
              <w:rPr>
                <w:rFonts w:hint="eastAsia" w:ascii="宋体" w:hAnsi="宋体" w:eastAsia="宋体" w:cs="宋体"/>
                <w:color w:val="333333"/>
                <w:kern w:val="0"/>
                <w:sz w:val="22"/>
              </w:rPr>
              <w:t>10</w:t>
            </w:r>
          </w:p>
        </w:tc>
        <w:tc>
          <w:tcPr>
            <w:tcW w:w="1093" w:type="dxa"/>
            <w:vAlign w:val="center"/>
          </w:tcPr>
          <w:p>
            <w:pPr>
              <w:widowControl/>
              <w:ind w:firstLine="0" w:firstLineChars="0"/>
              <w:jc w:val="left"/>
              <w:textAlignment w:val="center"/>
              <w:rPr>
                <w:rFonts w:ascii="宋体" w:hAnsi="宋体" w:eastAsia="宋体" w:cs="宋体"/>
                <w:color w:val="000000"/>
                <w:kern w:val="0"/>
                <w:sz w:val="22"/>
              </w:rPr>
            </w:pPr>
            <w:r>
              <w:rPr>
                <w:rFonts w:hint="eastAsia" w:ascii="宋体" w:hAnsi="宋体" w:eastAsia="宋体" w:cs="宋体"/>
                <w:color w:val="333333"/>
                <w:kern w:val="0"/>
                <w:sz w:val="22"/>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2203" w:type="dxa"/>
            <w:shd w:val="clear" w:color="auto" w:fill="BDD6EE"/>
            <w:vAlign w:val="center"/>
          </w:tcPr>
          <w:p>
            <w:pPr>
              <w:widowControl/>
              <w:ind w:firstLine="442"/>
              <w:jc w:val="center"/>
              <w:textAlignment w:val="center"/>
              <w:rPr>
                <w:rFonts w:ascii="宋体" w:hAnsi="宋体" w:eastAsia="宋体" w:cs="宋体"/>
                <w:b/>
                <w:color w:val="000000"/>
                <w:kern w:val="0"/>
                <w:sz w:val="22"/>
              </w:rPr>
            </w:pPr>
            <w:r>
              <w:rPr>
                <w:rFonts w:hint="eastAsia" w:ascii="宋体" w:hAnsi="宋体" w:eastAsia="宋体" w:cs="宋体"/>
                <w:b/>
                <w:bCs/>
                <w:color w:val="000000"/>
                <w:kern w:val="0"/>
                <w:sz w:val="22"/>
              </w:rPr>
              <w:t>合计</w:t>
            </w:r>
          </w:p>
        </w:tc>
        <w:tc>
          <w:tcPr>
            <w:tcW w:w="1845"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20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1050" w:type="dxa"/>
            <w:shd w:val="clear" w:color="auto" w:fill="BDD6EE"/>
            <w:vAlign w:val="center"/>
          </w:tcPr>
          <w:p>
            <w:pPr>
              <w:widowControl/>
              <w:ind w:firstLine="442"/>
              <w:jc w:val="center"/>
              <w:textAlignment w:val="center"/>
              <w:rPr>
                <w:rFonts w:ascii="宋体" w:hAnsi="宋体" w:eastAsia="宋体" w:cs="宋体"/>
                <w:b/>
                <w:color w:val="000000"/>
                <w:kern w:val="0"/>
                <w:sz w:val="22"/>
              </w:rPr>
            </w:pPr>
          </w:p>
        </w:tc>
        <w:tc>
          <w:tcPr>
            <w:tcW w:w="855"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823" w:type="dxa"/>
            <w:shd w:val="clear" w:color="auto" w:fill="BDD6EE"/>
            <w:vAlign w:val="center"/>
          </w:tcPr>
          <w:p>
            <w:pPr>
              <w:widowControl/>
              <w:ind w:firstLine="0" w:firstLineChars="0"/>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w:t>
            </w:r>
          </w:p>
        </w:tc>
        <w:tc>
          <w:tcPr>
            <w:tcW w:w="1093" w:type="dxa"/>
            <w:shd w:val="clear" w:color="auto" w:fill="BDD6EE"/>
            <w:vAlign w:val="center"/>
          </w:tcPr>
          <w:p>
            <w:pPr>
              <w:widowControl/>
              <w:ind w:firstLine="0" w:firstLineChars="0"/>
              <w:textAlignment w:val="center"/>
              <w:rPr>
                <w:rFonts w:ascii="宋体" w:hAnsi="宋体" w:eastAsia="宋体" w:cs="宋体"/>
                <w:kern w:val="0"/>
                <w:sz w:val="22"/>
              </w:rPr>
            </w:pPr>
            <w:r>
              <w:rPr>
                <w:rFonts w:hint="eastAsia" w:ascii="宋体" w:hAnsi="宋体" w:eastAsia="宋体" w:cs="宋体"/>
                <w:b/>
                <w:bCs/>
                <w:color w:val="000000"/>
                <w:kern w:val="0"/>
                <w:sz w:val="22"/>
              </w:rPr>
              <w:t>100.00%</w:t>
            </w:r>
          </w:p>
        </w:tc>
      </w:tr>
    </w:tbl>
    <w:p>
      <w:pPr>
        <w:ind w:firstLine="562"/>
        <w:rPr>
          <w:rFonts w:hAnsi="宋体"/>
          <w:szCs w:val="28"/>
        </w:rPr>
      </w:pPr>
      <w:r>
        <w:rPr>
          <w:rFonts w:hint="eastAsia" w:cs="仿宋_GB2312"/>
          <w:b/>
          <w:bCs/>
          <w:szCs w:val="28"/>
        </w:rPr>
        <w:t>工作人员满意度：</w:t>
      </w:r>
      <w:r>
        <w:rPr>
          <w:rFonts w:hint="eastAsia" w:hAnsi="宋体"/>
          <w:szCs w:val="28"/>
        </w:rPr>
        <w:t>我院2023年度各项办案质效不断提升，法庭工作人员满意度达到96%。该指标分值10分，自评得分10分，得分率100.00%。</w:t>
      </w:r>
    </w:p>
    <w:p>
      <w:pPr>
        <w:pStyle w:val="4"/>
        <w:ind w:firstLine="562"/>
      </w:pPr>
      <w:r>
        <w:t>4、偏离绩效目标的原因及下一步改进措施</w:t>
      </w:r>
    </w:p>
    <w:p>
      <w:pPr>
        <w:pStyle w:val="47"/>
        <w:ind w:firstLine="560"/>
        <w:rPr>
          <w:rFonts w:hAnsi="宋体"/>
          <w:szCs w:val="28"/>
        </w:rPr>
      </w:pPr>
      <w:r>
        <w:rPr>
          <w:rFonts w:hint="eastAsia" w:hAnsi="宋体"/>
          <w:szCs w:val="28"/>
        </w:rPr>
        <w:t>无。</w:t>
      </w:r>
    </w:p>
    <w:bookmarkEnd w:id="58"/>
    <w:bookmarkEnd w:id="59"/>
    <w:bookmarkEnd w:id="60"/>
    <w:bookmarkEnd w:id="61"/>
    <w:bookmarkEnd w:id="62"/>
    <w:p>
      <w:pPr>
        <w:pStyle w:val="2"/>
        <w:spacing w:before="0" w:after="0"/>
        <w:ind w:firstLine="643" w:firstLineChars="200"/>
      </w:pPr>
      <w:bookmarkStart w:id="66" w:name="_Toc6252"/>
      <w:bookmarkStart w:id="67" w:name="_Toc15722"/>
      <w:bookmarkStart w:id="68" w:name="_Toc26665"/>
      <w:bookmarkStart w:id="69" w:name="_Toc32543"/>
      <w:r>
        <w:rPr>
          <w:rFonts w:hint="eastAsia"/>
        </w:rPr>
        <w:t>五、绩效自评结果拟应用和公开情况</w:t>
      </w:r>
      <w:bookmarkEnd w:id="63"/>
      <w:bookmarkEnd w:id="64"/>
      <w:bookmarkEnd w:id="66"/>
      <w:bookmarkEnd w:id="67"/>
      <w:bookmarkEnd w:id="68"/>
      <w:bookmarkEnd w:id="69"/>
    </w:p>
    <w:p>
      <w:pPr>
        <w:widowControl/>
        <w:ind w:firstLine="560"/>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绩效自评结果的应用是部门完善政策和改进管理的重要依据，部门要加强评价结果的应用。根据政策文件规定，我院绩效自评结果将编入2023年度决算中，随同2023年度部门决算同步公开。</w:t>
      </w:r>
    </w:p>
    <w:p>
      <w:pPr>
        <w:pStyle w:val="2"/>
        <w:spacing w:before="0" w:after="0"/>
        <w:ind w:firstLine="643" w:firstLineChars="200"/>
      </w:pPr>
      <w:bookmarkStart w:id="70" w:name="_Toc21490"/>
      <w:bookmarkStart w:id="71" w:name="_Toc31611"/>
      <w:bookmarkStart w:id="72" w:name="_Toc17181"/>
      <w:bookmarkStart w:id="73" w:name="_Toc6781"/>
      <w:bookmarkStart w:id="74" w:name="_Toc4491"/>
      <w:bookmarkStart w:id="75" w:name="_Toc40046066"/>
      <w:r>
        <w:rPr>
          <w:rFonts w:hint="eastAsia"/>
        </w:rPr>
        <w:t>六、其他需要说明的问题</w:t>
      </w:r>
      <w:bookmarkEnd w:id="70"/>
      <w:bookmarkEnd w:id="71"/>
      <w:bookmarkEnd w:id="72"/>
      <w:bookmarkEnd w:id="73"/>
      <w:bookmarkEnd w:id="74"/>
      <w:bookmarkEnd w:id="75"/>
    </w:p>
    <w:p>
      <w:pPr>
        <w:widowControl/>
        <w:ind w:firstLine="560"/>
      </w:pPr>
      <w:r>
        <w:rPr>
          <w:rFonts w:hint="eastAsia" w:hAnsi="宋体"/>
          <w:szCs w:val="28"/>
        </w:rPr>
        <w:t>无</w:t>
      </w:r>
    </w:p>
    <w:sectPr>
      <w:foot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sdt>
                <w:sdtPr>
                  <w:id w:val="1888059213"/>
                </w:sdtPr>
                <w:sdtContent>
                  <w:p>
                    <w:pPr>
                      <w:pStyle w:val="16"/>
                      <w:ind w:firstLine="360"/>
                      <w:jc w:val="center"/>
                    </w:pPr>
                    <w:r>
                      <w:fldChar w:fldCharType="begin"/>
                    </w:r>
                    <w:r>
                      <w:instrText xml:space="preserve">PAGE   \* MERGEFORMAT</w:instrText>
                    </w:r>
                    <w:r>
                      <w:fldChar w:fldCharType="separate"/>
                    </w:r>
                    <w:r>
                      <w:rPr>
                        <w:lang w:val="zh-CN"/>
                      </w:rPr>
                      <w:t>15</w:t>
                    </w:r>
                    <w:r>
                      <w:fldChar w:fldCharType="end"/>
                    </w:r>
                  </w:p>
                </w:sdtContent>
              </w:sdt>
              <w:p>
                <w:pPr>
                  <w:ind w:firstLine="560"/>
                </w:pPr>
              </w:p>
            </w:txbxContent>
          </v:textbox>
        </v:shape>
      </w:pict>
    </w:r>
  </w:p>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09D48"/>
    <w:multiLevelType w:val="singleLevel"/>
    <w:tmpl w:val="E3209D4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wYjZhYzRkMGNiZjdlZmI2ZmM1ZjNmYTVkYWNiYWE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D781A"/>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9F3A5A"/>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09DF"/>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297AA4"/>
    <w:rsid w:val="016210FD"/>
    <w:rsid w:val="0166457E"/>
    <w:rsid w:val="01865733"/>
    <w:rsid w:val="01A06E9D"/>
    <w:rsid w:val="023A109F"/>
    <w:rsid w:val="02441F1E"/>
    <w:rsid w:val="02510197"/>
    <w:rsid w:val="0294218E"/>
    <w:rsid w:val="02CA7215"/>
    <w:rsid w:val="02D93C69"/>
    <w:rsid w:val="0305754E"/>
    <w:rsid w:val="032D4760"/>
    <w:rsid w:val="032D7033"/>
    <w:rsid w:val="0333242E"/>
    <w:rsid w:val="03586C8C"/>
    <w:rsid w:val="035D3297"/>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B13A45"/>
    <w:rsid w:val="09B72FD5"/>
    <w:rsid w:val="09BE6112"/>
    <w:rsid w:val="09FA77E8"/>
    <w:rsid w:val="0A205353"/>
    <w:rsid w:val="0A6C3DC0"/>
    <w:rsid w:val="0AAC7535"/>
    <w:rsid w:val="0AE41BA8"/>
    <w:rsid w:val="0AFC15E8"/>
    <w:rsid w:val="0AFD6D5D"/>
    <w:rsid w:val="0B0D109F"/>
    <w:rsid w:val="0B3D575C"/>
    <w:rsid w:val="0B4E404E"/>
    <w:rsid w:val="0B8D6294"/>
    <w:rsid w:val="0B904D38"/>
    <w:rsid w:val="0B987180"/>
    <w:rsid w:val="0BA35E5E"/>
    <w:rsid w:val="0BA70E60"/>
    <w:rsid w:val="0BE1433A"/>
    <w:rsid w:val="0C040E46"/>
    <w:rsid w:val="0C126BE9"/>
    <w:rsid w:val="0C6032F9"/>
    <w:rsid w:val="0C6C6699"/>
    <w:rsid w:val="0C8F023A"/>
    <w:rsid w:val="0D2766C4"/>
    <w:rsid w:val="0D2E7A52"/>
    <w:rsid w:val="0DD248FB"/>
    <w:rsid w:val="0DD423A8"/>
    <w:rsid w:val="0DE74A3D"/>
    <w:rsid w:val="0DF0188C"/>
    <w:rsid w:val="0DF46805"/>
    <w:rsid w:val="0E071816"/>
    <w:rsid w:val="0E130328"/>
    <w:rsid w:val="0E14510B"/>
    <w:rsid w:val="0E5E4367"/>
    <w:rsid w:val="0E791344"/>
    <w:rsid w:val="0E8C2C83"/>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795489"/>
    <w:rsid w:val="10953945"/>
    <w:rsid w:val="109A22B0"/>
    <w:rsid w:val="10ED0DA6"/>
    <w:rsid w:val="112461D7"/>
    <w:rsid w:val="115B7B4E"/>
    <w:rsid w:val="119368FA"/>
    <w:rsid w:val="11A11963"/>
    <w:rsid w:val="11C03DEA"/>
    <w:rsid w:val="11C20FE9"/>
    <w:rsid w:val="11CF41B2"/>
    <w:rsid w:val="11E85901"/>
    <w:rsid w:val="126D4DDF"/>
    <w:rsid w:val="127C7ED8"/>
    <w:rsid w:val="12F942BB"/>
    <w:rsid w:val="13DA4490"/>
    <w:rsid w:val="14055456"/>
    <w:rsid w:val="1410241B"/>
    <w:rsid w:val="146A4AEC"/>
    <w:rsid w:val="14A1264A"/>
    <w:rsid w:val="14A14FAE"/>
    <w:rsid w:val="14A237DC"/>
    <w:rsid w:val="14C17805"/>
    <w:rsid w:val="15455939"/>
    <w:rsid w:val="154D47EE"/>
    <w:rsid w:val="1578500A"/>
    <w:rsid w:val="15937A9B"/>
    <w:rsid w:val="15B716F5"/>
    <w:rsid w:val="15D53382"/>
    <w:rsid w:val="160A3D95"/>
    <w:rsid w:val="16133C89"/>
    <w:rsid w:val="169A0A5A"/>
    <w:rsid w:val="16EA10E2"/>
    <w:rsid w:val="16F13FCB"/>
    <w:rsid w:val="171A2DA3"/>
    <w:rsid w:val="17364B64"/>
    <w:rsid w:val="17400B06"/>
    <w:rsid w:val="17914727"/>
    <w:rsid w:val="17A22D12"/>
    <w:rsid w:val="17A41D79"/>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A1A43C2"/>
    <w:rsid w:val="1A2F02E8"/>
    <w:rsid w:val="1A645D78"/>
    <w:rsid w:val="1A913C2A"/>
    <w:rsid w:val="1AB901AA"/>
    <w:rsid w:val="1ABA3711"/>
    <w:rsid w:val="1ACC2EC5"/>
    <w:rsid w:val="1B3604F2"/>
    <w:rsid w:val="1B367A94"/>
    <w:rsid w:val="1B391536"/>
    <w:rsid w:val="1B7D7F7E"/>
    <w:rsid w:val="1BE0460E"/>
    <w:rsid w:val="1C770035"/>
    <w:rsid w:val="1C934265"/>
    <w:rsid w:val="1CA53161"/>
    <w:rsid w:val="1CA9356C"/>
    <w:rsid w:val="1CB60D97"/>
    <w:rsid w:val="1CC41839"/>
    <w:rsid w:val="1CCC06EE"/>
    <w:rsid w:val="1CD540C4"/>
    <w:rsid w:val="1CE82FAE"/>
    <w:rsid w:val="1D172F01"/>
    <w:rsid w:val="1D4B7A4A"/>
    <w:rsid w:val="1D6B5FA6"/>
    <w:rsid w:val="1DE5415D"/>
    <w:rsid w:val="1E0730ED"/>
    <w:rsid w:val="1E2C7696"/>
    <w:rsid w:val="1E4A23BC"/>
    <w:rsid w:val="1E5D0198"/>
    <w:rsid w:val="1E6A2247"/>
    <w:rsid w:val="1EC73863"/>
    <w:rsid w:val="1EFC175F"/>
    <w:rsid w:val="1F066139"/>
    <w:rsid w:val="1FDB5818"/>
    <w:rsid w:val="201C2D22"/>
    <w:rsid w:val="204131A1"/>
    <w:rsid w:val="20462111"/>
    <w:rsid w:val="205A1343"/>
    <w:rsid w:val="206A11BC"/>
    <w:rsid w:val="20B724D5"/>
    <w:rsid w:val="21132B7C"/>
    <w:rsid w:val="215313DE"/>
    <w:rsid w:val="216E0AF3"/>
    <w:rsid w:val="21A10725"/>
    <w:rsid w:val="21D94E53"/>
    <w:rsid w:val="21E94BEF"/>
    <w:rsid w:val="22AA071D"/>
    <w:rsid w:val="22C541CF"/>
    <w:rsid w:val="22F26762"/>
    <w:rsid w:val="22F3461B"/>
    <w:rsid w:val="238D685A"/>
    <w:rsid w:val="23A31DC3"/>
    <w:rsid w:val="23AF71DA"/>
    <w:rsid w:val="23C10B07"/>
    <w:rsid w:val="23C75000"/>
    <w:rsid w:val="24223CEC"/>
    <w:rsid w:val="247C56A2"/>
    <w:rsid w:val="248C0A40"/>
    <w:rsid w:val="24A819DF"/>
    <w:rsid w:val="24E54A43"/>
    <w:rsid w:val="25AB104A"/>
    <w:rsid w:val="25D37B28"/>
    <w:rsid w:val="25E12217"/>
    <w:rsid w:val="26323CB8"/>
    <w:rsid w:val="26555BF8"/>
    <w:rsid w:val="26791EDD"/>
    <w:rsid w:val="26893043"/>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6348E0"/>
    <w:rsid w:val="2B786611"/>
    <w:rsid w:val="2B970537"/>
    <w:rsid w:val="2BE76212"/>
    <w:rsid w:val="2C09185D"/>
    <w:rsid w:val="2C0F7531"/>
    <w:rsid w:val="2C7A0167"/>
    <w:rsid w:val="2C8F33BD"/>
    <w:rsid w:val="2C8F54B1"/>
    <w:rsid w:val="2D03015C"/>
    <w:rsid w:val="2D5662C8"/>
    <w:rsid w:val="2D8868B3"/>
    <w:rsid w:val="2DF56335"/>
    <w:rsid w:val="2DF9286A"/>
    <w:rsid w:val="2ED6443A"/>
    <w:rsid w:val="2EE138F7"/>
    <w:rsid w:val="2F0C4BE3"/>
    <w:rsid w:val="2F2B5748"/>
    <w:rsid w:val="2F377CAB"/>
    <w:rsid w:val="2F4D1ED1"/>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29A6E6D"/>
    <w:rsid w:val="32DC4272"/>
    <w:rsid w:val="32F72511"/>
    <w:rsid w:val="33150BE9"/>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3277FD"/>
    <w:rsid w:val="36483084"/>
    <w:rsid w:val="365E57FF"/>
    <w:rsid w:val="3662296A"/>
    <w:rsid w:val="366A70C8"/>
    <w:rsid w:val="36AF7935"/>
    <w:rsid w:val="36B928EF"/>
    <w:rsid w:val="36D901FE"/>
    <w:rsid w:val="37164F30"/>
    <w:rsid w:val="37215DAE"/>
    <w:rsid w:val="372B7BCD"/>
    <w:rsid w:val="376728C4"/>
    <w:rsid w:val="376E08C8"/>
    <w:rsid w:val="378E7D33"/>
    <w:rsid w:val="379067CC"/>
    <w:rsid w:val="37F60FE9"/>
    <w:rsid w:val="38021539"/>
    <w:rsid w:val="380A28CA"/>
    <w:rsid w:val="383A2C56"/>
    <w:rsid w:val="38514471"/>
    <w:rsid w:val="388C6E04"/>
    <w:rsid w:val="389A5030"/>
    <w:rsid w:val="38A327F3"/>
    <w:rsid w:val="38E250C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6406AA"/>
    <w:rsid w:val="3D7B0470"/>
    <w:rsid w:val="3D9D034F"/>
    <w:rsid w:val="3DB8289D"/>
    <w:rsid w:val="3DCE04F9"/>
    <w:rsid w:val="3DD07A03"/>
    <w:rsid w:val="3DE32F0A"/>
    <w:rsid w:val="3E23065E"/>
    <w:rsid w:val="3E585D6B"/>
    <w:rsid w:val="3E591B97"/>
    <w:rsid w:val="3EC75511"/>
    <w:rsid w:val="3F41523B"/>
    <w:rsid w:val="3F5D34CD"/>
    <w:rsid w:val="3F9B2476"/>
    <w:rsid w:val="3FC12A9B"/>
    <w:rsid w:val="40287B7C"/>
    <w:rsid w:val="402B55A8"/>
    <w:rsid w:val="403A4B1E"/>
    <w:rsid w:val="40516350"/>
    <w:rsid w:val="4081490E"/>
    <w:rsid w:val="408F79A5"/>
    <w:rsid w:val="40B17223"/>
    <w:rsid w:val="40C96B6F"/>
    <w:rsid w:val="4113146D"/>
    <w:rsid w:val="41B62723"/>
    <w:rsid w:val="41C474D0"/>
    <w:rsid w:val="41C8474B"/>
    <w:rsid w:val="41CD47B2"/>
    <w:rsid w:val="423B584A"/>
    <w:rsid w:val="43166C1A"/>
    <w:rsid w:val="43291B47"/>
    <w:rsid w:val="432C1F8F"/>
    <w:rsid w:val="432F247C"/>
    <w:rsid w:val="43625A2A"/>
    <w:rsid w:val="437F06E0"/>
    <w:rsid w:val="43C31F9B"/>
    <w:rsid w:val="43D14C90"/>
    <w:rsid w:val="44093E52"/>
    <w:rsid w:val="44475071"/>
    <w:rsid w:val="445E3AFF"/>
    <w:rsid w:val="44612E7B"/>
    <w:rsid w:val="44753B35"/>
    <w:rsid w:val="448160DE"/>
    <w:rsid w:val="4490793F"/>
    <w:rsid w:val="449625EA"/>
    <w:rsid w:val="44A571E8"/>
    <w:rsid w:val="45343151"/>
    <w:rsid w:val="456F5F37"/>
    <w:rsid w:val="45A1539D"/>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7D2815"/>
    <w:rsid w:val="47841A42"/>
    <w:rsid w:val="478A34FC"/>
    <w:rsid w:val="47982EAF"/>
    <w:rsid w:val="47CA38F8"/>
    <w:rsid w:val="481B63B6"/>
    <w:rsid w:val="487550B7"/>
    <w:rsid w:val="48B40105"/>
    <w:rsid w:val="48C20A74"/>
    <w:rsid w:val="48D569F9"/>
    <w:rsid w:val="48D83D6A"/>
    <w:rsid w:val="48F202EF"/>
    <w:rsid w:val="49367D49"/>
    <w:rsid w:val="49747127"/>
    <w:rsid w:val="49B35FD2"/>
    <w:rsid w:val="49B45B0A"/>
    <w:rsid w:val="49BF4D9E"/>
    <w:rsid w:val="49D337CF"/>
    <w:rsid w:val="4A2319E6"/>
    <w:rsid w:val="4A642CF0"/>
    <w:rsid w:val="4AC565F9"/>
    <w:rsid w:val="4AF07AF1"/>
    <w:rsid w:val="4B182BCD"/>
    <w:rsid w:val="4B4439C2"/>
    <w:rsid w:val="4BD110E2"/>
    <w:rsid w:val="4C261319"/>
    <w:rsid w:val="4C261844"/>
    <w:rsid w:val="4C3E48B5"/>
    <w:rsid w:val="4C5E4F57"/>
    <w:rsid w:val="4C6F4027"/>
    <w:rsid w:val="4C7E342D"/>
    <w:rsid w:val="4C975D73"/>
    <w:rsid w:val="4C9848B2"/>
    <w:rsid w:val="4CDF1128"/>
    <w:rsid w:val="4D0B54AD"/>
    <w:rsid w:val="4D16026A"/>
    <w:rsid w:val="4D2A1AB4"/>
    <w:rsid w:val="4D633045"/>
    <w:rsid w:val="4DBA72D7"/>
    <w:rsid w:val="4DBD57AB"/>
    <w:rsid w:val="4E471E75"/>
    <w:rsid w:val="4E64507F"/>
    <w:rsid w:val="4E8D3684"/>
    <w:rsid w:val="4E957926"/>
    <w:rsid w:val="4F1E7270"/>
    <w:rsid w:val="4F224D8D"/>
    <w:rsid w:val="4F2C30EB"/>
    <w:rsid w:val="4F974A08"/>
    <w:rsid w:val="4FB54E8E"/>
    <w:rsid w:val="4FCD667C"/>
    <w:rsid w:val="4FE237A9"/>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6A6404"/>
    <w:rsid w:val="52874813"/>
    <w:rsid w:val="52986A2B"/>
    <w:rsid w:val="52A068B2"/>
    <w:rsid w:val="53034162"/>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5BA0257"/>
    <w:rsid w:val="5634588C"/>
    <w:rsid w:val="56615E0C"/>
    <w:rsid w:val="567846EC"/>
    <w:rsid w:val="56AC0B61"/>
    <w:rsid w:val="56B45E9F"/>
    <w:rsid w:val="5714693E"/>
    <w:rsid w:val="57272B15"/>
    <w:rsid w:val="575C16B2"/>
    <w:rsid w:val="57966F2A"/>
    <w:rsid w:val="57AD207D"/>
    <w:rsid w:val="5806097D"/>
    <w:rsid w:val="58134E48"/>
    <w:rsid w:val="583A6878"/>
    <w:rsid w:val="587873A1"/>
    <w:rsid w:val="5889335C"/>
    <w:rsid w:val="58B80B09"/>
    <w:rsid w:val="58C500FD"/>
    <w:rsid w:val="58D002DD"/>
    <w:rsid w:val="58DC7930"/>
    <w:rsid w:val="590C03A2"/>
    <w:rsid w:val="596334BB"/>
    <w:rsid w:val="59727BBE"/>
    <w:rsid w:val="59964C22"/>
    <w:rsid w:val="59A541C5"/>
    <w:rsid w:val="59A97E57"/>
    <w:rsid w:val="5A112DD4"/>
    <w:rsid w:val="5A4A24F3"/>
    <w:rsid w:val="5A5B1C29"/>
    <w:rsid w:val="5A7F2300"/>
    <w:rsid w:val="5AED49A0"/>
    <w:rsid w:val="5B6C5E29"/>
    <w:rsid w:val="5B92709A"/>
    <w:rsid w:val="5BD112A2"/>
    <w:rsid w:val="5BDA5CF3"/>
    <w:rsid w:val="5BFE0297"/>
    <w:rsid w:val="5C161EDE"/>
    <w:rsid w:val="5C207B33"/>
    <w:rsid w:val="5C880D1C"/>
    <w:rsid w:val="5C891B7C"/>
    <w:rsid w:val="5CA91A5D"/>
    <w:rsid w:val="5D04082A"/>
    <w:rsid w:val="5D2914FD"/>
    <w:rsid w:val="5D5E4DB7"/>
    <w:rsid w:val="5D611791"/>
    <w:rsid w:val="5D755C5D"/>
    <w:rsid w:val="5DAE0264"/>
    <w:rsid w:val="5DD5494D"/>
    <w:rsid w:val="5DDE74C5"/>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12843"/>
    <w:rsid w:val="60BA744E"/>
    <w:rsid w:val="60BB23FA"/>
    <w:rsid w:val="60FB49D2"/>
    <w:rsid w:val="6138147B"/>
    <w:rsid w:val="618164DD"/>
    <w:rsid w:val="61A8226C"/>
    <w:rsid w:val="61D474C9"/>
    <w:rsid w:val="61F77A0A"/>
    <w:rsid w:val="62950A8E"/>
    <w:rsid w:val="629774D1"/>
    <w:rsid w:val="62B339C2"/>
    <w:rsid w:val="62BE64F4"/>
    <w:rsid w:val="62C9714A"/>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5C37EAD"/>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F3ADF"/>
    <w:rsid w:val="69935DE8"/>
    <w:rsid w:val="69DA3ABA"/>
    <w:rsid w:val="6A3762A4"/>
    <w:rsid w:val="6A3E1F51"/>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F255E1"/>
    <w:rsid w:val="6F3C1C82"/>
    <w:rsid w:val="6F4B5004"/>
    <w:rsid w:val="6F7915DC"/>
    <w:rsid w:val="6F9E02F2"/>
    <w:rsid w:val="6FF00AC7"/>
    <w:rsid w:val="700F01D3"/>
    <w:rsid w:val="7015387B"/>
    <w:rsid w:val="705A41AE"/>
    <w:rsid w:val="70B30B1E"/>
    <w:rsid w:val="70D07922"/>
    <w:rsid w:val="70E14841"/>
    <w:rsid w:val="7113156F"/>
    <w:rsid w:val="713A123F"/>
    <w:rsid w:val="718524BB"/>
    <w:rsid w:val="718631F8"/>
    <w:rsid w:val="71AD43BC"/>
    <w:rsid w:val="71CE1DE8"/>
    <w:rsid w:val="71E60A7F"/>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D7226C"/>
    <w:rsid w:val="76332FB4"/>
    <w:rsid w:val="76364E43"/>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475D0"/>
    <w:rsid w:val="7A574C10"/>
    <w:rsid w:val="7A7F1A71"/>
    <w:rsid w:val="7AAC0AB8"/>
    <w:rsid w:val="7AAF2356"/>
    <w:rsid w:val="7AD06AA1"/>
    <w:rsid w:val="7B011F41"/>
    <w:rsid w:val="7B0C59FB"/>
    <w:rsid w:val="7B101CDA"/>
    <w:rsid w:val="7B587A97"/>
    <w:rsid w:val="7B7209AE"/>
    <w:rsid w:val="7BD644A9"/>
    <w:rsid w:val="7C162517"/>
    <w:rsid w:val="7C2D3A49"/>
    <w:rsid w:val="7C4371FA"/>
    <w:rsid w:val="7C5950EA"/>
    <w:rsid w:val="7D657644"/>
    <w:rsid w:val="7D670C49"/>
    <w:rsid w:val="7D9A5540"/>
    <w:rsid w:val="7DA16686"/>
    <w:rsid w:val="7DA63EE4"/>
    <w:rsid w:val="7DB40352"/>
    <w:rsid w:val="7DF67493"/>
    <w:rsid w:val="7E3B4056"/>
    <w:rsid w:val="7E8640F9"/>
    <w:rsid w:val="7E8E06E9"/>
    <w:rsid w:val="7EA31D98"/>
    <w:rsid w:val="7EC37778"/>
    <w:rsid w:val="7EC81C39"/>
    <w:rsid w:val="7EDA4C91"/>
    <w:rsid w:val="7EF700DD"/>
    <w:rsid w:val="7F2655FA"/>
    <w:rsid w:val="7F3160FD"/>
    <w:rsid w:val="7F951BF0"/>
    <w:rsid w:val="7FBD6760"/>
    <w:rsid w:val="EEB3F4F2"/>
    <w:rsid w:val="F97FDFF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6"/>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7"/>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8"/>
    <w:unhideWhenUsed/>
    <w:qFormat/>
    <w:uiPriority w:val="9"/>
    <w:pPr>
      <w:keepNext/>
      <w:keepLines/>
      <w:outlineLvl w:val="2"/>
    </w:pPr>
    <w:rPr>
      <w:b/>
      <w:bCs/>
      <w:szCs w:val="32"/>
    </w:rPr>
  </w:style>
  <w:style w:type="paragraph" w:styleId="5">
    <w:name w:val="heading 4"/>
    <w:basedOn w:val="1"/>
    <w:next w:val="1"/>
    <w:link w:val="48"/>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9"/>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40"/>
    <w:unhideWhenUsed/>
    <w:qFormat/>
    <w:uiPriority w:val="99"/>
    <w:pPr>
      <w:jc w:val="left"/>
    </w:pPr>
  </w:style>
  <w:style w:type="paragraph" w:styleId="10">
    <w:name w:val="index 6"/>
    <w:basedOn w:val="1"/>
    <w:next w:val="1"/>
    <w:semiHidden/>
    <w:qFormat/>
    <w:uiPriority w:val="0"/>
    <w:pPr>
      <w:ind w:firstLine="640"/>
    </w:pPr>
    <w:rPr>
      <w:rFonts w:cs="仿宋_GB2312"/>
      <w:color w:val="0000FF"/>
      <w:sz w:val="32"/>
      <w:szCs w:val="32"/>
    </w:rPr>
  </w:style>
  <w:style w:type="paragraph" w:styleId="11">
    <w:name w:val="Body Text"/>
    <w:basedOn w:val="1"/>
    <w:next w:val="1"/>
    <w:qFormat/>
    <w:uiPriority w:val="99"/>
    <w:rPr>
      <w:szCs w:val="21"/>
    </w:rPr>
  </w:style>
  <w:style w:type="paragraph" w:styleId="12">
    <w:name w:val="Body Text Indent"/>
    <w:basedOn w:val="1"/>
    <w:link w:val="50"/>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qFormat/>
    <w:uiPriority w:val="0"/>
    <w:pPr>
      <w:ind w:left="-718" w:leftChars="-342" w:firstLine="720" w:firstLineChars="225"/>
      <w:jc w:val="left"/>
    </w:pPr>
    <w:rPr>
      <w:sz w:val="32"/>
      <w:szCs w:val="32"/>
    </w:rPr>
  </w:style>
  <w:style w:type="paragraph" w:styleId="15">
    <w:name w:val="Balloon Text"/>
    <w:basedOn w:val="1"/>
    <w:link w:val="58"/>
    <w:semiHidden/>
    <w:unhideWhenUsed/>
    <w:qFormat/>
    <w:uiPriority w:val="99"/>
    <w:pPr>
      <w:spacing w:line="240" w:lineRule="auto"/>
    </w:pPr>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ind w:firstLine="0" w:firstLineChars="0"/>
    </w:pPr>
    <w:rPr>
      <w:rFonts w:hAnsi="宋体"/>
      <w:b/>
      <w:bCs/>
    </w:rPr>
  </w:style>
  <w:style w:type="paragraph" w:styleId="19">
    <w:name w:val="toc 2"/>
    <w:basedOn w:val="1"/>
    <w:next w:val="1"/>
    <w:unhideWhenUsed/>
    <w:qFormat/>
    <w:uiPriority w:val="39"/>
    <w:pPr>
      <w:tabs>
        <w:tab w:val="right" w:leader="dot" w:pos="8296"/>
      </w:tabs>
      <w:ind w:left="560" w:leftChars="200" w:firstLine="0" w:firstLineChars="0"/>
    </w:pPr>
  </w:style>
  <w:style w:type="paragraph" w:styleId="2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1">
    <w:name w:val="Normal (Web)"/>
    <w:basedOn w:val="1"/>
    <w:semiHidden/>
    <w:unhideWhenUsed/>
    <w:qFormat/>
    <w:uiPriority w:val="99"/>
    <w:pPr>
      <w:spacing w:beforeAutospacing="1" w:afterAutospacing="1"/>
      <w:jc w:val="left"/>
    </w:pPr>
    <w:rPr>
      <w:rFonts w:cs="Times New Roman"/>
      <w:kern w:val="0"/>
      <w:sz w:val="24"/>
    </w:rPr>
  </w:style>
  <w:style w:type="paragraph" w:styleId="22">
    <w:name w:val="index 1"/>
    <w:basedOn w:val="1"/>
    <w:next w:val="1"/>
    <w:qFormat/>
    <w:uiPriority w:val="0"/>
  </w:style>
  <w:style w:type="paragraph" w:styleId="23">
    <w:name w:val="annotation subject"/>
    <w:basedOn w:val="9"/>
    <w:next w:val="9"/>
    <w:link w:val="41"/>
    <w:semiHidden/>
    <w:unhideWhenUsed/>
    <w:qFormat/>
    <w:uiPriority w:val="99"/>
    <w:rPr>
      <w:b/>
      <w:bCs/>
    </w:rPr>
  </w:style>
  <w:style w:type="paragraph" w:styleId="24">
    <w:name w:val="Body Text First Indent 2"/>
    <w:basedOn w:val="12"/>
    <w:link w:val="51"/>
    <w:unhideWhenUsed/>
    <w:qFormat/>
    <w:uiPriority w:val="0"/>
    <w:pPr>
      <w:spacing w:after="120"/>
      <w:ind w:left="420" w:firstLine="420"/>
    </w:pPr>
    <w:rPr>
      <w:szCs w:val="22"/>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unhideWhenUsed/>
    <w:qFormat/>
    <w:uiPriority w:val="99"/>
    <w:rPr>
      <w:color w:val="0563C1" w:themeColor="hyperlink"/>
      <w:u w:val="single"/>
    </w:rPr>
  </w:style>
  <w:style w:type="character" w:styleId="29">
    <w:name w:val="annotation reference"/>
    <w:basedOn w:val="27"/>
    <w:semiHidden/>
    <w:unhideWhenUsed/>
    <w:qFormat/>
    <w:uiPriority w:val="99"/>
    <w:rPr>
      <w:sz w:val="21"/>
      <w:szCs w:val="21"/>
    </w:rPr>
  </w:style>
  <w:style w:type="paragraph" w:customStyle="1" w:styleId="30">
    <w:name w:val="正文文本首行缩进 21"/>
    <w:basedOn w:val="1"/>
    <w:qFormat/>
    <w:uiPriority w:val="0"/>
    <w:pPr>
      <w:ind w:left="420" w:leftChars="200" w:firstLine="420"/>
    </w:pPr>
  </w:style>
  <w:style w:type="paragraph" w:customStyle="1" w:styleId="31">
    <w:name w:val="Body Text First Indent 21"/>
    <w:basedOn w:val="1"/>
    <w:qFormat/>
    <w:uiPriority w:val="0"/>
    <w:pPr>
      <w:ind w:left="420" w:leftChars="200" w:firstLine="420"/>
    </w:pPr>
  </w:style>
  <w:style w:type="paragraph" w:customStyle="1" w:styleId="32">
    <w:name w:val="BodyTextIndent"/>
    <w:basedOn w:val="1"/>
    <w:qFormat/>
    <w:uiPriority w:val="0"/>
    <w:pPr>
      <w:widowControl/>
      <w:ind w:left="200" w:leftChars="200"/>
      <w:textAlignment w:val="baseline"/>
    </w:pPr>
    <w:rPr>
      <w:sz w:val="21"/>
      <w:szCs w:val="21"/>
    </w:rPr>
  </w:style>
  <w:style w:type="character" w:customStyle="1" w:styleId="33">
    <w:name w:val="页眉 Char"/>
    <w:basedOn w:val="27"/>
    <w:link w:val="17"/>
    <w:qFormat/>
    <w:uiPriority w:val="99"/>
    <w:rPr>
      <w:sz w:val="18"/>
      <w:szCs w:val="18"/>
    </w:rPr>
  </w:style>
  <w:style w:type="character" w:customStyle="1" w:styleId="34">
    <w:name w:val="页脚 Char"/>
    <w:basedOn w:val="27"/>
    <w:link w:val="16"/>
    <w:qFormat/>
    <w:uiPriority w:val="99"/>
    <w:rPr>
      <w:sz w:val="18"/>
      <w:szCs w:val="18"/>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6">
    <w:name w:val="标题 1 Char"/>
    <w:basedOn w:val="27"/>
    <w:link w:val="2"/>
    <w:qFormat/>
    <w:uiPriority w:val="9"/>
    <w:rPr>
      <w:rFonts w:ascii="黑体" w:hAnsi="黑体" w:eastAsia="黑体"/>
      <w:b/>
      <w:bCs/>
      <w:kern w:val="44"/>
      <w:sz w:val="32"/>
      <w:szCs w:val="44"/>
    </w:rPr>
  </w:style>
  <w:style w:type="character" w:customStyle="1" w:styleId="37">
    <w:name w:val="标题 2 Char"/>
    <w:basedOn w:val="27"/>
    <w:link w:val="3"/>
    <w:qFormat/>
    <w:uiPriority w:val="9"/>
    <w:rPr>
      <w:rFonts w:ascii="楷体" w:hAnsi="楷体" w:eastAsia="楷体" w:cstheme="majorBidi"/>
      <w:b/>
      <w:bCs/>
      <w:sz w:val="32"/>
      <w:szCs w:val="32"/>
    </w:rPr>
  </w:style>
  <w:style w:type="character" w:customStyle="1" w:styleId="38">
    <w:name w:val="标题 3 Char"/>
    <w:basedOn w:val="27"/>
    <w:link w:val="4"/>
    <w:qFormat/>
    <w:uiPriority w:val="9"/>
    <w:rPr>
      <w:rFonts w:ascii="仿宋_GB2312" w:hAnsi="仿宋_GB2312" w:eastAsia="仿宋_GB2312"/>
      <w:b/>
      <w:bCs/>
      <w:sz w:val="28"/>
      <w:szCs w:val="32"/>
    </w:rPr>
  </w:style>
  <w:style w:type="character" w:customStyle="1" w:styleId="39">
    <w:name w:val="font01"/>
    <w:basedOn w:val="27"/>
    <w:qFormat/>
    <w:uiPriority w:val="0"/>
    <w:rPr>
      <w:rFonts w:hint="eastAsia" w:ascii="宋体" w:hAnsi="宋体" w:eastAsia="宋体" w:cs="宋体"/>
      <w:color w:val="000000"/>
      <w:sz w:val="21"/>
      <w:szCs w:val="21"/>
      <w:u w:val="none"/>
    </w:rPr>
  </w:style>
  <w:style w:type="character" w:customStyle="1" w:styleId="40">
    <w:name w:val="批注文字 Char"/>
    <w:basedOn w:val="27"/>
    <w:link w:val="9"/>
    <w:qFormat/>
    <w:uiPriority w:val="99"/>
    <w:rPr>
      <w:rFonts w:ascii="仿宋_GB2312" w:hAnsi="仿宋_GB2312" w:eastAsia="仿宋_GB2312" w:cstheme="minorBidi"/>
      <w:kern w:val="2"/>
      <w:sz w:val="28"/>
      <w:szCs w:val="22"/>
    </w:rPr>
  </w:style>
  <w:style w:type="character" w:customStyle="1" w:styleId="41">
    <w:name w:val="批注主题 Char"/>
    <w:basedOn w:val="40"/>
    <w:link w:val="23"/>
    <w:semiHidden/>
    <w:qFormat/>
    <w:uiPriority w:val="99"/>
    <w:rPr>
      <w:rFonts w:ascii="仿宋_GB2312" w:hAnsi="仿宋_GB2312" w:eastAsia="仿宋_GB2312" w:cstheme="minorBidi"/>
      <w:b/>
      <w:bCs/>
      <w:kern w:val="2"/>
      <w:sz w:val="28"/>
      <w:szCs w:val="22"/>
    </w:rPr>
  </w:style>
  <w:style w:type="paragraph" w:customStyle="1" w:styleId="42">
    <w:name w:val="NormalIndent"/>
    <w:basedOn w:val="1"/>
    <w:qFormat/>
    <w:uiPriority w:val="99"/>
    <w:pPr>
      <w:ind w:firstLine="420"/>
      <w:textAlignment w:val="baseline"/>
    </w:pPr>
    <w:rPr>
      <w:szCs w:val="21"/>
    </w:rPr>
  </w:style>
  <w:style w:type="character" w:customStyle="1" w:styleId="43">
    <w:name w:val="content1"/>
    <w:basedOn w:val="27"/>
    <w:qFormat/>
    <w:uiPriority w:val="0"/>
    <w:rPr>
      <w:rFonts w:hint="default"/>
      <w:sz w:val="21"/>
    </w:rPr>
  </w:style>
  <w:style w:type="paragraph" w:customStyle="1" w:styleId="44">
    <w:name w:val="Char2"/>
    <w:basedOn w:val="1"/>
    <w:qFormat/>
    <w:uiPriority w:val="0"/>
    <w:rPr>
      <w:rFonts w:ascii="Courier" w:hAnsi="Courier" w:cs="Courier"/>
      <w:szCs w:val="21"/>
    </w:rPr>
  </w:style>
  <w:style w:type="character" w:customStyle="1" w:styleId="45">
    <w:name w:val="NormalCharacter"/>
    <w:semiHidden/>
    <w:qFormat/>
    <w:uiPriority w:val="0"/>
  </w:style>
  <w:style w:type="paragraph" w:customStyle="1" w:styleId="46">
    <w:name w:val="Normal Indent1"/>
    <w:basedOn w:val="1"/>
    <w:qFormat/>
    <w:uiPriority w:val="99"/>
    <w:pPr>
      <w:ind w:firstLine="420"/>
    </w:pPr>
  </w:style>
  <w:style w:type="paragraph" w:styleId="47">
    <w:name w:val="List Paragraph"/>
    <w:basedOn w:val="1"/>
    <w:qFormat/>
    <w:uiPriority w:val="99"/>
    <w:pPr>
      <w:ind w:firstLine="420"/>
    </w:pPr>
  </w:style>
  <w:style w:type="character" w:customStyle="1" w:styleId="48">
    <w:name w:val="标题 4 Char"/>
    <w:basedOn w:val="27"/>
    <w:link w:val="5"/>
    <w:qFormat/>
    <w:uiPriority w:val="9"/>
    <w:rPr>
      <w:rFonts w:asciiTheme="majorHAnsi" w:hAnsiTheme="majorHAnsi" w:eastAsiaTheme="majorEastAsia" w:cstheme="majorBidi"/>
      <w:b/>
      <w:bCs/>
      <w:kern w:val="2"/>
      <w:sz w:val="28"/>
      <w:szCs w:val="28"/>
    </w:rPr>
  </w:style>
  <w:style w:type="character" w:customStyle="1" w:styleId="49">
    <w:name w:val="标题 5 Char"/>
    <w:basedOn w:val="27"/>
    <w:link w:val="6"/>
    <w:qFormat/>
    <w:uiPriority w:val="9"/>
    <w:rPr>
      <w:rFonts w:ascii="仿宋_GB2312" w:hAnsi="仿宋_GB2312" w:eastAsia="仿宋_GB2312" w:cstheme="minorBidi"/>
      <w:b/>
      <w:bCs/>
      <w:kern w:val="2"/>
      <w:sz w:val="28"/>
      <w:szCs w:val="28"/>
    </w:rPr>
  </w:style>
  <w:style w:type="character" w:customStyle="1" w:styleId="50">
    <w:name w:val="正文文本缩进 Char"/>
    <w:basedOn w:val="27"/>
    <w:link w:val="12"/>
    <w:qFormat/>
    <w:uiPriority w:val="0"/>
    <w:rPr>
      <w:rFonts w:ascii="仿宋_GB2312" w:hAnsi="仿宋_GB2312" w:eastAsia="仿宋_GB2312" w:cstheme="minorBidi"/>
      <w:kern w:val="2"/>
      <w:sz w:val="28"/>
      <w:szCs w:val="21"/>
    </w:rPr>
  </w:style>
  <w:style w:type="character" w:customStyle="1" w:styleId="51">
    <w:name w:val="正文首行缩进 2 Char"/>
    <w:basedOn w:val="50"/>
    <w:link w:val="24"/>
    <w:qFormat/>
    <w:uiPriority w:val="0"/>
    <w:rPr>
      <w:rFonts w:ascii="仿宋_GB2312" w:hAnsi="仿宋_GB2312" w:eastAsia="仿宋_GB2312" w:cstheme="minorBidi"/>
      <w:kern w:val="2"/>
      <w:sz w:val="28"/>
      <w:szCs w:val="22"/>
    </w:rPr>
  </w:style>
  <w:style w:type="paragraph" w:customStyle="1" w:styleId="52">
    <w:name w:val="正文首行缩进 21"/>
    <w:basedOn w:val="1"/>
    <w:qFormat/>
    <w:uiPriority w:val="0"/>
    <w:pPr>
      <w:ind w:left="420" w:leftChars="200" w:firstLine="420"/>
    </w:pPr>
  </w:style>
  <w:style w:type="character" w:customStyle="1" w:styleId="53">
    <w:name w:val="font41"/>
    <w:basedOn w:val="27"/>
    <w:qFormat/>
    <w:uiPriority w:val="0"/>
    <w:rPr>
      <w:rFonts w:hint="eastAsia" w:ascii="仿宋_GB2312" w:eastAsia="仿宋_GB2312" w:cs="仿宋_GB2312"/>
      <w:b/>
      <w:bCs/>
      <w:color w:val="000000"/>
      <w:sz w:val="24"/>
      <w:szCs w:val="24"/>
      <w:u w:val="none"/>
    </w:rPr>
  </w:style>
  <w:style w:type="character" w:customStyle="1" w:styleId="54">
    <w:name w:val="font31"/>
    <w:basedOn w:val="27"/>
    <w:qFormat/>
    <w:uiPriority w:val="0"/>
    <w:rPr>
      <w:rFonts w:hint="eastAsia" w:ascii="仿宋_GB2312" w:eastAsia="仿宋_GB2312" w:cs="仿宋_GB2312"/>
      <w:color w:val="000000"/>
      <w:sz w:val="24"/>
      <w:szCs w:val="24"/>
      <w:u w:val="none"/>
    </w:rPr>
  </w:style>
  <w:style w:type="character" w:customStyle="1" w:styleId="55">
    <w:name w:val="font21"/>
    <w:basedOn w:val="27"/>
    <w:qFormat/>
    <w:uiPriority w:val="0"/>
    <w:rPr>
      <w:rFonts w:hint="eastAsia" w:ascii="仿宋_GB2312" w:eastAsia="仿宋_GB2312" w:cs="仿宋_GB2312"/>
      <w:b/>
      <w:bCs/>
      <w:color w:val="000000"/>
      <w:sz w:val="24"/>
      <w:szCs w:val="24"/>
      <w:u w:val="none"/>
    </w:rPr>
  </w:style>
  <w:style w:type="paragraph" w:customStyle="1" w:styleId="56">
    <w:name w:val="列出段落1"/>
    <w:basedOn w:val="1"/>
    <w:qFormat/>
    <w:uiPriority w:val="0"/>
    <w:pPr>
      <w:ind w:firstLine="420"/>
    </w:pPr>
    <w:rPr>
      <w:rFonts w:ascii="Calibri" w:hAnsi="Calibri" w:eastAsia="宋体" w:cs="Times New Roman"/>
    </w:rPr>
  </w:style>
  <w:style w:type="table" w:customStyle="1" w:styleId="57">
    <w:name w:val="Table Normal"/>
    <w:semiHidden/>
    <w:unhideWhenUsed/>
    <w:qFormat/>
    <w:uiPriority w:val="0"/>
    <w:tblPr>
      <w:tblCellMar>
        <w:top w:w="0" w:type="dxa"/>
        <w:left w:w="0" w:type="dxa"/>
        <w:bottom w:w="0" w:type="dxa"/>
        <w:right w:w="0" w:type="dxa"/>
      </w:tblCellMar>
    </w:tblPr>
  </w:style>
  <w:style w:type="character" w:customStyle="1" w:styleId="58">
    <w:name w:val="批注框文本 Char"/>
    <w:basedOn w:val="27"/>
    <w:link w:val="15"/>
    <w:semiHidden/>
    <w:qFormat/>
    <w:uiPriority w:val="99"/>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24</Pages>
  <Words>2186</Words>
  <Characters>12461</Characters>
  <Lines>103</Lines>
  <Paragraphs>29</Paragraphs>
  <TotalTime>3</TotalTime>
  <ScaleCrop>false</ScaleCrop>
  <LinksUpToDate>false</LinksUpToDate>
  <CharactersWithSpaces>14618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夏天夏。</cp:lastModifiedBy>
  <cp:lastPrinted>2024-04-06T23:46:00Z</cp:lastPrinted>
  <dcterms:modified xsi:type="dcterms:W3CDTF">2024-08-13T08:04:10Z</dcterms:modified>
  <cp:revision>1085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F6EC2EEEBE51402EA48FADEA82F4F95C_13</vt:lpwstr>
  </property>
</Properties>
</file>