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2D4FC">
      <w:pPr>
        <w:spacing w:line="480" w:lineRule="auto"/>
        <w:ind w:firstLine="883"/>
        <w:jc w:val="left"/>
        <w:rPr>
          <w:rFonts w:ascii="宋体" w:hAnsi="宋体" w:eastAsia="宋体"/>
          <w:b/>
          <w:bCs/>
          <w:sz w:val="44"/>
          <w:szCs w:val="44"/>
        </w:rPr>
      </w:pPr>
    </w:p>
    <w:p w14:paraId="47770621">
      <w:pPr>
        <w:spacing w:line="480" w:lineRule="auto"/>
        <w:ind w:firstLine="883"/>
        <w:jc w:val="left"/>
        <w:rPr>
          <w:rFonts w:ascii="宋体" w:hAnsi="宋体" w:eastAsia="宋体"/>
          <w:b/>
          <w:bCs/>
          <w:sz w:val="44"/>
          <w:szCs w:val="44"/>
        </w:rPr>
      </w:pPr>
    </w:p>
    <w:p w14:paraId="543451B2">
      <w:pPr>
        <w:spacing w:line="480" w:lineRule="auto"/>
        <w:ind w:firstLine="883"/>
        <w:jc w:val="left"/>
        <w:rPr>
          <w:rFonts w:ascii="宋体" w:hAnsi="宋体" w:eastAsia="宋体"/>
          <w:b/>
          <w:bCs/>
          <w:sz w:val="44"/>
          <w:szCs w:val="44"/>
        </w:rPr>
      </w:pPr>
    </w:p>
    <w:p w14:paraId="4F1A118C">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3</w:t>
      </w:r>
      <w:r>
        <w:rPr>
          <w:rFonts w:hint="eastAsia" w:ascii="宋体" w:hAnsi="宋体" w:eastAsia="宋体"/>
          <w:b/>
          <w:bCs/>
          <w:sz w:val="44"/>
          <w:szCs w:val="44"/>
          <w:lang w:eastAsia="zh-CN"/>
        </w:rPr>
        <w:t>年度甘肃省张掖市中级人民法院</w:t>
      </w:r>
    </w:p>
    <w:p w14:paraId="017E5ABA">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14:paraId="04BC2876">
      <w:pPr>
        <w:widowControl/>
        <w:spacing w:line="240" w:lineRule="auto"/>
        <w:ind w:firstLine="0" w:firstLineChars="0"/>
        <w:jc w:val="center"/>
        <w:rPr>
          <w:rFonts w:ascii="宋体" w:hAnsi="宋体" w:eastAsia="宋体"/>
          <w:b/>
          <w:bCs/>
          <w:sz w:val="44"/>
          <w:szCs w:val="44"/>
        </w:rPr>
      </w:pPr>
      <w:bookmarkStart w:id="82" w:name="_GoBack"/>
      <w:bookmarkEnd w:id="82"/>
    </w:p>
    <w:p w14:paraId="53C070F2">
      <w:pPr>
        <w:ind w:firstLine="883"/>
        <w:jc w:val="center"/>
        <w:rPr>
          <w:rFonts w:ascii="宋体" w:hAnsi="宋体" w:eastAsia="宋体"/>
          <w:b/>
          <w:bCs/>
          <w:sz w:val="44"/>
          <w:szCs w:val="44"/>
        </w:rPr>
      </w:pPr>
    </w:p>
    <w:p w14:paraId="4968C82B">
      <w:pPr>
        <w:ind w:firstLine="883"/>
        <w:jc w:val="center"/>
        <w:rPr>
          <w:rFonts w:ascii="宋体" w:hAnsi="宋体" w:eastAsia="宋体"/>
          <w:b/>
          <w:bCs/>
          <w:sz w:val="44"/>
          <w:szCs w:val="44"/>
        </w:rPr>
      </w:pPr>
    </w:p>
    <w:p w14:paraId="3DA9F397">
      <w:pPr>
        <w:ind w:firstLine="883"/>
        <w:jc w:val="center"/>
        <w:rPr>
          <w:rFonts w:ascii="宋体" w:hAnsi="宋体" w:eastAsia="宋体"/>
          <w:b/>
          <w:bCs/>
          <w:sz w:val="44"/>
          <w:szCs w:val="44"/>
        </w:rPr>
      </w:pPr>
    </w:p>
    <w:p w14:paraId="57626B1A">
      <w:pPr>
        <w:ind w:firstLine="883"/>
        <w:jc w:val="center"/>
        <w:rPr>
          <w:rFonts w:ascii="宋体" w:hAnsi="宋体" w:eastAsia="宋体"/>
          <w:b/>
          <w:bCs/>
          <w:sz w:val="44"/>
          <w:szCs w:val="44"/>
        </w:rPr>
      </w:pPr>
    </w:p>
    <w:p w14:paraId="237650BD">
      <w:pPr>
        <w:ind w:firstLine="883"/>
        <w:jc w:val="center"/>
        <w:rPr>
          <w:rFonts w:ascii="宋体" w:hAnsi="宋体" w:eastAsia="宋体"/>
          <w:b/>
          <w:bCs/>
          <w:sz w:val="44"/>
          <w:szCs w:val="44"/>
        </w:rPr>
      </w:pPr>
    </w:p>
    <w:p w14:paraId="218F8D59">
      <w:pPr>
        <w:ind w:firstLine="883"/>
        <w:jc w:val="center"/>
        <w:rPr>
          <w:rFonts w:ascii="宋体" w:hAnsi="宋体" w:eastAsia="宋体"/>
          <w:b/>
          <w:bCs/>
          <w:sz w:val="44"/>
          <w:szCs w:val="44"/>
        </w:rPr>
      </w:pPr>
    </w:p>
    <w:p w14:paraId="39DD809A">
      <w:pPr>
        <w:ind w:firstLine="883"/>
        <w:jc w:val="center"/>
        <w:rPr>
          <w:rFonts w:ascii="宋体" w:hAnsi="宋体" w:eastAsia="宋体"/>
          <w:b/>
          <w:bCs/>
          <w:sz w:val="44"/>
          <w:szCs w:val="44"/>
        </w:rPr>
      </w:pPr>
    </w:p>
    <w:p w14:paraId="3285AB80">
      <w:pPr>
        <w:ind w:firstLine="883"/>
        <w:jc w:val="center"/>
        <w:rPr>
          <w:rFonts w:ascii="宋体" w:hAnsi="宋体" w:eastAsia="宋体"/>
          <w:b/>
          <w:bCs/>
          <w:sz w:val="44"/>
          <w:szCs w:val="44"/>
        </w:rPr>
      </w:pPr>
    </w:p>
    <w:p w14:paraId="3ACEE624">
      <w:pPr>
        <w:ind w:firstLine="883"/>
        <w:jc w:val="center"/>
        <w:rPr>
          <w:rFonts w:ascii="宋体" w:hAnsi="宋体" w:eastAsia="宋体"/>
          <w:b/>
          <w:bCs/>
          <w:sz w:val="44"/>
          <w:szCs w:val="44"/>
        </w:rPr>
      </w:pPr>
    </w:p>
    <w:p w14:paraId="30FBBC64">
      <w:pPr>
        <w:ind w:firstLine="883"/>
        <w:jc w:val="center"/>
        <w:rPr>
          <w:rFonts w:ascii="宋体" w:hAnsi="宋体" w:eastAsia="宋体"/>
          <w:b/>
          <w:bCs/>
          <w:sz w:val="44"/>
          <w:szCs w:val="44"/>
        </w:rPr>
      </w:pPr>
    </w:p>
    <w:p w14:paraId="2478CE8B">
      <w:pPr>
        <w:ind w:firstLine="883"/>
        <w:jc w:val="center"/>
        <w:rPr>
          <w:rFonts w:ascii="宋体" w:hAnsi="宋体" w:eastAsia="宋体"/>
          <w:b/>
          <w:bCs/>
          <w:sz w:val="44"/>
          <w:szCs w:val="44"/>
        </w:rPr>
      </w:pPr>
    </w:p>
    <w:p w14:paraId="3735D87D">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张掖市中级人民法院</w:t>
      </w:r>
    </w:p>
    <w:p w14:paraId="111A2DF8">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年2月</w:t>
      </w:r>
      <w:r>
        <w:rPr>
          <w:rFonts w:hint="eastAsia" w:ascii="宋体" w:hAnsi="宋体" w:eastAsia="宋体"/>
          <w:b/>
          <w:bCs/>
          <w:sz w:val="32"/>
          <w:szCs w:val="32"/>
          <w:lang w:val="en-US" w:eastAsia="zh-CN"/>
        </w:rPr>
        <w:t>2</w:t>
      </w:r>
      <w:r>
        <w:rPr>
          <w:rFonts w:hint="eastAsia" w:ascii="宋体" w:hAnsi="宋体" w:eastAsia="宋体"/>
          <w:b/>
          <w:bCs/>
          <w:sz w:val="32"/>
          <w:szCs w:val="32"/>
        </w:rPr>
        <w:t>7日</w:t>
      </w:r>
    </w:p>
    <w:p w14:paraId="4BE8D0D0">
      <w:pPr>
        <w:ind w:firstLine="560"/>
        <w:jc w:val="left"/>
      </w:pPr>
    </w:p>
    <w:p w14:paraId="171A13AB">
      <w:pPr>
        <w:pStyle w:val="34"/>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14:paraId="7ABC1043">
          <w:pPr>
            <w:spacing w:line="360" w:lineRule="auto"/>
            <w:ind w:firstLine="0" w:firstLineChars="0"/>
            <w:jc w:val="center"/>
            <w:rPr>
              <w:rFonts w:ascii="仿宋_GB2312" w:hAnsi="仿宋_GB2312" w:eastAsia="仿宋_GB2312" w:cstheme="minorBidi"/>
              <w:kern w:val="2"/>
              <w:sz w:val="28"/>
              <w:szCs w:val="22"/>
              <w:lang w:val="en-US" w:eastAsia="zh-CN" w:bidi="ar-SA"/>
            </w:rPr>
          </w:pPr>
          <w:r>
            <w:rPr>
              <w:rFonts w:ascii="黑体" w:hAnsi="黑体" w:eastAsia="黑体"/>
              <w:color w:val="auto"/>
              <w:lang w:val="zh-CN"/>
            </w:rPr>
            <w:t>目录</w:t>
          </w:r>
          <w:r>
            <w:fldChar w:fldCharType="begin"/>
          </w:r>
          <w:r>
            <w:instrText xml:space="preserve"> TOC \o "1-2" \h \z \u </w:instrText>
          </w:r>
          <w:r>
            <w:fldChar w:fldCharType="separate"/>
          </w:r>
        </w:p>
        <w:p w14:paraId="5851919C">
          <w:pPr>
            <w:pStyle w:val="17"/>
            <w:tabs>
              <w:tab w:val="right" w:leader="dot" w:pos="8306"/>
              <w:tab w:val="clear" w:pos="8296"/>
            </w:tabs>
          </w:pPr>
          <w:r>
            <w:fldChar w:fldCharType="begin"/>
          </w:r>
          <w:r>
            <w:instrText xml:space="preserve"> HYPERLINK \l _Toc10084 </w:instrText>
          </w:r>
          <w:r>
            <w:fldChar w:fldCharType="separate"/>
          </w:r>
          <w:r>
            <w:rPr>
              <w:rFonts w:hint="eastAsia"/>
              <w:lang w:val="en-US" w:eastAsia="zh-CN"/>
            </w:rPr>
            <w:t>一、</w:t>
          </w:r>
          <w:r>
            <w:rPr>
              <w:rFonts w:hint="eastAsia"/>
            </w:rPr>
            <w:t>基本情况</w:t>
          </w:r>
          <w:r>
            <w:tab/>
          </w:r>
          <w:r>
            <w:fldChar w:fldCharType="begin"/>
          </w:r>
          <w:r>
            <w:instrText xml:space="preserve"> PAGEREF _Toc10084 \h </w:instrText>
          </w:r>
          <w:r>
            <w:fldChar w:fldCharType="separate"/>
          </w:r>
          <w:r>
            <w:t>2</w:t>
          </w:r>
          <w:r>
            <w:fldChar w:fldCharType="end"/>
          </w:r>
          <w:r>
            <w:fldChar w:fldCharType="end"/>
          </w:r>
        </w:p>
        <w:p w14:paraId="682C7A31">
          <w:pPr>
            <w:pStyle w:val="18"/>
            <w:tabs>
              <w:tab w:val="right" w:leader="dot" w:pos="8306"/>
              <w:tab w:val="clear" w:pos="8296"/>
            </w:tabs>
          </w:pPr>
          <w:r>
            <w:fldChar w:fldCharType="begin"/>
          </w:r>
          <w:r>
            <w:instrText xml:space="preserve"> HYPERLINK \l _Toc24084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rPr>
            <w:t>部门主要职能</w:t>
          </w:r>
          <w:r>
            <w:rPr>
              <w:rFonts w:hint="eastAsia"/>
              <w:lang w:val="en-US" w:eastAsia="zh-CN"/>
            </w:rPr>
            <w:t xml:space="preserve"> </w:t>
          </w:r>
          <w:r>
            <w:tab/>
          </w:r>
          <w:r>
            <w:fldChar w:fldCharType="begin"/>
          </w:r>
          <w:r>
            <w:instrText xml:space="preserve"> PAGEREF _Toc24084 \h </w:instrText>
          </w:r>
          <w:r>
            <w:fldChar w:fldCharType="separate"/>
          </w:r>
          <w:r>
            <w:t>2</w:t>
          </w:r>
          <w:r>
            <w:fldChar w:fldCharType="end"/>
          </w:r>
          <w:r>
            <w:fldChar w:fldCharType="end"/>
          </w:r>
        </w:p>
        <w:p w14:paraId="2BC28B5E">
          <w:pPr>
            <w:pStyle w:val="18"/>
            <w:tabs>
              <w:tab w:val="right" w:leader="dot" w:pos="8306"/>
              <w:tab w:val="clear" w:pos="8296"/>
            </w:tabs>
          </w:pPr>
          <w:r>
            <w:fldChar w:fldCharType="begin"/>
          </w:r>
          <w:r>
            <w:instrText xml:space="preserve"> HYPERLINK \l _Toc2636 </w:instrText>
          </w:r>
          <w:r>
            <w:fldChar w:fldCharType="separate"/>
          </w:r>
          <w:r>
            <w:rPr>
              <w:rFonts w:hint="eastAsia"/>
              <w:lang w:eastAsia="zh-CN"/>
            </w:rPr>
            <w:t>（</w:t>
          </w:r>
          <w:r>
            <w:rPr>
              <w:rFonts w:hint="eastAsia"/>
              <w:lang w:val="en-US" w:eastAsia="zh-CN"/>
            </w:rPr>
            <w:t>二</w:t>
          </w:r>
          <w:r>
            <w:rPr>
              <w:rFonts w:hint="eastAsia"/>
              <w:lang w:eastAsia="zh-CN"/>
            </w:rPr>
            <w:t>）内设机构及所属部门概况</w:t>
          </w:r>
          <w:r>
            <w:tab/>
          </w:r>
          <w:r>
            <w:fldChar w:fldCharType="begin"/>
          </w:r>
          <w:r>
            <w:instrText xml:space="preserve"> PAGEREF _Toc2636 \h </w:instrText>
          </w:r>
          <w:r>
            <w:fldChar w:fldCharType="separate"/>
          </w:r>
          <w:r>
            <w:t>3</w:t>
          </w:r>
          <w:r>
            <w:fldChar w:fldCharType="end"/>
          </w:r>
          <w:r>
            <w:fldChar w:fldCharType="end"/>
          </w:r>
        </w:p>
        <w:p w14:paraId="0A4BA7A6">
          <w:pPr>
            <w:pStyle w:val="17"/>
            <w:tabs>
              <w:tab w:val="right" w:leader="dot" w:pos="8306"/>
              <w:tab w:val="clear" w:pos="8296"/>
            </w:tabs>
          </w:pPr>
          <w:r>
            <w:fldChar w:fldCharType="begin"/>
          </w:r>
          <w:r>
            <w:instrText xml:space="preserve"> HYPERLINK \l _Toc30207 </w:instrText>
          </w:r>
          <w:r>
            <w:fldChar w:fldCharType="separate"/>
          </w:r>
          <w:r>
            <w:rPr>
              <w:rFonts w:hint="eastAsia"/>
              <w:lang w:val="en-US" w:eastAsia="zh-CN"/>
            </w:rPr>
            <w:t>二、绩效自评工作组织开展情况</w:t>
          </w:r>
          <w:r>
            <w:tab/>
          </w:r>
          <w:r>
            <w:fldChar w:fldCharType="begin"/>
          </w:r>
          <w:r>
            <w:instrText xml:space="preserve"> PAGEREF _Toc30207 \h </w:instrText>
          </w:r>
          <w:r>
            <w:fldChar w:fldCharType="separate"/>
          </w:r>
          <w:r>
            <w:t>4</w:t>
          </w:r>
          <w:r>
            <w:fldChar w:fldCharType="end"/>
          </w:r>
          <w:r>
            <w:fldChar w:fldCharType="end"/>
          </w:r>
        </w:p>
        <w:p w14:paraId="47BE90EB">
          <w:pPr>
            <w:pStyle w:val="18"/>
            <w:tabs>
              <w:tab w:val="right" w:leader="dot" w:pos="8306"/>
              <w:tab w:val="clear" w:pos="8296"/>
            </w:tabs>
          </w:pPr>
          <w:r>
            <w:fldChar w:fldCharType="begin"/>
          </w:r>
          <w:r>
            <w:instrText xml:space="preserve"> HYPERLINK \l _Toc32320 </w:instrText>
          </w:r>
          <w:r>
            <w:fldChar w:fldCharType="separate"/>
          </w:r>
          <w:r>
            <w:rPr>
              <w:rFonts w:hint="eastAsia"/>
              <w:lang w:eastAsia="zh-CN"/>
            </w:rPr>
            <w:t>（</w:t>
          </w:r>
          <w:r>
            <w:rPr>
              <w:rFonts w:hint="eastAsia"/>
              <w:lang w:val="en-US" w:eastAsia="zh-CN"/>
            </w:rPr>
            <w:t>一</w:t>
          </w:r>
          <w:r>
            <w:rPr>
              <w:rFonts w:hint="eastAsia"/>
              <w:lang w:eastAsia="zh-CN"/>
            </w:rPr>
            <w:t>）自评工作组织管理情况</w:t>
          </w:r>
          <w:r>
            <w:tab/>
          </w:r>
          <w:r>
            <w:fldChar w:fldCharType="begin"/>
          </w:r>
          <w:r>
            <w:instrText xml:space="preserve"> PAGEREF _Toc32320 \h </w:instrText>
          </w:r>
          <w:r>
            <w:fldChar w:fldCharType="separate"/>
          </w:r>
          <w:r>
            <w:t>4</w:t>
          </w:r>
          <w:r>
            <w:fldChar w:fldCharType="end"/>
          </w:r>
          <w:r>
            <w:fldChar w:fldCharType="end"/>
          </w:r>
        </w:p>
        <w:p w14:paraId="3B31BACB">
          <w:pPr>
            <w:pStyle w:val="18"/>
            <w:tabs>
              <w:tab w:val="right" w:leader="dot" w:pos="8306"/>
              <w:tab w:val="clear" w:pos="8296"/>
            </w:tabs>
          </w:pPr>
          <w:r>
            <w:fldChar w:fldCharType="begin"/>
          </w:r>
          <w:r>
            <w:instrText xml:space="preserve"> HYPERLINK \l _Toc28189 </w:instrText>
          </w:r>
          <w:r>
            <w:fldChar w:fldCharType="separate"/>
          </w:r>
          <w:r>
            <w:rPr>
              <w:rFonts w:hint="eastAsia"/>
              <w:lang w:eastAsia="zh-CN"/>
            </w:rPr>
            <w:t>（</w:t>
          </w:r>
          <w:r>
            <w:rPr>
              <w:rFonts w:hint="eastAsia"/>
              <w:lang w:val="en-US" w:eastAsia="zh-CN"/>
            </w:rPr>
            <w:t>二</w:t>
          </w:r>
          <w:r>
            <w:rPr>
              <w:rFonts w:hint="eastAsia"/>
              <w:lang w:eastAsia="zh-CN"/>
            </w:rPr>
            <w:t>）自评对象和范围</w:t>
          </w:r>
          <w:r>
            <w:tab/>
          </w:r>
          <w:r>
            <w:fldChar w:fldCharType="begin"/>
          </w:r>
          <w:r>
            <w:instrText xml:space="preserve"> PAGEREF _Toc28189 \h </w:instrText>
          </w:r>
          <w:r>
            <w:fldChar w:fldCharType="separate"/>
          </w:r>
          <w:r>
            <w:t>4</w:t>
          </w:r>
          <w:r>
            <w:fldChar w:fldCharType="end"/>
          </w:r>
          <w:r>
            <w:fldChar w:fldCharType="end"/>
          </w:r>
        </w:p>
        <w:p w14:paraId="57209FFA">
          <w:pPr>
            <w:pStyle w:val="18"/>
            <w:tabs>
              <w:tab w:val="right" w:leader="dot" w:pos="8306"/>
              <w:tab w:val="clear" w:pos="8296"/>
            </w:tabs>
          </w:pPr>
          <w:r>
            <w:fldChar w:fldCharType="begin"/>
          </w:r>
          <w:r>
            <w:instrText xml:space="preserve"> HYPERLINK \l _Toc1177 </w:instrText>
          </w:r>
          <w:r>
            <w:fldChar w:fldCharType="separate"/>
          </w:r>
          <w:r>
            <w:rPr>
              <w:rFonts w:hint="eastAsia"/>
            </w:rPr>
            <w:t>（一）部门决算情况</w:t>
          </w:r>
          <w:r>
            <w:tab/>
          </w:r>
          <w:r>
            <w:fldChar w:fldCharType="begin"/>
          </w:r>
          <w:r>
            <w:instrText xml:space="preserve"> PAGEREF _Toc1177 \h </w:instrText>
          </w:r>
          <w:r>
            <w:fldChar w:fldCharType="separate"/>
          </w:r>
          <w:r>
            <w:t>5</w:t>
          </w:r>
          <w:r>
            <w:fldChar w:fldCharType="end"/>
          </w:r>
          <w:r>
            <w:fldChar w:fldCharType="end"/>
          </w:r>
        </w:p>
        <w:p w14:paraId="495E1448">
          <w:pPr>
            <w:pStyle w:val="18"/>
            <w:tabs>
              <w:tab w:val="right" w:leader="dot" w:pos="8306"/>
              <w:tab w:val="clear" w:pos="8296"/>
            </w:tabs>
          </w:pPr>
          <w:r>
            <w:fldChar w:fldCharType="begin"/>
          </w:r>
          <w:r>
            <w:instrText xml:space="preserve"> HYPERLINK \l _Toc20255 </w:instrText>
          </w:r>
          <w:r>
            <w:fldChar w:fldCharType="separate"/>
          </w:r>
          <w:r>
            <w:rPr>
              <w:rFonts w:hint="eastAsia"/>
              <w:lang w:eastAsia="zh-CN"/>
            </w:rPr>
            <w:t>（</w:t>
          </w:r>
          <w:r>
            <w:rPr>
              <w:rFonts w:hint="eastAsia"/>
              <w:lang w:val="en-US" w:eastAsia="zh-CN"/>
            </w:rPr>
            <w:t>三</w:t>
          </w:r>
          <w:r>
            <w:rPr>
              <w:rFonts w:hint="eastAsia"/>
              <w:lang w:eastAsia="zh-CN"/>
            </w:rPr>
            <w:t>）自评工作程序</w:t>
          </w:r>
          <w:r>
            <w:tab/>
          </w:r>
          <w:r>
            <w:fldChar w:fldCharType="begin"/>
          </w:r>
          <w:r>
            <w:instrText xml:space="preserve"> PAGEREF _Toc20255 \h </w:instrText>
          </w:r>
          <w:r>
            <w:fldChar w:fldCharType="separate"/>
          </w:r>
          <w:r>
            <w:t>5</w:t>
          </w:r>
          <w:r>
            <w:fldChar w:fldCharType="end"/>
          </w:r>
          <w:r>
            <w:fldChar w:fldCharType="end"/>
          </w:r>
        </w:p>
        <w:p w14:paraId="71CCE806">
          <w:pPr>
            <w:pStyle w:val="17"/>
            <w:tabs>
              <w:tab w:val="right" w:leader="dot" w:pos="8306"/>
              <w:tab w:val="clear" w:pos="8296"/>
            </w:tabs>
          </w:pPr>
          <w:r>
            <w:fldChar w:fldCharType="begin"/>
          </w:r>
          <w:r>
            <w:instrText xml:space="preserve"> HYPERLINK \l _Toc17680 </w:instrText>
          </w:r>
          <w:r>
            <w:fldChar w:fldCharType="separate"/>
          </w:r>
          <w:r>
            <w:rPr>
              <w:rFonts w:hint="eastAsia"/>
            </w:rPr>
            <w:t>三、部门整体支出绩效自评情况分析</w:t>
          </w:r>
          <w:r>
            <w:tab/>
          </w:r>
          <w:r>
            <w:fldChar w:fldCharType="begin"/>
          </w:r>
          <w:r>
            <w:instrText xml:space="preserve"> PAGEREF _Toc17680 \h </w:instrText>
          </w:r>
          <w:r>
            <w:fldChar w:fldCharType="separate"/>
          </w:r>
          <w:r>
            <w:t>5</w:t>
          </w:r>
          <w:r>
            <w:fldChar w:fldCharType="end"/>
          </w:r>
          <w:r>
            <w:fldChar w:fldCharType="end"/>
          </w:r>
        </w:p>
        <w:p w14:paraId="7D0C9520">
          <w:pPr>
            <w:pStyle w:val="18"/>
            <w:tabs>
              <w:tab w:val="right" w:leader="dot" w:pos="8306"/>
              <w:tab w:val="clear" w:pos="8296"/>
            </w:tabs>
          </w:pPr>
          <w:r>
            <w:fldChar w:fldCharType="begin"/>
          </w:r>
          <w:r>
            <w:instrText xml:space="preserve"> HYPERLINK \l _Toc9310 </w:instrText>
          </w:r>
          <w:r>
            <w:fldChar w:fldCharType="separate"/>
          </w:r>
          <w:r>
            <w:rPr>
              <w:rFonts w:hint="eastAsia"/>
            </w:rPr>
            <w:t>（二）总体绩效目标完成情况分析</w:t>
          </w:r>
          <w:r>
            <w:tab/>
          </w:r>
          <w:r>
            <w:fldChar w:fldCharType="begin"/>
          </w:r>
          <w:r>
            <w:instrText xml:space="preserve"> PAGEREF _Toc9310 \h </w:instrText>
          </w:r>
          <w:r>
            <w:fldChar w:fldCharType="separate"/>
          </w:r>
          <w:r>
            <w:t>5</w:t>
          </w:r>
          <w:r>
            <w:fldChar w:fldCharType="end"/>
          </w:r>
          <w:r>
            <w:fldChar w:fldCharType="end"/>
          </w:r>
        </w:p>
        <w:p w14:paraId="4404C6B8">
          <w:pPr>
            <w:pStyle w:val="18"/>
            <w:tabs>
              <w:tab w:val="right" w:leader="dot" w:pos="8306"/>
              <w:tab w:val="clear" w:pos="8296"/>
            </w:tabs>
          </w:pPr>
          <w:r>
            <w:fldChar w:fldCharType="begin"/>
          </w:r>
          <w:r>
            <w:instrText xml:space="preserve"> HYPERLINK \l _Toc15872 </w:instrText>
          </w:r>
          <w:r>
            <w:fldChar w:fldCharType="separate"/>
          </w:r>
          <w:r>
            <w:rPr>
              <w:rFonts w:hint="eastAsia"/>
            </w:rPr>
            <w:t>（三）各项指标完成情况分析</w:t>
          </w:r>
          <w:r>
            <w:tab/>
          </w:r>
          <w:r>
            <w:fldChar w:fldCharType="begin"/>
          </w:r>
          <w:r>
            <w:instrText xml:space="preserve"> PAGEREF _Toc15872 \h </w:instrText>
          </w:r>
          <w:r>
            <w:fldChar w:fldCharType="separate"/>
          </w:r>
          <w:r>
            <w:t>7</w:t>
          </w:r>
          <w:r>
            <w:fldChar w:fldCharType="end"/>
          </w:r>
          <w:r>
            <w:fldChar w:fldCharType="end"/>
          </w:r>
        </w:p>
        <w:p w14:paraId="1C265BB6">
          <w:pPr>
            <w:pStyle w:val="18"/>
            <w:tabs>
              <w:tab w:val="right" w:leader="dot" w:pos="8306"/>
              <w:tab w:val="clear" w:pos="8296"/>
            </w:tabs>
          </w:pPr>
          <w:r>
            <w:fldChar w:fldCharType="begin"/>
          </w:r>
          <w:r>
            <w:instrText xml:space="preserve"> HYPERLINK \l _Toc6572 </w:instrText>
          </w:r>
          <w:r>
            <w:fldChar w:fldCharType="separate"/>
          </w:r>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r>
            <w:tab/>
          </w:r>
          <w:r>
            <w:fldChar w:fldCharType="begin"/>
          </w:r>
          <w:r>
            <w:instrText xml:space="preserve"> PAGEREF _Toc6572 \h </w:instrText>
          </w:r>
          <w:r>
            <w:fldChar w:fldCharType="separate"/>
          </w:r>
          <w:r>
            <w:t>14</w:t>
          </w:r>
          <w:r>
            <w:fldChar w:fldCharType="end"/>
          </w:r>
          <w:r>
            <w:fldChar w:fldCharType="end"/>
          </w:r>
        </w:p>
        <w:p w14:paraId="7118D4C8">
          <w:pPr>
            <w:pStyle w:val="17"/>
            <w:tabs>
              <w:tab w:val="right" w:leader="dot" w:pos="8306"/>
              <w:tab w:val="clear" w:pos="8296"/>
            </w:tabs>
          </w:pPr>
          <w:r>
            <w:fldChar w:fldCharType="begin"/>
          </w:r>
          <w:r>
            <w:instrText xml:space="preserve"> HYPERLINK \l _Toc24418 </w:instrText>
          </w:r>
          <w:r>
            <w:fldChar w:fldCharType="separate"/>
          </w:r>
          <w:r>
            <w:rPr>
              <w:rFonts w:hint="eastAsia"/>
              <w:lang w:val="en-US" w:eastAsia="zh-CN"/>
            </w:rPr>
            <w:t>四、部门预算项目支出绩效自评情况分析</w:t>
          </w:r>
          <w:r>
            <w:tab/>
          </w:r>
          <w:r>
            <w:fldChar w:fldCharType="begin"/>
          </w:r>
          <w:r>
            <w:instrText xml:space="preserve"> PAGEREF _Toc24418 \h </w:instrText>
          </w:r>
          <w:r>
            <w:fldChar w:fldCharType="separate"/>
          </w:r>
          <w:r>
            <w:t>14</w:t>
          </w:r>
          <w:r>
            <w:fldChar w:fldCharType="end"/>
          </w:r>
          <w:r>
            <w:fldChar w:fldCharType="end"/>
          </w:r>
        </w:p>
        <w:p w14:paraId="7557C0B0">
          <w:pPr>
            <w:pStyle w:val="18"/>
            <w:tabs>
              <w:tab w:val="right" w:leader="dot" w:pos="8306"/>
              <w:tab w:val="clear" w:pos="8296"/>
            </w:tabs>
          </w:pPr>
          <w:r>
            <w:fldChar w:fldCharType="begin"/>
          </w:r>
          <w:r>
            <w:instrText xml:space="preserve"> HYPERLINK \l _Toc19649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r>
            <w:tab/>
          </w:r>
          <w:r>
            <w:fldChar w:fldCharType="begin"/>
          </w:r>
          <w:r>
            <w:instrText xml:space="preserve"> PAGEREF _Toc19649 \h </w:instrText>
          </w:r>
          <w:r>
            <w:fldChar w:fldCharType="separate"/>
          </w:r>
          <w:r>
            <w:t>14</w:t>
          </w:r>
          <w:r>
            <w:fldChar w:fldCharType="end"/>
          </w:r>
          <w:r>
            <w:fldChar w:fldCharType="end"/>
          </w:r>
        </w:p>
        <w:p w14:paraId="36F68BC8">
          <w:pPr>
            <w:pStyle w:val="17"/>
            <w:tabs>
              <w:tab w:val="right" w:leader="dot" w:pos="8306"/>
              <w:tab w:val="clear" w:pos="8296"/>
            </w:tabs>
          </w:pPr>
          <w:r>
            <w:fldChar w:fldCharType="begin"/>
          </w:r>
          <w:r>
            <w:instrText xml:space="preserve"> HYPERLINK \l _Toc12049 </w:instrText>
          </w:r>
          <w:r>
            <w:fldChar w:fldCharType="separate"/>
          </w:r>
          <w:r>
            <w:rPr>
              <w:rFonts w:hint="eastAsia"/>
              <w:lang w:val="en-US" w:eastAsia="zh-CN"/>
            </w:rPr>
            <w:t>五、部门管理的省对市县转移支付绩效自评情况分析</w:t>
          </w:r>
          <w:r>
            <w:tab/>
          </w:r>
          <w:r>
            <w:fldChar w:fldCharType="begin"/>
          </w:r>
          <w:r>
            <w:instrText xml:space="preserve"> PAGEREF _Toc12049 \h </w:instrText>
          </w:r>
          <w:r>
            <w:fldChar w:fldCharType="separate"/>
          </w:r>
          <w:r>
            <w:t>19</w:t>
          </w:r>
          <w:r>
            <w:fldChar w:fldCharType="end"/>
          </w:r>
          <w:r>
            <w:fldChar w:fldCharType="end"/>
          </w:r>
        </w:p>
        <w:p w14:paraId="75A5C885">
          <w:pPr>
            <w:pStyle w:val="18"/>
            <w:tabs>
              <w:tab w:val="right" w:leader="dot" w:pos="8306"/>
              <w:tab w:val="clear" w:pos="8296"/>
            </w:tabs>
          </w:pPr>
          <w:r>
            <w:fldChar w:fldCharType="begin"/>
          </w:r>
          <w:r>
            <w:instrText xml:space="preserve"> HYPERLINK \l _Toc5896 </w:instrText>
          </w:r>
          <w:r>
            <w:fldChar w:fldCharType="separate"/>
          </w:r>
          <w:r>
            <w:rPr>
              <w:rFonts w:hint="eastAsia"/>
              <w:lang w:eastAsia="zh-CN"/>
            </w:rPr>
            <w:t>（</w:t>
          </w:r>
          <w:r>
            <w:rPr>
              <w:rFonts w:hint="eastAsia"/>
              <w:lang w:val="en-US" w:eastAsia="zh-CN"/>
            </w:rPr>
            <w:t>一</w:t>
          </w:r>
          <w:r>
            <w:rPr>
              <w:rFonts w:hint="eastAsia"/>
              <w:lang w:eastAsia="zh-CN"/>
            </w:rPr>
            <w:t>）中央政法转移支付资金</w:t>
          </w:r>
          <w:r>
            <w:tab/>
          </w:r>
          <w:r>
            <w:fldChar w:fldCharType="begin"/>
          </w:r>
          <w:r>
            <w:instrText xml:space="preserve"> PAGEREF _Toc5896 \h </w:instrText>
          </w:r>
          <w:r>
            <w:fldChar w:fldCharType="separate"/>
          </w:r>
          <w:r>
            <w:t>19</w:t>
          </w:r>
          <w:r>
            <w:fldChar w:fldCharType="end"/>
          </w:r>
          <w:r>
            <w:fldChar w:fldCharType="end"/>
          </w:r>
        </w:p>
        <w:p w14:paraId="195355E3">
          <w:pPr>
            <w:pStyle w:val="17"/>
            <w:tabs>
              <w:tab w:val="right" w:leader="dot" w:pos="8306"/>
              <w:tab w:val="clear" w:pos="8296"/>
            </w:tabs>
          </w:pPr>
          <w:r>
            <w:fldChar w:fldCharType="begin"/>
          </w:r>
          <w:r>
            <w:instrText xml:space="preserve"> HYPERLINK \l _Toc18400 </w:instrText>
          </w:r>
          <w:r>
            <w:fldChar w:fldCharType="separate"/>
          </w:r>
          <w:r>
            <w:rPr>
              <w:rFonts w:hint="eastAsia"/>
              <w:lang w:val="en-US" w:eastAsia="zh-CN"/>
            </w:rPr>
            <w:t>六、绩效自评结果拟应用和公开情况</w:t>
          </w:r>
          <w:r>
            <w:tab/>
          </w:r>
          <w:r>
            <w:fldChar w:fldCharType="begin"/>
          </w:r>
          <w:r>
            <w:instrText xml:space="preserve"> PAGEREF _Toc18400 \h </w:instrText>
          </w:r>
          <w:r>
            <w:fldChar w:fldCharType="separate"/>
          </w:r>
          <w:r>
            <w:t>26</w:t>
          </w:r>
          <w:r>
            <w:fldChar w:fldCharType="end"/>
          </w:r>
          <w:r>
            <w:fldChar w:fldCharType="end"/>
          </w:r>
        </w:p>
        <w:p w14:paraId="6983BD6B">
          <w:pPr>
            <w:pStyle w:val="17"/>
            <w:tabs>
              <w:tab w:val="right" w:leader="dot" w:pos="8306"/>
              <w:tab w:val="clear" w:pos="8296"/>
            </w:tabs>
          </w:pPr>
          <w:r>
            <w:fldChar w:fldCharType="begin"/>
          </w:r>
          <w:r>
            <w:instrText xml:space="preserve"> HYPERLINK \l _Toc31444 </w:instrText>
          </w:r>
          <w:r>
            <w:fldChar w:fldCharType="separate"/>
          </w:r>
          <w:r>
            <w:rPr>
              <w:rFonts w:hint="eastAsia"/>
              <w:lang w:val="en-US" w:eastAsia="zh-CN"/>
            </w:rPr>
            <w:t>七、其他需要说明的问题</w:t>
          </w:r>
          <w:r>
            <w:tab/>
          </w:r>
          <w:r>
            <w:fldChar w:fldCharType="begin"/>
          </w:r>
          <w:r>
            <w:instrText xml:space="preserve"> PAGEREF _Toc31444 \h </w:instrText>
          </w:r>
          <w:r>
            <w:fldChar w:fldCharType="separate"/>
          </w:r>
          <w:r>
            <w:t>26</w:t>
          </w:r>
          <w:r>
            <w:fldChar w:fldCharType="end"/>
          </w:r>
          <w:r>
            <w:fldChar w:fldCharType="end"/>
          </w:r>
        </w:p>
        <w:p w14:paraId="38A21830">
          <w:pPr>
            <w:pStyle w:val="34"/>
            <w:spacing w:line="360" w:lineRule="auto"/>
            <w:ind w:firstLine="560" w:firstLineChars="0"/>
            <w:jc w:val="center"/>
          </w:pPr>
          <w:r>
            <w:fldChar w:fldCharType="end"/>
          </w:r>
        </w:p>
      </w:sdtContent>
    </w:sdt>
    <w:p w14:paraId="1A2BE153">
      <w:pPr>
        <w:widowControl/>
        <w:spacing w:line="240" w:lineRule="auto"/>
        <w:ind w:firstLine="0" w:firstLineChars="0"/>
        <w:jc w:val="center"/>
        <w:rPr>
          <w:rFonts w:hint="eastAsia" w:ascii="宋体" w:hAnsi="宋体" w:eastAsia="宋体" w:cs="Arial"/>
          <w:b/>
          <w:bCs/>
          <w:sz w:val="44"/>
          <w:szCs w:val="44"/>
        </w:rPr>
      </w:pPr>
      <w:bookmarkStart w:id="0" w:name="_Toc13158"/>
      <w:bookmarkStart w:id="1" w:name="_Toc4040"/>
      <w:bookmarkStart w:id="2" w:name="_Toc18188"/>
      <w:bookmarkStart w:id="3" w:name="_Toc28671"/>
      <w:bookmarkStart w:id="4" w:name="_Toc22477"/>
    </w:p>
    <w:p w14:paraId="6EA331A5">
      <w:pPr>
        <w:widowControl/>
        <w:spacing w:line="240" w:lineRule="auto"/>
        <w:ind w:firstLine="0" w:firstLineChars="0"/>
        <w:jc w:val="center"/>
        <w:rPr>
          <w:rFonts w:hint="eastAsia" w:ascii="宋体" w:hAnsi="宋体" w:eastAsia="宋体" w:cs="Arial"/>
          <w:b/>
          <w:bCs/>
          <w:sz w:val="44"/>
          <w:szCs w:val="44"/>
        </w:rPr>
        <w:sectPr>
          <w:footerReference r:id="rId11" w:type="default"/>
          <w:pgSz w:w="11906" w:h="16838"/>
          <w:pgMar w:top="1440" w:right="1800" w:bottom="1440" w:left="1800" w:header="851" w:footer="992" w:gutter="0"/>
          <w:pgNumType w:start="1"/>
          <w:cols w:space="425" w:num="1"/>
          <w:docGrid w:type="lines" w:linePitch="312" w:charSpace="0"/>
        </w:sectPr>
      </w:pPr>
    </w:p>
    <w:p w14:paraId="095A03A5">
      <w:pPr>
        <w:widowControl/>
        <w:spacing w:line="240" w:lineRule="auto"/>
        <w:ind w:firstLine="0" w:firstLineChars="0"/>
        <w:jc w:val="center"/>
        <w:rPr>
          <w:rFonts w:hint="eastAsia" w:ascii="宋体" w:hAnsi="宋体" w:eastAsia="宋体" w:cs="Arial"/>
          <w:b/>
          <w:bCs/>
          <w:sz w:val="44"/>
          <w:szCs w:val="44"/>
          <w:lang w:eastAsia="zh-CN"/>
        </w:rPr>
      </w:pPr>
      <w:r>
        <w:rPr>
          <w:rFonts w:hint="eastAsia" w:ascii="宋体" w:hAnsi="宋体" w:eastAsia="宋体" w:cs="Arial"/>
          <w:b/>
          <w:bCs/>
          <w:sz w:val="44"/>
          <w:szCs w:val="44"/>
          <w:lang w:eastAsia="zh-CN"/>
        </w:rPr>
        <w:t>甘肃省张掖市中级人民法院2023年度</w:t>
      </w:r>
    </w:p>
    <w:p w14:paraId="484F4225">
      <w:pPr>
        <w:widowControl/>
        <w:spacing w:line="240" w:lineRule="auto"/>
        <w:ind w:firstLine="0" w:firstLineChars="0"/>
        <w:jc w:val="center"/>
        <w:rPr>
          <w:rFonts w:hint="eastAsia"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14:paraId="758A74F6">
      <w:pPr>
        <w:pStyle w:val="2"/>
        <w:bidi w:val="0"/>
      </w:pPr>
      <w:bookmarkStart w:id="5" w:name="_Toc10084"/>
      <w:r>
        <w:rPr>
          <w:rFonts w:hint="eastAsia"/>
          <w:lang w:val="en-US" w:eastAsia="zh-CN"/>
        </w:rPr>
        <w:t>一、</w:t>
      </w:r>
      <w:r>
        <w:rPr>
          <w:rFonts w:hint="eastAsia"/>
        </w:rPr>
        <w:t>基本情况</w:t>
      </w:r>
      <w:bookmarkEnd w:id="2"/>
      <w:bookmarkEnd w:id="3"/>
      <w:bookmarkEnd w:id="4"/>
      <w:bookmarkEnd w:id="5"/>
    </w:p>
    <w:p w14:paraId="3E7D6D26">
      <w:pPr>
        <w:pStyle w:val="3"/>
        <w:bidi w:val="0"/>
      </w:pPr>
      <w:bookmarkStart w:id="6" w:name="_Toc24636"/>
      <w:bookmarkStart w:id="7" w:name="_Toc819"/>
      <w:bookmarkStart w:id="8" w:name="_Toc18868"/>
      <w:bookmarkStart w:id="9" w:name="_Toc24084"/>
      <w:r>
        <w:rPr>
          <w:rFonts w:hint="eastAsia"/>
          <w:lang w:eastAsia="zh-CN"/>
        </w:rPr>
        <w:t>（</w:t>
      </w:r>
      <w:r>
        <w:rPr>
          <w:rFonts w:hint="eastAsia"/>
          <w:lang w:val="en-US" w:eastAsia="zh-CN"/>
        </w:rPr>
        <w:t>一</w:t>
      </w:r>
      <w:r>
        <w:rPr>
          <w:rFonts w:hint="eastAsia"/>
          <w:lang w:eastAsia="zh-CN"/>
        </w:rPr>
        <w:t>）</w:t>
      </w:r>
      <w:r>
        <w:rPr>
          <w:rFonts w:hint="eastAsia"/>
        </w:rPr>
        <w:t>部门主要职能</w:t>
      </w:r>
      <w:bookmarkEnd w:id="6"/>
      <w:bookmarkEnd w:id="7"/>
      <w:bookmarkEnd w:id="8"/>
      <w:bookmarkEnd w:id="9"/>
    </w:p>
    <w:p w14:paraId="01866663">
      <w:pPr>
        <w:bidi w:val="0"/>
        <w:rPr>
          <w:rFonts w:hint="eastAsia"/>
          <w:lang w:eastAsia="zh-CN"/>
        </w:rPr>
      </w:pPr>
      <w:bookmarkStart w:id="10" w:name="bookmark3"/>
      <w:bookmarkEnd w:id="10"/>
      <w:bookmarkStart w:id="11" w:name="_Toc2636"/>
      <w:bookmarkStart w:id="12" w:name="_Toc20782"/>
      <w:bookmarkStart w:id="13" w:name="_Toc7151"/>
      <w:bookmarkStart w:id="14" w:name="_Toc25335"/>
      <w:r>
        <w:rPr>
          <w:rFonts w:hint="eastAsia"/>
          <w:lang w:eastAsia="zh-CN"/>
        </w:rPr>
        <w:t>甘肃省张掖市中级人民法院是国家审判机关，依法独立行使审判权，对地方人民代表大会及其常务委员会负责并报告工作。</w:t>
      </w:r>
    </w:p>
    <w:p w14:paraId="1E07EF73">
      <w:pPr>
        <w:bidi w:val="0"/>
        <w:rPr>
          <w:rFonts w:hint="eastAsia"/>
          <w:lang w:eastAsia="zh-CN"/>
        </w:rPr>
      </w:pPr>
      <w:r>
        <w:rPr>
          <w:rFonts w:hint="eastAsia"/>
          <w:lang w:eastAsia="zh-CN"/>
        </w:rPr>
        <w:t>主要职责是：</w:t>
      </w:r>
    </w:p>
    <w:p w14:paraId="74EB0133">
      <w:pPr>
        <w:bidi w:val="0"/>
        <w:rPr>
          <w:rFonts w:hint="eastAsia"/>
          <w:lang w:eastAsia="zh-CN"/>
        </w:rPr>
      </w:pPr>
      <w:r>
        <w:rPr>
          <w:rFonts w:hint="eastAsia"/>
          <w:lang w:eastAsia="zh-CN"/>
        </w:rPr>
        <w:t>1、审判法律规定由中级人民法院管辖和其认为应当由自己审判的案件。</w:t>
      </w:r>
    </w:p>
    <w:p w14:paraId="6FF41CB0">
      <w:pPr>
        <w:bidi w:val="0"/>
        <w:rPr>
          <w:rFonts w:hint="eastAsia"/>
          <w:lang w:eastAsia="zh-CN"/>
        </w:rPr>
      </w:pPr>
      <w:r>
        <w:rPr>
          <w:rFonts w:hint="eastAsia"/>
          <w:lang w:eastAsia="zh-CN"/>
        </w:rPr>
        <w:t>2、审判全市的减刑和假释案件。</w:t>
      </w:r>
    </w:p>
    <w:p w14:paraId="7CF5DB54">
      <w:pPr>
        <w:bidi w:val="0"/>
        <w:rPr>
          <w:rFonts w:hint="eastAsia"/>
          <w:lang w:eastAsia="zh-CN"/>
        </w:rPr>
      </w:pPr>
      <w:r>
        <w:rPr>
          <w:rFonts w:hint="eastAsia"/>
          <w:lang w:eastAsia="zh-CN"/>
        </w:rPr>
        <w:t>3、审判省高级人民法院交由中级法院审判的刑事、民事、行政案件。</w:t>
      </w:r>
    </w:p>
    <w:p w14:paraId="3B37BCC5">
      <w:pPr>
        <w:bidi w:val="0"/>
        <w:rPr>
          <w:rFonts w:hint="eastAsia"/>
          <w:lang w:eastAsia="zh-CN"/>
        </w:rPr>
      </w:pPr>
      <w:r>
        <w:rPr>
          <w:rFonts w:hint="eastAsia"/>
          <w:lang w:eastAsia="zh-CN"/>
        </w:rPr>
        <w:t>4、受理不服下级法院生效裁判的各类申诉和再审申请，对其中确有错误的，提审或指令下级人民法院再审。</w:t>
      </w:r>
    </w:p>
    <w:p w14:paraId="297007F7">
      <w:pPr>
        <w:bidi w:val="0"/>
        <w:rPr>
          <w:rFonts w:hint="eastAsia"/>
          <w:lang w:eastAsia="zh-CN"/>
        </w:rPr>
      </w:pPr>
      <w:r>
        <w:rPr>
          <w:rFonts w:hint="eastAsia"/>
          <w:lang w:eastAsia="zh-CN"/>
        </w:rPr>
        <w:t>5、依法审判由检察院按照审判监督程序提出的抗诉案件。</w:t>
      </w:r>
    </w:p>
    <w:p w14:paraId="7D6F6AB9">
      <w:pPr>
        <w:bidi w:val="0"/>
        <w:rPr>
          <w:rFonts w:hint="eastAsia"/>
          <w:lang w:eastAsia="zh-CN"/>
        </w:rPr>
      </w:pPr>
      <w:r>
        <w:rPr>
          <w:rFonts w:hint="eastAsia"/>
          <w:lang w:eastAsia="zh-CN"/>
        </w:rPr>
        <w:t>6、依法对下级人民法院行使指定管辖权。</w:t>
      </w:r>
    </w:p>
    <w:p w14:paraId="7012635A">
      <w:pPr>
        <w:bidi w:val="0"/>
        <w:rPr>
          <w:rFonts w:hint="eastAsia"/>
          <w:lang w:eastAsia="zh-CN"/>
        </w:rPr>
      </w:pPr>
      <w:r>
        <w:rPr>
          <w:rFonts w:hint="eastAsia"/>
          <w:lang w:eastAsia="zh-CN"/>
        </w:rPr>
        <w:t>7、监督下级人民法院的审判工作。</w:t>
      </w:r>
    </w:p>
    <w:p w14:paraId="3963C1AC">
      <w:pPr>
        <w:bidi w:val="0"/>
        <w:rPr>
          <w:rFonts w:hint="eastAsia"/>
          <w:lang w:eastAsia="zh-CN"/>
        </w:rPr>
      </w:pPr>
      <w:r>
        <w:rPr>
          <w:rFonts w:hint="eastAsia"/>
          <w:lang w:eastAsia="zh-CN"/>
        </w:rPr>
        <w:t>8、调查研究审判工作中的法律政策及疑难问题，总结审判经验；参与地方立法活动，组织汇总上报相关法律草案的意见；针对案件审理中发现的问题提出司法建议；综合指导全市各基层人民法院司法统计工作。</w:t>
      </w:r>
    </w:p>
    <w:p w14:paraId="32226B5B">
      <w:pPr>
        <w:bidi w:val="0"/>
        <w:rPr>
          <w:rFonts w:hint="eastAsia"/>
          <w:lang w:eastAsia="zh-CN"/>
        </w:rPr>
      </w:pPr>
      <w:r>
        <w:rPr>
          <w:rFonts w:hint="eastAsia"/>
          <w:lang w:eastAsia="zh-CN"/>
        </w:rPr>
        <w:t>9、依法决定国家赔偿。</w:t>
      </w:r>
    </w:p>
    <w:p w14:paraId="52167D1A">
      <w:pPr>
        <w:bidi w:val="0"/>
        <w:rPr>
          <w:rFonts w:hint="eastAsia"/>
          <w:lang w:eastAsia="zh-CN"/>
        </w:rPr>
      </w:pPr>
      <w:r>
        <w:rPr>
          <w:rFonts w:hint="eastAsia"/>
          <w:lang w:eastAsia="zh-CN"/>
        </w:rPr>
        <w:t>10、对中级人员的法官和其他审判辅助人员进行思想政治教育、组织专业培训；指导全市基层人民法院的思想政治工作和教育培训工作；按照权限管理、培训法官和其他审判辅助人员；协助有关部门管理全市法院的机构、编制工作。</w:t>
      </w:r>
    </w:p>
    <w:p w14:paraId="0477545A">
      <w:pPr>
        <w:bidi w:val="0"/>
        <w:rPr>
          <w:rFonts w:hint="eastAsia"/>
          <w:lang w:eastAsia="zh-CN"/>
        </w:rPr>
      </w:pPr>
      <w:r>
        <w:rPr>
          <w:rFonts w:hint="eastAsia"/>
          <w:lang w:eastAsia="zh-CN"/>
        </w:rPr>
        <w:t>12、负责本院并领导全市人民法院的监察工作。</w:t>
      </w:r>
    </w:p>
    <w:p w14:paraId="139BDDF6">
      <w:pPr>
        <w:bidi w:val="0"/>
        <w:rPr>
          <w:rFonts w:hint="eastAsia"/>
          <w:lang w:eastAsia="zh-CN"/>
        </w:rPr>
      </w:pPr>
      <w:r>
        <w:rPr>
          <w:rFonts w:hint="eastAsia"/>
          <w:lang w:eastAsia="zh-CN"/>
        </w:rPr>
        <w:t>13、管理全市人民法院的有关经费和物质装备。</w:t>
      </w:r>
    </w:p>
    <w:p w14:paraId="1B838E9C">
      <w:pPr>
        <w:bidi w:val="0"/>
        <w:rPr>
          <w:rFonts w:hint="eastAsia"/>
          <w:lang w:eastAsia="zh-CN"/>
        </w:rPr>
      </w:pPr>
      <w:r>
        <w:rPr>
          <w:rFonts w:hint="eastAsia"/>
          <w:lang w:eastAsia="zh-CN"/>
        </w:rPr>
        <w:t>14、在审判工作中宣传法制、教育公民自觉遵守宪法、法律。</w:t>
      </w:r>
    </w:p>
    <w:p w14:paraId="0D160004">
      <w:pPr>
        <w:bidi w:val="0"/>
        <w:rPr>
          <w:rFonts w:hint="eastAsia"/>
          <w:lang w:eastAsia="zh-CN"/>
        </w:rPr>
      </w:pPr>
      <w:r>
        <w:rPr>
          <w:rFonts w:hint="eastAsia"/>
          <w:lang w:eastAsia="zh-CN"/>
        </w:rPr>
        <w:t>15、管理中级人民法院直属的事业单位和社会团体。</w:t>
      </w:r>
    </w:p>
    <w:p w14:paraId="621291A5">
      <w:pPr>
        <w:bidi w:val="0"/>
        <w:rPr>
          <w:rFonts w:hint="eastAsia"/>
          <w:lang w:eastAsia="zh-CN"/>
        </w:rPr>
      </w:pPr>
      <w:r>
        <w:rPr>
          <w:rFonts w:hint="eastAsia"/>
          <w:lang w:eastAsia="zh-CN"/>
        </w:rPr>
        <w:t>16、领导全市人民法院的司法警察工作。</w:t>
      </w:r>
    </w:p>
    <w:p w14:paraId="4715B046">
      <w:pPr>
        <w:bidi w:val="0"/>
        <w:rPr>
          <w:rFonts w:hint="eastAsia"/>
          <w:lang w:eastAsia="zh-CN"/>
        </w:rPr>
      </w:pPr>
      <w:r>
        <w:rPr>
          <w:rFonts w:hint="eastAsia"/>
          <w:lang w:eastAsia="zh-CN"/>
        </w:rPr>
        <w:t>17、承办其他应由中级人民法院负责的工作。</w:t>
      </w:r>
    </w:p>
    <w:p w14:paraId="6107AFCB">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r>
        <w:rPr>
          <w:rFonts w:hint="eastAsia"/>
          <w:lang w:eastAsia="zh-CN"/>
        </w:rPr>
        <w:t> （</w:t>
      </w:r>
      <w:r>
        <w:rPr>
          <w:rFonts w:hint="eastAsia"/>
          <w:lang w:val="en-US" w:eastAsia="zh-CN"/>
        </w:rPr>
        <w:t>二</w:t>
      </w:r>
      <w:r>
        <w:rPr>
          <w:rFonts w:hint="eastAsia"/>
          <w:lang w:eastAsia="zh-CN"/>
        </w:rPr>
        <w:t>）内设机构及所属部门概况</w:t>
      </w:r>
      <w:bookmarkEnd w:id="11"/>
      <w:bookmarkEnd w:id="12"/>
      <w:bookmarkEnd w:id="13"/>
      <w:bookmarkEnd w:id="14"/>
    </w:p>
    <w:p w14:paraId="52CDDC50">
      <w:pPr>
        <w:pStyle w:val="4"/>
        <w:bidi w:val="0"/>
        <w:rPr>
          <w:rFonts w:hint="default"/>
          <w:lang w:val="en-US" w:eastAsia="zh-CN"/>
        </w:rPr>
      </w:pPr>
      <w:bookmarkStart w:id="15" w:name="_Toc18193"/>
      <w:bookmarkStart w:id="16" w:name="_Toc4574"/>
      <w:bookmarkStart w:id="17" w:name="_Toc13794"/>
      <w:bookmarkStart w:id="18" w:name="_Toc30207"/>
      <w:r>
        <w:rPr>
          <w:rFonts w:hint="eastAsia"/>
          <w:lang w:val="en-US" w:eastAsia="zh-CN"/>
        </w:rPr>
        <w:t>1.内设机构</w:t>
      </w:r>
    </w:p>
    <w:p w14:paraId="4BFDFAB7">
      <w:pPr>
        <w:bidi w:val="0"/>
        <w:rPr>
          <w:rFonts w:hint="eastAsia"/>
          <w:lang w:val="en-US" w:eastAsia="zh-CN"/>
        </w:rPr>
      </w:pPr>
      <w:r>
        <w:rPr>
          <w:rFonts w:hint="eastAsia"/>
          <w:lang w:val="en-US" w:eastAsia="zh-CN"/>
        </w:rPr>
        <w:t>甘肃省张掖市中级人民法院内设16个机构，即政治部、纪检组、办公室、立案庭、审管办、研究室、信访室、刑一庭、刑二庭、民一庭、民二庭、民三庭、行政庭、审监庭、执行局、法警支队。</w:t>
      </w:r>
    </w:p>
    <w:p w14:paraId="4F649A46">
      <w:pPr>
        <w:pStyle w:val="4"/>
        <w:bidi w:val="0"/>
        <w:rPr>
          <w:rFonts w:hint="eastAsia"/>
          <w:lang w:val="en-US" w:eastAsia="zh-CN"/>
        </w:rPr>
      </w:pPr>
      <w:r>
        <w:rPr>
          <w:rFonts w:hint="eastAsia"/>
          <w:lang w:val="en-US" w:eastAsia="zh-CN"/>
        </w:rPr>
        <w:t>2.人员情况</w:t>
      </w:r>
    </w:p>
    <w:p w14:paraId="06EA427F">
      <w:pPr>
        <w:numPr>
          <w:ilvl w:val="0"/>
          <w:numId w:val="0"/>
        </w:numPr>
        <w:bidi w:val="0"/>
        <w:rPr>
          <w:rFonts w:hint="default"/>
          <w:lang w:val="en-US" w:eastAsia="zh-CN"/>
        </w:rPr>
      </w:pPr>
      <w:r>
        <w:rPr>
          <w:rFonts w:hint="eastAsia"/>
          <w:lang w:val="en-US" w:eastAsia="zh-CN"/>
        </w:rPr>
        <w:t xml:space="preserve">    2023年底，我院在职人员共173人，行政在编人员90人；聘用制书记员47人，辅警12人，劳务派遣及后勤人员24人。</w:t>
      </w:r>
    </w:p>
    <w:p w14:paraId="12B0C2C8">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3" w:firstLineChars="200"/>
        <w:jc w:val="both"/>
        <w:textAlignment w:val="auto"/>
        <w:rPr>
          <w:rFonts w:hint="eastAsia"/>
          <w:lang w:val="en-US" w:eastAsia="zh-CN"/>
        </w:rPr>
      </w:pPr>
      <w:r>
        <w:rPr>
          <w:rFonts w:hint="eastAsia"/>
          <w:lang w:val="en-US" w:eastAsia="zh-CN"/>
        </w:rPr>
        <w:t>二、绩效自评工作组织开展情况</w:t>
      </w:r>
      <w:bookmarkEnd w:id="15"/>
      <w:bookmarkEnd w:id="16"/>
      <w:bookmarkEnd w:id="17"/>
      <w:bookmarkEnd w:id="18"/>
    </w:p>
    <w:p w14:paraId="01BF46FB">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9" w:name="_Toc32320"/>
      <w:bookmarkStart w:id="20" w:name="_Toc11147"/>
      <w:bookmarkStart w:id="21" w:name="_Toc4177"/>
      <w:bookmarkStart w:id="22" w:name="_Toc31965"/>
      <w:r>
        <w:rPr>
          <w:rFonts w:hint="eastAsia"/>
          <w:lang w:eastAsia="zh-CN"/>
        </w:rPr>
        <w:t>（</w:t>
      </w:r>
      <w:r>
        <w:rPr>
          <w:rFonts w:hint="eastAsia"/>
          <w:lang w:val="en-US" w:eastAsia="zh-CN"/>
        </w:rPr>
        <w:t>一</w:t>
      </w:r>
      <w:r>
        <w:rPr>
          <w:rFonts w:hint="eastAsia"/>
          <w:lang w:eastAsia="zh-CN"/>
        </w:rPr>
        <w:t>）自评工作组织管理情况</w:t>
      </w:r>
      <w:bookmarkEnd w:id="19"/>
    </w:p>
    <w:p w14:paraId="1416120F">
      <w:pPr>
        <w:pageBreakBefore w:val="0"/>
        <w:widowControl w:val="0"/>
        <w:kinsoku/>
        <w:wordWrap/>
        <w:overflowPunct/>
        <w:topLinePunct w:val="0"/>
        <w:autoSpaceDE/>
        <w:autoSpaceDN/>
        <w:bidi w:val="0"/>
        <w:adjustRightInd/>
        <w:snapToGrid/>
        <w:ind w:firstLine="560" w:firstLineChars="200"/>
        <w:jc w:val="both"/>
        <w:textAlignment w:val="auto"/>
        <w:outlineLvl w:val="9"/>
      </w:pPr>
      <w:r>
        <w:rPr>
          <w:rFonts w:hint="eastAsia"/>
        </w:rPr>
        <w:t>我院十分重视此次绩效评价工作，要求财务部门严格按照省上有关文件精神，科学分析，精准评价，确保绩效评价客观公正。工作启动后，严格按照《关于全面实施预算绩效管理的意见》（中发〔2018〕34号）、中共甘肃省委甘肃省人民政府《关于全面实施预算绩效管理的实施意见》（甘发〔2018〕32号）、</w:t>
      </w:r>
      <w:r>
        <w:rPr>
          <w:rFonts w:hint="default"/>
          <w:lang w:eastAsia="zh-CN"/>
        </w:rPr>
        <w:t>《甘肃省省级预算绩效管理办法》《甘肃省省级项目支出绩效单位自评工作规程》（甘财绩</w:t>
      </w:r>
      <w:r>
        <w:rPr>
          <w:rFonts w:hint="default"/>
        </w:rPr>
        <w:t>〔20</w:t>
      </w:r>
      <w:r>
        <w:rPr>
          <w:rFonts w:hint="default"/>
          <w:lang w:val="en-US" w:eastAsia="zh-CN"/>
        </w:rPr>
        <w:t>20</w:t>
      </w:r>
      <w:r>
        <w:rPr>
          <w:rFonts w:hint="default"/>
        </w:rPr>
        <w:t>〕</w:t>
      </w:r>
      <w:r>
        <w:rPr>
          <w:rFonts w:hint="default"/>
          <w:lang w:val="en-US" w:eastAsia="zh-CN"/>
        </w:rPr>
        <w:t>5号</w:t>
      </w:r>
      <w:r>
        <w:rPr>
          <w:rFonts w:hint="default"/>
          <w:lang w:eastAsia="zh-CN"/>
        </w:rPr>
        <w:t>）</w:t>
      </w:r>
      <w:r>
        <w:rPr>
          <w:rFonts w:hint="eastAsia"/>
        </w:rPr>
        <w:t>等文件的要求，联合各相关业务部门共同完成此次自评工作。自评工作遵循科学公正、统筹兼顾、激励约束和公开透明的原则，以我院</w:t>
      </w:r>
      <w:r>
        <w:rPr>
          <w:rFonts w:hint="eastAsia"/>
          <w:lang w:eastAsia="zh-CN"/>
        </w:rPr>
        <w:t>2023年</w:t>
      </w:r>
      <w:r>
        <w:rPr>
          <w:rFonts w:hint="eastAsia"/>
        </w:rPr>
        <w:t>初设定的绩效目标及相关法律法规、政策要求、行业规划、部门职责等为依据，运用定量和定性相结合的评价方法，对我院</w:t>
      </w:r>
      <w:r>
        <w:rPr>
          <w:rFonts w:hint="eastAsia"/>
          <w:lang w:eastAsia="zh-CN"/>
        </w:rPr>
        <w:t>2023年度</w:t>
      </w:r>
      <w:r>
        <w:rPr>
          <w:rFonts w:hint="eastAsia"/>
        </w:rPr>
        <w:t>省级预算执行情况的经济性、效率性、效益性进行客观公正的分析评价。</w:t>
      </w:r>
    </w:p>
    <w:p w14:paraId="62B7ED8B">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3" w:name="_Toc26980"/>
      <w:bookmarkStart w:id="24" w:name="_Toc13356"/>
      <w:bookmarkStart w:id="25" w:name="_Toc28216"/>
      <w:bookmarkStart w:id="26" w:name="_Toc28189"/>
      <w:bookmarkStart w:id="27" w:name="_Toc29448"/>
      <w:r>
        <w:rPr>
          <w:rFonts w:hint="eastAsia"/>
          <w:lang w:eastAsia="zh-CN"/>
        </w:rPr>
        <w:t>（</w:t>
      </w:r>
      <w:r>
        <w:rPr>
          <w:rFonts w:hint="eastAsia"/>
          <w:lang w:val="en-US" w:eastAsia="zh-CN"/>
        </w:rPr>
        <w:t>二</w:t>
      </w:r>
      <w:r>
        <w:rPr>
          <w:rFonts w:hint="eastAsia"/>
          <w:lang w:eastAsia="zh-CN"/>
        </w:rPr>
        <w:t>）自评对象和范围</w:t>
      </w:r>
      <w:bookmarkEnd w:id="23"/>
      <w:bookmarkEnd w:id="24"/>
      <w:bookmarkEnd w:id="25"/>
      <w:bookmarkEnd w:id="26"/>
      <w:bookmarkEnd w:id="27"/>
    </w:p>
    <w:p w14:paraId="17FAEE52">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highlight w:val="none"/>
        </w:rPr>
      </w:pPr>
      <w:r>
        <w:rPr>
          <w:rFonts w:hint="eastAsia"/>
        </w:rPr>
        <w:t>本次预算绩效自评价，按照省级部门项目支出、省对市县转移支付、部门整体支出三类评价对</w:t>
      </w:r>
      <w:r>
        <w:rPr>
          <w:rFonts w:hint="eastAsia"/>
          <w:highlight w:val="none"/>
        </w:rPr>
        <w:t>象全覆盖的原则，结合我院</w:t>
      </w:r>
      <w:r>
        <w:rPr>
          <w:highlight w:val="none"/>
        </w:rPr>
        <w:t>实际情况，自评所有对象为</w:t>
      </w:r>
      <w:r>
        <w:rPr>
          <w:rFonts w:hint="eastAsia"/>
          <w:highlight w:val="none"/>
        </w:rPr>
        <w:t>业务费</w:t>
      </w:r>
      <w:r>
        <w:rPr>
          <w:highlight w:val="none"/>
        </w:rPr>
        <w:t>项目自评</w:t>
      </w:r>
      <w:r>
        <w:rPr>
          <w:rFonts w:hint="eastAsia"/>
          <w:highlight w:val="none"/>
        </w:rPr>
        <w:t>、</w:t>
      </w:r>
      <w:r>
        <w:rPr>
          <w:rFonts w:hint="eastAsia" w:hAnsi="宋体"/>
          <w:szCs w:val="28"/>
          <w:highlight w:val="none"/>
        </w:rPr>
        <w:t>中央政法转移支付资金</w:t>
      </w:r>
      <w:r>
        <w:rPr>
          <w:rFonts w:hint="eastAsia" w:hAnsi="宋体"/>
          <w:szCs w:val="28"/>
          <w:highlight w:val="none"/>
          <w:lang w:eastAsia="zh-CN"/>
        </w:rPr>
        <w:t>项目</w:t>
      </w:r>
      <w:r>
        <w:rPr>
          <w:rFonts w:hint="eastAsia" w:hAnsi="宋体"/>
          <w:szCs w:val="28"/>
          <w:highlight w:val="none"/>
        </w:rPr>
        <w:t>自评和部门整体支出自评。</w:t>
      </w:r>
    </w:p>
    <w:p w14:paraId="29FD2421">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8" w:name="_Toc25203"/>
      <w:bookmarkStart w:id="29" w:name="_Toc22785"/>
      <w:bookmarkStart w:id="30" w:name="_Toc18694"/>
      <w:bookmarkStart w:id="31" w:name="_Toc25429"/>
      <w:bookmarkStart w:id="32" w:name="_Toc20255"/>
      <w:r>
        <w:rPr>
          <w:rFonts w:hint="eastAsia"/>
          <w:lang w:eastAsia="zh-CN"/>
        </w:rPr>
        <w:t>（</w:t>
      </w:r>
      <w:r>
        <w:rPr>
          <w:rFonts w:hint="eastAsia"/>
          <w:lang w:val="en-US" w:eastAsia="zh-CN"/>
        </w:rPr>
        <w:t>三</w:t>
      </w:r>
      <w:r>
        <w:rPr>
          <w:rFonts w:hint="eastAsia"/>
          <w:lang w:eastAsia="zh-CN"/>
        </w:rPr>
        <w:t>）自评工作程序</w:t>
      </w:r>
      <w:bookmarkEnd w:id="28"/>
      <w:bookmarkEnd w:id="29"/>
      <w:bookmarkEnd w:id="30"/>
      <w:bookmarkEnd w:id="31"/>
      <w:bookmarkEnd w:id="32"/>
    </w:p>
    <w:p w14:paraId="7221F4AE">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本次绩效自评工作主要包括以下工作程序：</w:t>
      </w:r>
    </w:p>
    <w:p w14:paraId="2AF3362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highlight w:val="none"/>
        </w:rPr>
      </w:pPr>
      <w:r>
        <w:rPr>
          <w:rFonts w:hint="eastAsia"/>
          <w:lang w:val="en-US" w:eastAsia="zh-CN"/>
        </w:rPr>
        <w:t>1.</w:t>
      </w:r>
      <w:r>
        <w:rPr>
          <w:rFonts w:hint="eastAsia"/>
        </w:rPr>
        <w:t>根据我院整体</w:t>
      </w:r>
      <w:r>
        <w:t>支出和</w:t>
      </w:r>
      <w:r>
        <w:rPr>
          <w:rFonts w:hint="eastAsia"/>
        </w:rPr>
        <w:t>项目支出绩效目标的设定情况，</w:t>
      </w:r>
      <w:r>
        <w:rPr>
          <w:rFonts w:hint="eastAsia"/>
          <w:highlight w:val="none"/>
          <w:lang w:val="en-US" w:eastAsia="zh-CN"/>
        </w:rPr>
        <w:t>收集</w:t>
      </w:r>
      <w:r>
        <w:rPr>
          <w:rFonts w:hint="eastAsia"/>
          <w:highlight w:val="none"/>
        </w:rPr>
        <w:t>各业务</w:t>
      </w:r>
      <w:r>
        <w:rPr>
          <w:rFonts w:hint="eastAsia"/>
          <w:highlight w:val="none"/>
          <w:lang w:val="en-US" w:eastAsia="zh-CN"/>
        </w:rPr>
        <w:t>部门</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14:paraId="77E26CF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仿宋_GB2312"/>
          <w:lang w:eastAsia="zh-CN"/>
        </w:rPr>
      </w:pPr>
      <w:r>
        <w:t>2.</w:t>
      </w:r>
      <w:r>
        <w:rPr>
          <w:rFonts w:hint="eastAsia"/>
        </w:rPr>
        <w:t>整理分析相关资料，</w:t>
      </w:r>
      <w:r>
        <w:rPr>
          <w:rFonts w:hint="eastAsia"/>
          <w:lang w:eastAsia="zh-CN"/>
        </w:rPr>
        <w:t>根据部门职责，以预算执行、部门履职目标机效果为重点，</w:t>
      </w:r>
      <w:r>
        <w:rPr>
          <w:rFonts w:hint="eastAsia"/>
        </w:rPr>
        <w:t>统计财政资金预算执行情况和各项</w:t>
      </w:r>
      <w:r>
        <w:t>绩效目标完成</w:t>
      </w:r>
      <w:r>
        <w:rPr>
          <w:rFonts w:hint="eastAsia"/>
        </w:rPr>
        <w:t>情况，对年初</w:t>
      </w:r>
      <w:r>
        <w:t>设定的</w:t>
      </w:r>
      <w:r>
        <w:rPr>
          <w:rFonts w:hint="eastAsia"/>
        </w:rPr>
        <w:t>绩效指标及各项指标完成情况进行对比分析，填写《</w:t>
      </w:r>
      <w:r>
        <w:rPr>
          <w:rFonts w:hint="eastAsia"/>
          <w:lang w:eastAsia="zh-CN"/>
        </w:rPr>
        <w:t>2023年度</w:t>
      </w:r>
      <w:r>
        <w:rPr>
          <w:rFonts w:hint="eastAsia"/>
        </w:rPr>
        <w:t>部门预算执行情况绩效自评报表》</w:t>
      </w:r>
      <w:r>
        <w:rPr>
          <w:rFonts w:hint="eastAsia"/>
          <w:lang w:eastAsia="zh-CN"/>
        </w:rPr>
        <w:t>，自评表内容完整、分值合理、数据真实、结果客观。</w:t>
      </w:r>
    </w:p>
    <w:p w14:paraId="5729FFF7">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t>3.</w:t>
      </w:r>
      <w:r>
        <w:rPr>
          <w:rFonts w:hint="eastAsia"/>
        </w:rPr>
        <w:t>总结评价结论，归纳问题，分析原因，提出改进</w:t>
      </w:r>
      <w:r>
        <w:t>措施</w:t>
      </w:r>
      <w:r>
        <w:rPr>
          <w:rFonts w:hint="eastAsia"/>
        </w:rPr>
        <w:t>，完成《</w:t>
      </w:r>
      <w:r>
        <w:rPr>
          <w:rFonts w:hint="eastAsia"/>
          <w:lang w:eastAsia="zh-CN"/>
        </w:rPr>
        <w:t>2023年度</w:t>
      </w:r>
      <w:r>
        <w:rPr>
          <w:rFonts w:hint="eastAsia"/>
        </w:rPr>
        <w:t>预算执行情况自评报告》撰写。</w:t>
      </w:r>
    </w:p>
    <w:p w14:paraId="6C50BD6E">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4.自评表和自评报告完成之后，进行内部审核，对自评表的真实性、完整性、合理性和客观性进行初步审核，并对发现的问题及时反馈和修改，修改完善后报送审核备案。</w:t>
      </w:r>
    </w:p>
    <w:bookmarkEnd w:id="20"/>
    <w:bookmarkEnd w:id="21"/>
    <w:bookmarkEnd w:id="22"/>
    <w:p w14:paraId="6EEA7A28">
      <w:pPr>
        <w:pStyle w:val="2"/>
        <w:keepNext/>
        <w:keepLines/>
        <w:pageBreakBefore w:val="0"/>
        <w:widowControl w:val="0"/>
        <w:kinsoku/>
        <w:wordWrap/>
        <w:overflowPunct/>
        <w:topLinePunct w:val="0"/>
        <w:autoSpaceDE/>
        <w:autoSpaceDN/>
        <w:bidi w:val="0"/>
        <w:adjustRightInd/>
        <w:snapToGrid/>
        <w:spacing w:before="0" w:after="0"/>
        <w:textAlignment w:val="auto"/>
      </w:pPr>
      <w:bookmarkStart w:id="33" w:name="_Toc31556"/>
      <w:bookmarkStart w:id="34" w:name="_Toc26000"/>
      <w:bookmarkStart w:id="35" w:name="_Toc17680"/>
      <w:bookmarkStart w:id="36" w:name="_Toc17042"/>
      <w:r>
        <w:rPr>
          <w:rFonts w:hint="eastAsia"/>
        </w:rPr>
        <w:t>三、部门整体支出绩效自评情况分析</w:t>
      </w:r>
      <w:bookmarkEnd w:id="33"/>
      <w:bookmarkEnd w:id="34"/>
      <w:bookmarkEnd w:id="35"/>
      <w:bookmarkEnd w:id="36"/>
      <w:r>
        <w:tab/>
      </w:r>
    </w:p>
    <w:p w14:paraId="445E3D32">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lang w:eastAsia="zh-CN"/>
        </w:rPr>
      </w:pPr>
      <w:bookmarkStart w:id="37" w:name="_Toc32623"/>
      <w:bookmarkStart w:id="38" w:name="_Toc8171"/>
      <w:bookmarkStart w:id="39" w:name="_Toc1177"/>
      <w:bookmarkStart w:id="40" w:name="_Toc3483"/>
      <w:bookmarkStart w:id="41" w:name="_Toc22782"/>
      <w:bookmarkStart w:id="42" w:name="_Toc9310"/>
      <w:bookmarkStart w:id="43" w:name="_Toc21423"/>
      <w:bookmarkStart w:id="44" w:name="_Toc10769"/>
      <w:r>
        <w:rPr>
          <w:rFonts w:hint="eastAsia"/>
        </w:rPr>
        <w:t>（一）部门决算情况</w:t>
      </w:r>
      <w:bookmarkEnd w:id="37"/>
      <w:bookmarkEnd w:id="38"/>
      <w:bookmarkEnd w:id="39"/>
      <w:bookmarkEnd w:id="40"/>
    </w:p>
    <w:p w14:paraId="48BC7C85">
      <w:pPr>
        <w:keepNext w:val="0"/>
        <w:keepLines w:val="0"/>
        <w:pageBreakBefore w:val="0"/>
        <w:widowControl w:val="0"/>
        <w:kinsoku/>
        <w:wordWrap/>
        <w:overflowPunct/>
        <w:topLinePunct w:val="0"/>
        <w:autoSpaceDE/>
        <w:autoSpaceDN/>
        <w:bidi w:val="0"/>
        <w:adjustRightInd/>
        <w:snapToGrid/>
        <w:ind w:firstLine="560"/>
        <w:textAlignment w:val="auto"/>
        <w:rPr>
          <w:rFonts w:hint="default"/>
          <w:lang w:val="en-US" w:eastAsia="zh-CN"/>
        </w:rPr>
      </w:pPr>
      <w:r>
        <w:rPr>
          <w:rFonts w:hint="eastAsia"/>
          <w:lang w:val="en-US" w:eastAsia="zh-CN"/>
        </w:rPr>
        <w:t>2023年度张掖市中级人民法院年初预算2932.04万元</w:t>
      </w:r>
      <w:r>
        <w:rPr>
          <w:rFonts w:hint="eastAsia"/>
          <w:lang w:eastAsia="zh-CN"/>
        </w:rPr>
        <w:t>，</w:t>
      </w:r>
      <w:r>
        <w:rPr>
          <w:rFonts w:hint="eastAsia"/>
        </w:rPr>
        <w:t>全年预算</w:t>
      </w:r>
      <w:r>
        <w:rPr>
          <w:rFonts w:hint="eastAsia"/>
          <w:lang w:eastAsia="zh-CN"/>
        </w:rPr>
        <w:t>数</w:t>
      </w:r>
      <w:r>
        <w:rPr>
          <w:rFonts w:hint="eastAsia"/>
          <w:lang w:val="en-US" w:eastAsia="zh-CN"/>
        </w:rPr>
        <w:t>4285.23万元，实际支出数3690.64万元，</w:t>
      </w:r>
      <w:r>
        <w:rPr>
          <w:rFonts w:hint="eastAsia"/>
        </w:rPr>
        <w:t>部门整体支出预算执行率为</w:t>
      </w:r>
      <w:r>
        <w:rPr>
          <w:rFonts w:hint="eastAsia"/>
          <w:lang w:val="en-US" w:eastAsia="zh-CN"/>
        </w:rPr>
        <w:t>86.12%。</w:t>
      </w:r>
    </w:p>
    <w:p w14:paraId="4F430A4B">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r>
        <w:rPr>
          <w:rFonts w:hint="eastAsia"/>
        </w:rPr>
        <w:t>（二）总体绩效目标完成情况分析</w:t>
      </w:r>
      <w:bookmarkEnd w:id="41"/>
      <w:bookmarkEnd w:id="42"/>
      <w:bookmarkEnd w:id="43"/>
      <w:bookmarkEnd w:id="44"/>
    </w:p>
    <w:p w14:paraId="104BAD92">
      <w:pPr>
        <w:keepNext w:val="0"/>
        <w:keepLines w:val="0"/>
        <w:pageBreakBefore w:val="0"/>
        <w:widowControl w:val="0"/>
        <w:kinsoku/>
        <w:wordWrap/>
        <w:overflowPunct/>
        <w:topLinePunct w:val="0"/>
        <w:autoSpaceDE/>
        <w:autoSpaceDN/>
        <w:bidi w:val="0"/>
        <w:adjustRightInd/>
        <w:snapToGrid/>
        <w:ind w:firstLine="560"/>
        <w:textAlignment w:val="auto"/>
        <w:rPr>
          <w:rFonts w:hint="eastAsia"/>
          <w:lang w:val="en-US" w:eastAsia="zh-CN"/>
        </w:rPr>
      </w:pPr>
      <w:r>
        <w:rPr>
          <w:rFonts w:hint="eastAsia"/>
          <w:lang w:val="en-US" w:eastAsia="zh-CN"/>
        </w:rPr>
        <w:t>经综合评价与分析，张掖市中级人民法院2023年度部门整体支出绩效评价最终得分为95.26分，评价结果为“优秀”。最终评分结果如下表所示：</w:t>
      </w:r>
    </w:p>
    <w:p w14:paraId="398624AE">
      <w:pPr>
        <w:jc w:val="center"/>
        <w:rPr>
          <w:rFonts w:ascii="宋体" w:hAnsi="宋体"/>
          <w:highlight w:val="none"/>
        </w:rPr>
      </w:pPr>
      <w:r>
        <w:rPr>
          <w:rFonts w:hint="eastAsia" w:ascii="宋体" w:hAnsi="宋体" w:cs="宋体"/>
          <w:b/>
          <w:bCs/>
          <w:kern w:val="0"/>
          <w:sz w:val="24"/>
          <w:highlight w:val="none"/>
          <w:lang w:eastAsia="zh-CN"/>
        </w:rPr>
        <w:t>2023年度</w:t>
      </w:r>
      <w:r>
        <w:rPr>
          <w:rFonts w:hint="eastAsia" w:ascii="宋体" w:hAnsi="宋体" w:cs="宋体"/>
          <w:b/>
          <w:bCs/>
          <w:kern w:val="0"/>
          <w:sz w:val="24"/>
          <w:highlight w:val="none"/>
        </w:rPr>
        <w:t>部门整体支出绩效评价指标得分情况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0185CFC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7AD8E853">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一级指标</w:t>
            </w:r>
          </w:p>
        </w:tc>
        <w:tc>
          <w:tcPr>
            <w:tcW w:w="1678" w:type="dxa"/>
            <w:shd w:val="clear" w:color="auto" w:fill="BDD6EE"/>
            <w:vAlign w:val="center"/>
          </w:tcPr>
          <w:p w14:paraId="5243BE23">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分值</w:t>
            </w:r>
          </w:p>
        </w:tc>
        <w:tc>
          <w:tcPr>
            <w:tcW w:w="1560" w:type="dxa"/>
            <w:shd w:val="clear" w:color="auto" w:fill="BDD6EE"/>
            <w:vAlign w:val="center"/>
          </w:tcPr>
          <w:p w14:paraId="1A13E965">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自评得分</w:t>
            </w:r>
          </w:p>
        </w:tc>
        <w:tc>
          <w:tcPr>
            <w:tcW w:w="2268" w:type="dxa"/>
            <w:shd w:val="clear" w:color="auto" w:fill="BDD6EE"/>
            <w:vAlign w:val="center"/>
          </w:tcPr>
          <w:p w14:paraId="053EF565">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得分率</w:t>
            </w:r>
          </w:p>
        </w:tc>
      </w:tr>
      <w:tr w14:paraId="33E5B2C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4389A641">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预算执行率</w:t>
            </w:r>
          </w:p>
        </w:tc>
        <w:tc>
          <w:tcPr>
            <w:tcW w:w="1678" w:type="dxa"/>
            <w:vAlign w:val="center"/>
          </w:tcPr>
          <w:p w14:paraId="28502327">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560" w:type="dxa"/>
            <w:vAlign w:val="center"/>
          </w:tcPr>
          <w:p w14:paraId="5F9596F9">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8.61</w:t>
            </w:r>
          </w:p>
        </w:tc>
        <w:tc>
          <w:tcPr>
            <w:tcW w:w="2268" w:type="dxa"/>
            <w:vAlign w:val="center"/>
          </w:tcPr>
          <w:p w14:paraId="74F8D694">
            <w:pPr>
              <w:keepNext w:val="0"/>
              <w:keepLines w:val="0"/>
              <w:widowControl/>
              <w:suppressLineNumbers w:val="0"/>
              <w:ind w:firstLine="440" w:firstLineChars="20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86.10%</w:t>
            </w:r>
          </w:p>
        </w:tc>
      </w:tr>
      <w:tr w14:paraId="3E608E7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0F5EF7D9">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部门管理</w:t>
            </w:r>
          </w:p>
        </w:tc>
        <w:tc>
          <w:tcPr>
            <w:tcW w:w="1678" w:type="dxa"/>
            <w:vAlign w:val="center"/>
          </w:tcPr>
          <w:p w14:paraId="0A647F82">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20</w:t>
            </w:r>
          </w:p>
        </w:tc>
        <w:tc>
          <w:tcPr>
            <w:tcW w:w="1560" w:type="dxa"/>
            <w:vAlign w:val="center"/>
          </w:tcPr>
          <w:p w14:paraId="337B37EC">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17.35</w:t>
            </w:r>
          </w:p>
        </w:tc>
        <w:tc>
          <w:tcPr>
            <w:tcW w:w="2268" w:type="dxa"/>
            <w:vAlign w:val="center"/>
          </w:tcPr>
          <w:p w14:paraId="48FB3135">
            <w:pPr>
              <w:keepNext w:val="0"/>
              <w:keepLines w:val="0"/>
              <w:widowControl/>
              <w:suppressLineNumbers w:val="0"/>
              <w:ind w:firstLine="440" w:firstLineChars="20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86.75%</w:t>
            </w:r>
          </w:p>
        </w:tc>
      </w:tr>
      <w:tr w14:paraId="598087B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2E34C65C">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履职效果</w:t>
            </w:r>
          </w:p>
        </w:tc>
        <w:tc>
          <w:tcPr>
            <w:tcW w:w="1678" w:type="dxa"/>
            <w:vAlign w:val="center"/>
          </w:tcPr>
          <w:p w14:paraId="6EC285A1">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60</w:t>
            </w:r>
          </w:p>
        </w:tc>
        <w:tc>
          <w:tcPr>
            <w:tcW w:w="1560" w:type="dxa"/>
            <w:vAlign w:val="center"/>
          </w:tcPr>
          <w:p w14:paraId="7D22D2DF">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59.3</w:t>
            </w:r>
          </w:p>
        </w:tc>
        <w:tc>
          <w:tcPr>
            <w:tcW w:w="2268" w:type="dxa"/>
            <w:vAlign w:val="center"/>
          </w:tcPr>
          <w:p w14:paraId="4C2EC097">
            <w:pPr>
              <w:keepNext w:val="0"/>
              <w:keepLines w:val="0"/>
              <w:widowControl/>
              <w:suppressLineNumbers w:val="0"/>
              <w:ind w:firstLine="440" w:firstLineChars="20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98.83%</w:t>
            </w:r>
          </w:p>
        </w:tc>
      </w:tr>
      <w:tr w14:paraId="328A365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1C90661F">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能力建设</w:t>
            </w:r>
          </w:p>
        </w:tc>
        <w:tc>
          <w:tcPr>
            <w:tcW w:w="1678" w:type="dxa"/>
            <w:vAlign w:val="center"/>
          </w:tcPr>
          <w:p w14:paraId="39EE8B39">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560" w:type="dxa"/>
            <w:vAlign w:val="center"/>
          </w:tcPr>
          <w:p w14:paraId="37A25CF1">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2268" w:type="dxa"/>
            <w:vAlign w:val="center"/>
          </w:tcPr>
          <w:p w14:paraId="28389125">
            <w:pPr>
              <w:keepNext w:val="0"/>
              <w:keepLines w:val="0"/>
              <w:widowControl/>
              <w:suppressLineNumbers w:val="0"/>
              <w:ind w:firstLine="440" w:firstLineChars="20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100.00%</w:t>
            </w:r>
          </w:p>
        </w:tc>
      </w:tr>
      <w:tr w14:paraId="1A44155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1274CF07">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合计</w:t>
            </w:r>
          </w:p>
        </w:tc>
        <w:tc>
          <w:tcPr>
            <w:tcW w:w="1678" w:type="dxa"/>
            <w:shd w:val="clear" w:color="auto" w:fill="BDD6EE"/>
            <w:vAlign w:val="center"/>
          </w:tcPr>
          <w:p w14:paraId="14361347">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100</w:t>
            </w:r>
          </w:p>
        </w:tc>
        <w:tc>
          <w:tcPr>
            <w:tcW w:w="1560" w:type="dxa"/>
            <w:shd w:val="clear" w:color="auto" w:fill="BDD6EE"/>
            <w:vAlign w:val="center"/>
          </w:tcPr>
          <w:p w14:paraId="0C73A1D0">
            <w:pPr>
              <w:widowControl/>
              <w:ind w:firstLine="0" w:firstLineChars="0"/>
              <w:jc w:val="center"/>
              <w:textAlignment w:val="center"/>
              <w:rPr>
                <w:rFonts w:hint="default" w:ascii="宋体" w:hAnsi="宋体" w:eastAsia="宋体" w:cs="宋体"/>
                <w:b/>
                <w:bCs/>
                <w:color w:val="000000"/>
                <w:kern w:val="0"/>
                <w:sz w:val="22"/>
                <w:lang w:val="en-US" w:bidi="ar"/>
              </w:rPr>
            </w:pPr>
            <w:r>
              <w:rPr>
                <w:rFonts w:hint="eastAsia" w:ascii="宋体" w:hAnsi="宋体" w:eastAsia="宋体" w:cs="宋体"/>
                <w:b/>
                <w:bCs/>
                <w:color w:val="000000"/>
                <w:kern w:val="0"/>
                <w:sz w:val="22"/>
                <w:lang w:val="en-US" w:eastAsia="zh-CN" w:bidi="ar"/>
              </w:rPr>
              <w:t>95.26</w:t>
            </w:r>
          </w:p>
        </w:tc>
        <w:tc>
          <w:tcPr>
            <w:tcW w:w="2268" w:type="dxa"/>
            <w:shd w:val="clear" w:color="auto" w:fill="BDD6EE"/>
            <w:vAlign w:val="center"/>
          </w:tcPr>
          <w:p w14:paraId="35AAF59E">
            <w:pPr>
              <w:widowControl/>
              <w:ind w:firstLine="0" w:firstLineChars="0"/>
              <w:jc w:val="center"/>
              <w:textAlignment w:val="center"/>
              <w:rPr>
                <w:rFonts w:hint="eastAsia" w:ascii="宋体" w:hAnsi="宋体" w:eastAsia="宋体" w:cs="宋体"/>
                <w:b/>
                <w:bCs/>
                <w:color w:val="000000"/>
                <w:kern w:val="0"/>
                <w:sz w:val="22"/>
                <w:lang w:bidi="ar"/>
              </w:rPr>
            </w:pPr>
            <w:r>
              <w:rPr>
                <w:rFonts w:hint="eastAsia" w:ascii="宋体" w:hAnsi="宋体" w:eastAsia="宋体" w:cs="宋体"/>
                <w:b/>
                <w:bCs/>
                <w:color w:val="000000"/>
                <w:kern w:val="0"/>
                <w:sz w:val="22"/>
                <w:lang w:val="en-US" w:eastAsia="zh-CN" w:bidi="ar"/>
              </w:rPr>
              <w:t>95.26</w:t>
            </w:r>
            <w:r>
              <w:rPr>
                <w:rFonts w:hint="eastAsia" w:ascii="宋体" w:hAnsi="宋体" w:eastAsia="宋体" w:cs="宋体"/>
                <w:b/>
                <w:bCs/>
                <w:color w:val="000000"/>
                <w:kern w:val="0"/>
                <w:sz w:val="22"/>
                <w:lang w:bidi="ar"/>
              </w:rPr>
              <w:t>%</w:t>
            </w:r>
          </w:p>
        </w:tc>
      </w:tr>
    </w:tbl>
    <w:p w14:paraId="6262FABF">
      <w:pPr>
        <w:pageBreakBefore w:val="0"/>
        <w:kinsoku/>
        <w:wordWrap/>
        <w:overflowPunct/>
        <w:topLinePunct w:val="0"/>
        <w:autoSpaceDE/>
        <w:autoSpaceDN/>
        <w:bidi w:val="0"/>
        <w:adjustRightInd/>
        <w:snapToGrid/>
        <w:ind w:left="0" w:leftChars="0" w:firstLine="560" w:firstLineChars="200"/>
        <w:textAlignment w:val="auto"/>
        <w:outlineLvl w:val="9"/>
        <w:rPr>
          <w:rFonts w:hint="eastAsia" w:eastAsia="仿宋_GB2312"/>
          <w:b/>
          <w:bCs/>
          <w:lang w:eastAsia="zh-CN"/>
        </w:rPr>
      </w:pPr>
      <w:r>
        <w:rPr>
          <w:rFonts w:hint="eastAsia"/>
          <w:highlight w:val="none"/>
          <w:lang w:val="en-US" w:eastAsia="zh-CN"/>
        </w:rPr>
        <w:t>2023年主要工作成果及总体绩效目标完成情况</w:t>
      </w:r>
    </w:p>
    <w:p w14:paraId="799BB77F">
      <w:pPr>
        <w:keepNext w:val="0"/>
        <w:keepLines w:val="0"/>
        <w:pageBreakBefore w:val="0"/>
        <w:widowControl/>
        <w:numPr>
          <w:ilvl w:val="0"/>
          <w:numId w:val="0"/>
        </w:numPr>
        <w:suppressLineNumbers w:val="0"/>
        <w:kinsoku/>
        <w:wordWrap/>
        <w:overflowPunct/>
        <w:topLinePunct w:val="0"/>
        <w:autoSpaceDE/>
        <w:autoSpaceDN/>
        <w:bidi w:val="0"/>
        <w:adjustRightInd/>
        <w:snapToGrid/>
        <w:ind w:firstLine="562" w:firstLineChars="200"/>
        <w:jc w:val="both"/>
        <w:textAlignment w:val="auto"/>
        <w:outlineLvl w:val="9"/>
        <w:rPr>
          <w:rFonts w:hint="default"/>
          <w:b/>
          <w:bCs/>
          <w:lang w:val="en-US" w:eastAsia="zh-CN"/>
        </w:rPr>
      </w:pPr>
      <w:r>
        <w:rPr>
          <w:rFonts w:hint="eastAsia"/>
          <w:b/>
          <w:bCs/>
          <w:lang w:val="en-US" w:eastAsia="zh-CN"/>
        </w:rPr>
        <w:t>1.总体绩效目标</w:t>
      </w:r>
    </w:p>
    <w:p w14:paraId="2534B18D">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both"/>
        <w:textAlignment w:val="auto"/>
        <w:outlineLvl w:val="9"/>
        <w:rPr>
          <w:rFonts w:hint="eastAsia"/>
          <w:b w:val="0"/>
          <w:bCs w:val="0"/>
          <w:lang w:eastAsia="zh-CN"/>
        </w:rPr>
      </w:pPr>
      <w:r>
        <w:rPr>
          <w:rFonts w:hint="eastAsia"/>
          <w:b w:val="0"/>
          <w:bCs w:val="0"/>
          <w:lang w:eastAsia="zh-CN"/>
        </w:rPr>
        <w:t>（</w:t>
      </w:r>
      <w:r>
        <w:rPr>
          <w:rFonts w:hint="eastAsia"/>
          <w:b w:val="0"/>
          <w:bCs w:val="0"/>
          <w:lang w:val="en-US" w:eastAsia="zh-CN"/>
        </w:rPr>
        <w:t>1</w:t>
      </w:r>
      <w:r>
        <w:rPr>
          <w:rFonts w:hint="eastAsia"/>
          <w:b w:val="0"/>
          <w:bCs w:val="0"/>
          <w:lang w:eastAsia="zh-CN"/>
        </w:rPr>
        <w:t>）提高审判办案质效，使案件结案率达到</w:t>
      </w:r>
      <w:r>
        <w:rPr>
          <w:rFonts w:hint="eastAsia"/>
          <w:b w:val="0"/>
          <w:bCs w:val="0"/>
          <w:lang w:val="en-US" w:eastAsia="zh-CN"/>
        </w:rPr>
        <w:t>90以上</w:t>
      </w:r>
      <w:r>
        <w:rPr>
          <w:rFonts w:hint="eastAsia"/>
          <w:b w:val="0"/>
          <w:bCs w:val="0"/>
          <w:lang w:eastAsia="zh-CN"/>
        </w:rPr>
        <w:t>。</w:t>
      </w:r>
    </w:p>
    <w:p w14:paraId="1451D274">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b w:val="0"/>
          <w:bCs w:val="0"/>
          <w:lang w:val="en-US" w:eastAsia="zh-CN"/>
        </w:rPr>
      </w:pPr>
      <w:r>
        <w:rPr>
          <w:rFonts w:hint="eastAsia"/>
          <w:b w:val="0"/>
          <w:bCs w:val="0"/>
          <w:lang w:eastAsia="zh-CN"/>
        </w:rPr>
        <w:t>（</w:t>
      </w:r>
      <w:r>
        <w:rPr>
          <w:rFonts w:hint="eastAsia"/>
          <w:b w:val="0"/>
          <w:bCs w:val="0"/>
          <w:lang w:val="en-US" w:eastAsia="zh-CN"/>
        </w:rPr>
        <w:t>2</w:t>
      </w:r>
      <w:r>
        <w:rPr>
          <w:rFonts w:hint="eastAsia"/>
          <w:b w:val="0"/>
          <w:bCs w:val="0"/>
          <w:lang w:eastAsia="zh-CN"/>
        </w:rPr>
        <w:t>）加强队伍素质能力建设，本年度计划开展相关业务培训活动，进一步提高干警业务能力，确保我院工作人员技能水平的提升。</w:t>
      </w:r>
    </w:p>
    <w:p w14:paraId="2673AD55">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theme="minorBidi"/>
          <w:b w:val="0"/>
          <w:bCs w:val="0"/>
          <w:kern w:val="2"/>
          <w:sz w:val="28"/>
          <w:szCs w:val="22"/>
          <w:lang w:val="en-US" w:eastAsia="zh-CN" w:bidi="ar-SA"/>
        </w:rPr>
      </w:pPr>
      <w:r>
        <w:rPr>
          <w:rFonts w:hint="eastAsia" w:cstheme="minorBidi"/>
          <w:b w:val="0"/>
          <w:bCs w:val="0"/>
          <w:kern w:val="2"/>
          <w:sz w:val="28"/>
          <w:szCs w:val="22"/>
          <w:lang w:val="en-US" w:eastAsia="zh-CN" w:bidi="ar-SA"/>
        </w:rPr>
        <w:t>（3）</w:t>
      </w:r>
      <w:r>
        <w:rPr>
          <w:rFonts w:hint="eastAsia" w:ascii="仿宋_GB2312" w:hAnsi="仿宋_GB2312" w:eastAsia="仿宋_GB2312" w:cstheme="minorBidi"/>
          <w:b w:val="0"/>
          <w:bCs w:val="0"/>
          <w:kern w:val="2"/>
          <w:sz w:val="28"/>
          <w:szCs w:val="22"/>
          <w:lang w:val="en-US" w:eastAsia="zh-CN" w:bidi="ar-SA"/>
        </w:rPr>
        <w:t>保障我院装备购买等活动支出，保障法院日常运转，履行相关职能。</w:t>
      </w:r>
    </w:p>
    <w:p w14:paraId="0D1E210A">
      <w:pPr>
        <w:pageBreakBefore w:val="0"/>
        <w:kinsoku/>
        <w:wordWrap/>
        <w:overflowPunct/>
        <w:topLinePunct w:val="0"/>
        <w:autoSpaceDE/>
        <w:autoSpaceDN/>
        <w:bidi w:val="0"/>
        <w:adjustRightInd/>
        <w:snapToGrid/>
        <w:ind w:firstLine="562"/>
        <w:textAlignment w:val="auto"/>
        <w:outlineLvl w:val="9"/>
        <w:rPr>
          <w:rFonts w:hint="eastAsia"/>
          <w:b/>
          <w:bCs/>
        </w:rPr>
      </w:pPr>
      <w:r>
        <w:rPr>
          <w:rFonts w:hint="eastAsia"/>
          <w:b/>
          <w:bCs/>
          <w:lang w:val="en-US" w:eastAsia="zh-CN"/>
        </w:rPr>
        <w:t>2.</w:t>
      </w:r>
      <w:r>
        <w:rPr>
          <w:rFonts w:hint="eastAsia"/>
          <w:b/>
          <w:bCs/>
        </w:rPr>
        <w:t>实际完成情况</w:t>
      </w:r>
    </w:p>
    <w:p w14:paraId="44D73CE4">
      <w:pPr>
        <w:keepNext w:val="0"/>
        <w:keepLines w:val="0"/>
        <w:pageBreakBefore w:val="0"/>
        <w:widowControl w:val="0"/>
        <w:kinsoku/>
        <w:wordWrap/>
        <w:overflowPunct/>
        <w:topLinePunct w:val="0"/>
        <w:autoSpaceDE/>
        <w:autoSpaceDN/>
        <w:bidi w:val="0"/>
        <w:adjustRightInd/>
        <w:snapToGrid/>
        <w:ind w:left="0" w:leftChars="0" w:firstLine="562"/>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）我院本年度受理案件工作、审理执行案件工作、审判民商事案件工作、审判刑事案件案件、审判行政案件工作均已完成，有效保障了审判服务。</w:t>
      </w:r>
      <w:r>
        <w:rPr>
          <w:rFonts w:hint="eastAsia"/>
          <w:lang w:val="en-US" w:eastAsia="zh-CN"/>
        </w:rPr>
        <w:t>结案率达到95.61%。</w:t>
      </w:r>
    </w:p>
    <w:p w14:paraId="1E5AC0B2">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lang w:eastAsia="zh-CN"/>
        </w:rPr>
      </w:pPr>
      <w:r>
        <w:rPr>
          <w:rFonts w:hint="eastAsia"/>
          <w:lang w:eastAsia="zh-CN"/>
        </w:rPr>
        <w:t>（</w:t>
      </w:r>
      <w:r>
        <w:rPr>
          <w:rFonts w:hint="eastAsia"/>
          <w:lang w:val="en-US" w:eastAsia="zh-CN"/>
        </w:rPr>
        <w:t>2</w:t>
      </w:r>
      <w:r>
        <w:rPr>
          <w:rFonts w:hint="eastAsia"/>
          <w:lang w:eastAsia="zh-CN"/>
        </w:rPr>
        <w:t>）我院抓实教育培训，切实提升司法能力，加强能力建设，实施能力提升系列工程，培育复合型司法人才。</w:t>
      </w:r>
    </w:p>
    <w:p w14:paraId="00B79624">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eastAsia="仿宋_GB2312"/>
          <w:lang w:eastAsia="zh-CN"/>
        </w:rPr>
      </w:pPr>
      <w:r>
        <w:rPr>
          <w:rFonts w:hint="eastAsia"/>
          <w:lang w:eastAsia="zh-CN"/>
        </w:rPr>
        <w:t>（</w:t>
      </w:r>
      <w:r>
        <w:rPr>
          <w:rFonts w:hint="eastAsia"/>
          <w:lang w:val="en-US" w:eastAsia="zh-CN"/>
        </w:rPr>
        <w:t>3</w:t>
      </w:r>
      <w:r>
        <w:rPr>
          <w:rFonts w:hint="eastAsia"/>
          <w:lang w:eastAsia="zh-CN"/>
        </w:rPr>
        <w:t>）完成装备购置工作，采购装备403套。</w:t>
      </w:r>
    </w:p>
    <w:p w14:paraId="49D013D2">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5" w:name="_Toc7799"/>
      <w:bookmarkStart w:id="46" w:name="_Toc15872"/>
      <w:bookmarkStart w:id="47" w:name="_Toc18553"/>
      <w:bookmarkStart w:id="48" w:name="_Toc17819"/>
      <w:r>
        <w:rPr>
          <w:rFonts w:hint="eastAsia"/>
        </w:rPr>
        <w:t>（三）各项指标完成情况分析</w:t>
      </w:r>
      <w:bookmarkEnd w:id="45"/>
      <w:bookmarkEnd w:id="46"/>
      <w:bookmarkEnd w:id="47"/>
      <w:bookmarkEnd w:id="48"/>
    </w:p>
    <w:p w14:paraId="3E3E822F">
      <w:pPr>
        <w:pStyle w:val="4"/>
        <w:keepNext/>
        <w:keepLines/>
        <w:pageBreakBefore w:val="0"/>
        <w:widowControl w:val="0"/>
        <w:kinsoku/>
        <w:wordWrap/>
        <w:overflowPunct/>
        <w:topLinePunct w:val="0"/>
        <w:autoSpaceDE/>
        <w:autoSpaceDN/>
        <w:bidi w:val="0"/>
        <w:adjustRightInd/>
        <w:snapToGrid/>
        <w:ind w:firstLine="562"/>
        <w:textAlignment w:val="auto"/>
        <w:rPr>
          <w:rFonts w:hint="default" w:eastAsia="仿宋_GB2312"/>
          <w:lang w:val="en-US" w:eastAsia="zh-CN"/>
        </w:rPr>
      </w:pPr>
      <w:r>
        <w:t>1</w:t>
      </w:r>
      <w:r>
        <w:rPr>
          <w:rFonts w:hint="eastAsia"/>
          <w:lang w:eastAsia="zh-CN"/>
        </w:rPr>
        <w:t>.</w:t>
      </w:r>
      <w:r>
        <w:rPr>
          <w:rFonts w:hint="eastAsia"/>
          <w:lang w:val="en-US" w:eastAsia="zh-CN"/>
        </w:rPr>
        <w:t>部门整体支出</w:t>
      </w:r>
      <w:r>
        <w:t>预算执行率</w:t>
      </w:r>
      <w:r>
        <w:rPr>
          <w:rFonts w:hint="eastAsia"/>
          <w:lang w:val="en-US" w:eastAsia="zh-CN"/>
        </w:rPr>
        <w:t>完成情况分析</w:t>
      </w:r>
    </w:p>
    <w:p w14:paraId="2A6139DB">
      <w:pPr>
        <w:bidi w:val="0"/>
        <w:rPr>
          <w:rFonts w:hint="eastAsia"/>
        </w:rPr>
      </w:pPr>
      <w:r>
        <w:rPr>
          <w:rFonts w:hint="eastAsia"/>
          <w:lang w:eastAsia="zh-CN"/>
        </w:rPr>
        <w:t>根据《张掖市中级人民法院</w:t>
      </w:r>
      <w:r>
        <w:rPr>
          <w:rFonts w:hint="eastAsia"/>
          <w:lang w:val="en-US" w:eastAsia="zh-CN"/>
        </w:rPr>
        <w:t>2023年度决算报表</w:t>
      </w:r>
      <w:r>
        <w:rPr>
          <w:rFonts w:hint="eastAsia"/>
          <w:lang w:eastAsia="zh-CN"/>
        </w:rPr>
        <w:t>》及相关资料，</w:t>
      </w:r>
      <w:r>
        <w:rPr>
          <w:rFonts w:hint="eastAsia"/>
        </w:rPr>
        <w:t>我院</w:t>
      </w:r>
      <w:r>
        <w:rPr>
          <w:rFonts w:hint="eastAsia"/>
          <w:lang w:eastAsia="zh-CN"/>
        </w:rPr>
        <w:t>2023年</w:t>
      </w:r>
      <w:r>
        <w:rPr>
          <w:rFonts w:hint="eastAsia"/>
          <w:lang w:val="en-US" w:eastAsia="zh-CN"/>
        </w:rPr>
        <w:t>年初预算2932.04万元</w:t>
      </w:r>
      <w:r>
        <w:rPr>
          <w:rFonts w:hint="eastAsia"/>
          <w:lang w:eastAsia="zh-CN"/>
        </w:rPr>
        <w:t>，</w:t>
      </w:r>
      <w:r>
        <w:rPr>
          <w:rFonts w:hint="eastAsia"/>
        </w:rPr>
        <w:t>全年预算</w:t>
      </w:r>
      <w:r>
        <w:rPr>
          <w:rFonts w:hint="eastAsia"/>
          <w:lang w:eastAsia="zh-CN"/>
        </w:rPr>
        <w:t>数</w:t>
      </w:r>
      <w:r>
        <w:rPr>
          <w:rFonts w:hint="eastAsia"/>
          <w:lang w:val="en-US" w:eastAsia="zh-CN"/>
        </w:rPr>
        <w:t>4285.23万元，实际支出数3690.64万元，</w:t>
      </w:r>
      <w:r>
        <w:rPr>
          <w:rFonts w:hint="eastAsia"/>
        </w:rPr>
        <w:t>部门整体支出预算执行率为</w:t>
      </w:r>
      <w:r>
        <w:rPr>
          <w:rFonts w:hint="eastAsia"/>
          <w:lang w:val="en-US" w:eastAsia="zh-CN"/>
        </w:rPr>
        <w:t>86.12%。</w:t>
      </w:r>
      <w:r>
        <w:rPr>
          <w:rFonts w:hint="eastAsia"/>
        </w:rPr>
        <w:t>该指标分值10分，自评得分为</w:t>
      </w:r>
      <w:r>
        <w:rPr>
          <w:rFonts w:hint="eastAsia"/>
          <w:lang w:val="en-US" w:eastAsia="zh-CN"/>
        </w:rPr>
        <w:t>8.61</w:t>
      </w:r>
      <w:r>
        <w:rPr>
          <w:rFonts w:hint="eastAsia"/>
        </w:rPr>
        <w:t>分，得分率为</w:t>
      </w:r>
      <w:r>
        <w:rPr>
          <w:rFonts w:hint="eastAsia"/>
          <w:lang w:val="en-US" w:eastAsia="zh-CN"/>
        </w:rPr>
        <w:t>86.12%</w:t>
      </w:r>
      <w:r>
        <w:rPr>
          <w:rFonts w:hint="eastAsia"/>
        </w:rPr>
        <w:t>。</w:t>
      </w:r>
    </w:p>
    <w:p w14:paraId="33B000AA">
      <w:pPr>
        <w:pStyle w:val="4"/>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r>
        <w:t>2</w:t>
      </w:r>
      <w:r>
        <w:rPr>
          <w:rFonts w:hint="eastAsia"/>
          <w:lang w:eastAsia="zh-CN"/>
        </w:rPr>
        <w:t>.</w:t>
      </w:r>
      <w:r>
        <w:t>部门管理</w:t>
      </w:r>
      <w:r>
        <w:rPr>
          <w:rFonts w:hint="eastAsia"/>
          <w:lang w:val="en-US" w:eastAsia="zh-CN"/>
        </w:rPr>
        <w:t>目标完成情况分析</w:t>
      </w:r>
    </w:p>
    <w:p w14:paraId="216F4E16">
      <w:pPr>
        <w:rPr>
          <w:rFonts w:hint="eastAsia"/>
          <w:lang w:val="en-US" w:eastAsia="zh-CN"/>
        </w:rPr>
      </w:pPr>
      <w:r>
        <w:rPr>
          <w:rFonts w:hint="eastAsia"/>
          <w:highlight w:val="none"/>
        </w:rPr>
        <w:t>部门管理指标包括资金投入、财务管理、采购管理、资产管理、人员管理、重点工作管理六个二级指标，下设10个三级指标。指标分值2</w:t>
      </w:r>
      <w:r>
        <w:rPr>
          <w:rFonts w:hint="eastAsia"/>
          <w:highlight w:val="none"/>
          <w:lang w:val="en-US" w:eastAsia="zh-CN"/>
        </w:rPr>
        <w:t>0</w:t>
      </w:r>
      <w:r>
        <w:rPr>
          <w:rFonts w:hint="eastAsia"/>
          <w:highlight w:val="none"/>
        </w:rPr>
        <w:t>分，自评</w:t>
      </w:r>
      <w:r>
        <w:rPr>
          <w:highlight w:val="none"/>
        </w:rPr>
        <w:t>得</w:t>
      </w:r>
      <w:r>
        <w:rPr>
          <w:rFonts w:hint="eastAsia"/>
          <w:highlight w:val="none"/>
        </w:rPr>
        <w:t>分</w:t>
      </w:r>
      <w:r>
        <w:rPr>
          <w:rFonts w:hint="eastAsia"/>
          <w:highlight w:val="none"/>
          <w:lang w:val="en-US" w:eastAsia="zh-CN"/>
        </w:rPr>
        <w:t>17.35</w:t>
      </w:r>
      <w:r>
        <w:rPr>
          <w:rFonts w:hint="eastAsia"/>
          <w:highlight w:val="none"/>
        </w:rPr>
        <w:t>分，得分率</w:t>
      </w:r>
      <w:r>
        <w:rPr>
          <w:rFonts w:hint="eastAsia"/>
          <w:highlight w:val="none"/>
          <w:lang w:val="en-US" w:eastAsia="zh-CN"/>
        </w:rPr>
        <w:t>86.75</w:t>
      </w:r>
      <w:r>
        <w:rPr>
          <w:rFonts w:hint="eastAsia"/>
          <w:highlight w:val="none"/>
        </w:rPr>
        <w:t>%。</w:t>
      </w:r>
      <w:r>
        <w:rPr>
          <w:rFonts w:hint="eastAsia"/>
          <w:lang w:val="en-US" w:eastAsia="zh-CN"/>
        </w:rPr>
        <w:t>具体如下表：</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2762"/>
        <w:gridCol w:w="1358"/>
        <w:gridCol w:w="1155"/>
        <w:gridCol w:w="682"/>
        <w:gridCol w:w="793"/>
        <w:gridCol w:w="1071"/>
      </w:tblGrid>
      <w:tr w14:paraId="5DF012B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21F9822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2762" w:type="dxa"/>
            <w:shd w:val="clear" w:color="auto" w:fill="BDD6EE"/>
            <w:vAlign w:val="center"/>
          </w:tcPr>
          <w:p w14:paraId="36BCCBB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358" w:type="dxa"/>
            <w:shd w:val="clear" w:color="auto" w:fill="BDD6EE"/>
            <w:vAlign w:val="center"/>
          </w:tcPr>
          <w:p w14:paraId="3E8AC1E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155" w:type="dxa"/>
            <w:shd w:val="clear" w:color="auto" w:fill="BDD6EE"/>
            <w:vAlign w:val="center"/>
          </w:tcPr>
          <w:p w14:paraId="1B4EE29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682" w:type="dxa"/>
            <w:shd w:val="clear" w:color="auto" w:fill="BDD6EE"/>
            <w:vAlign w:val="center"/>
          </w:tcPr>
          <w:p w14:paraId="05721D9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793" w:type="dxa"/>
            <w:shd w:val="clear" w:color="auto" w:fill="BDD6EE"/>
            <w:vAlign w:val="center"/>
          </w:tcPr>
          <w:p w14:paraId="485DAEB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0BBF2BC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4433C08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48D061F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资金投入</w:t>
            </w:r>
          </w:p>
        </w:tc>
        <w:tc>
          <w:tcPr>
            <w:tcW w:w="2762" w:type="dxa"/>
            <w:vAlign w:val="center"/>
          </w:tcPr>
          <w:p w14:paraId="267C4D1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基本支出预算执行率</w:t>
            </w:r>
          </w:p>
        </w:tc>
        <w:tc>
          <w:tcPr>
            <w:tcW w:w="1358" w:type="dxa"/>
            <w:vAlign w:val="center"/>
          </w:tcPr>
          <w:p w14:paraId="4974A96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155" w:type="dxa"/>
            <w:vAlign w:val="center"/>
          </w:tcPr>
          <w:p w14:paraId="29FDC71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88.90%</w:t>
            </w:r>
          </w:p>
        </w:tc>
        <w:tc>
          <w:tcPr>
            <w:tcW w:w="682" w:type="dxa"/>
            <w:vAlign w:val="center"/>
          </w:tcPr>
          <w:p w14:paraId="25DD35BA">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793" w:type="dxa"/>
            <w:vAlign w:val="center"/>
          </w:tcPr>
          <w:p w14:paraId="43545D2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 xml:space="preserve">1.78 </w:t>
            </w:r>
          </w:p>
        </w:tc>
        <w:tc>
          <w:tcPr>
            <w:tcW w:w="1071" w:type="dxa"/>
            <w:vAlign w:val="center"/>
          </w:tcPr>
          <w:p w14:paraId="4961B0F8">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88.90%</w:t>
            </w:r>
          </w:p>
        </w:tc>
      </w:tr>
      <w:tr w14:paraId="3FEA594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34A21507">
            <w:pPr>
              <w:jc w:val="center"/>
              <w:rPr>
                <w:rFonts w:hint="eastAsia" w:ascii="宋体" w:hAnsi="宋体" w:eastAsia="宋体" w:cs="宋体"/>
                <w:i w:val="0"/>
                <w:iCs w:val="0"/>
                <w:color w:val="000000"/>
                <w:kern w:val="0"/>
                <w:sz w:val="24"/>
                <w:szCs w:val="24"/>
                <w:u w:val="none"/>
                <w:lang w:val="en-US" w:eastAsia="zh-CN" w:bidi="ar"/>
              </w:rPr>
            </w:pPr>
          </w:p>
        </w:tc>
        <w:tc>
          <w:tcPr>
            <w:tcW w:w="2762" w:type="dxa"/>
            <w:vAlign w:val="center"/>
          </w:tcPr>
          <w:p w14:paraId="5E91B54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项目支出预算执行率</w:t>
            </w:r>
          </w:p>
        </w:tc>
        <w:tc>
          <w:tcPr>
            <w:tcW w:w="1358" w:type="dxa"/>
            <w:vAlign w:val="center"/>
          </w:tcPr>
          <w:p w14:paraId="42FF5C0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155" w:type="dxa"/>
            <w:vAlign w:val="center"/>
          </w:tcPr>
          <w:p w14:paraId="64851A7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78.59%</w:t>
            </w:r>
          </w:p>
        </w:tc>
        <w:tc>
          <w:tcPr>
            <w:tcW w:w="682" w:type="dxa"/>
            <w:vAlign w:val="center"/>
          </w:tcPr>
          <w:p w14:paraId="7A16F0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793" w:type="dxa"/>
            <w:vAlign w:val="center"/>
          </w:tcPr>
          <w:p w14:paraId="5785831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 xml:space="preserve">1.57 </w:t>
            </w:r>
          </w:p>
        </w:tc>
        <w:tc>
          <w:tcPr>
            <w:tcW w:w="1071" w:type="dxa"/>
            <w:vAlign w:val="center"/>
          </w:tcPr>
          <w:p w14:paraId="2909799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78.59%</w:t>
            </w:r>
          </w:p>
        </w:tc>
      </w:tr>
      <w:tr w14:paraId="228DA85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58523D78">
            <w:pPr>
              <w:jc w:val="center"/>
              <w:rPr>
                <w:rFonts w:hint="eastAsia" w:ascii="宋体" w:hAnsi="宋体" w:eastAsia="宋体" w:cs="宋体"/>
                <w:i w:val="0"/>
                <w:iCs w:val="0"/>
                <w:color w:val="000000"/>
                <w:kern w:val="0"/>
                <w:sz w:val="24"/>
                <w:szCs w:val="24"/>
                <w:u w:val="none"/>
                <w:lang w:val="en-US" w:eastAsia="zh-CN" w:bidi="ar"/>
              </w:rPr>
            </w:pPr>
          </w:p>
        </w:tc>
        <w:tc>
          <w:tcPr>
            <w:tcW w:w="2762" w:type="dxa"/>
            <w:vAlign w:val="center"/>
          </w:tcPr>
          <w:p w14:paraId="6C520D8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“三公经费”控制率</w:t>
            </w:r>
          </w:p>
        </w:tc>
        <w:tc>
          <w:tcPr>
            <w:tcW w:w="1358" w:type="dxa"/>
            <w:vAlign w:val="center"/>
          </w:tcPr>
          <w:p w14:paraId="536C97F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155" w:type="dxa"/>
            <w:vAlign w:val="center"/>
          </w:tcPr>
          <w:p w14:paraId="7D5BD53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74.23%</w:t>
            </w:r>
          </w:p>
        </w:tc>
        <w:tc>
          <w:tcPr>
            <w:tcW w:w="682" w:type="dxa"/>
            <w:vAlign w:val="center"/>
          </w:tcPr>
          <w:p w14:paraId="0CA4B3B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793" w:type="dxa"/>
            <w:vAlign w:val="center"/>
          </w:tcPr>
          <w:p w14:paraId="6DAF2BA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0FFB0E3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9A1BEB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7DE2EA8D">
            <w:pPr>
              <w:jc w:val="center"/>
              <w:rPr>
                <w:rFonts w:hint="eastAsia" w:ascii="宋体" w:hAnsi="宋体" w:eastAsia="宋体" w:cs="宋体"/>
                <w:i w:val="0"/>
                <w:iCs w:val="0"/>
                <w:color w:val="000000"/>
                <w:kern w:val="0"/>
                <w:sz w:val="24"/>
                <w:szCs w:val="24"/>
                <w:u w:val="none"/>
                <w:lang w:val="en-US" w:eastAsia="zh-CN" w:bidi="ar"/>
              </w:rPr>
            </w:pPr>
          </w:p>
        </w:tc>
        <w:tc>
          <w:tcPr>
            <w:tcW w:w="2762" w:type="dxa"/>
            <w:vAlign w:val="center"/>
          </w:tcPr>
          <w:p w14:paraId="5D1BA4B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结转结余变动率</w:t>
            </w:r>
          </w:p>
        </w:tc>
        <w:tc>
          <w:tcPr>
            <w:tcW w:w="1358" w:type="dxa"/>
            <w:vAlign w:val="center"/>
          </w:tcPr>
          <w:p w14:paraId="5C8D755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1155" w:type="dxa"/>
            <w:vAlign w:val="center"/>
          </w:tcPr>
          <w:p w14:paraId="658FB45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54.16%</w:t>
            </w:r>
          </w:p>
        </w:tc>
        <w:tc>
          <w:tcPr>
            <w:tcW w:w="682" w:type="dxa"/>
            <w:vAlign w:val="center"/>
          </w:tcPr>
          <w:p w14:paraId="14947DF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793" w:type="dxa"/>
            <w:vAlign w:val="center"/>
          </w:tcPr>
          <w:p w14:paraId="46891819">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1071" w:type="dxa"/>
            <w:vAlign w:val="center"/>
          </w:tcPr>
          <w:p w14:paraId="6D71C82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r>
      <w:tr w14:paraId="7D48606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6D790423">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333333"/>
                <w:kern w:val="0"/>
                <w:sz w:val="22"/>
                <w:szCs w:val="22"/>
                <w:u w:val="none"/>
                <w:lang w:val="en-US" w:eastAsia="zh-CN" w:bidi="ar"/>
              </w:rPr>
              <w:t>财务管理</w:t>
            </w:r>
          </w:p>
        </w:tc>
        <w:tc>
          <w:tcPr>
            <w:tcW w:w="2762" w:type="dxa"/>
            <w:vAlign w:val="center"/>
          </w:tcPr>
          <w:p w14:paraId="2B1C48A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财务管理制度健全性</w:t>
            </w:r>
          </w:p>
        </w:tc>
        <w:tc>
          <w:tcPr>
            <w:tcW w:w="1358" w:type="dxa"/>
            <w:vAlign w:val="center"/>
          </w:tcPr>
          <w:p w14:paraId="613C4D2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155" w:type="dxa"/>
            <w:vAlign w:val="center"/>
          </w:tcPr>
          <w:p w14:paraId="5C211DB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682" w:type="dxa"/>
            <w:vAlign w:val="center"/>
          </w:tcPr>
          <w:p w14:paraId="0A757F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793" w:type="dxa"/>
            <w:vAlign w:val="center"/>
          </w:tcPr>
          <w:p w14:paraId="25DBAC4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3867E531">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37C68E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45C90F83">
            <w:pPr>
              <w:jc w:val="center"/>
              <w:rPr>
                <w:rFonts w:hint="eastAsia" w:ascii="宋体" w:hAnsi="宋体" w:eastAsia="宋体" w:cs="宋体"/>
                <w:color w:val="000000"/>
                <w:kern w:val="0"/>
                <w:sz w:val="24"/>
                <w:szCs w:val="28"/>
                <w:highlight w:val="none"/>
                <w:lang w:val="en-US" w:eastAsia="zh-CN" w:bidi="ar-SA"/>
              </w:rPr>
            </w:pPr>
          </w:p>
        </w:tc>
        <w:tc>
          <w:tcPr>
            <w:tcW w:w="2762" w:type="dxa"/>
            <w:vAlign w:val="center"/>
          </w:tcPr>
          <w:p w14:paraId="1BB111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资金使用规范性</w:t>
            </w:r>
          </w:p>
        </w:tc>
        <w:tc>
          <w:tcPr>
            <w:tcW w:w="1358" w:type="dxa"/>
            <w:vAlign w:val="center"/>
          </w:tcPr>
          <w:p w14:paraId="7890E3B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155" w:type="dxa"/>
            <w:vAlign w:val="center"/>
          </w:tcPr>
          <w:p w14:paraId="742E356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682" w:type="dxa"/>
            <w:vAlign w:val="center"/>
          </w:tcPr>
          <w:p w14:paraId="583A672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793" w:type="dxa"/>
            <w:vAlign w:val="center"/>
          </w:tcPr>
          <w:p w14:paraId="4EED8CA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426C34F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50C2C56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0B72EF15">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333333"/>
                <w:kern w:val="0"/>
                <w:sz w:val="22"/>
                <w:szCs w:val="22"/>
                <w:u w:val="none"/>
                <w:lang w:val="en-US" w:eastAsia="zh-CN" w:bidi="ar"/>
              </w:rPr>
              <w:t>采购管理</w:t>
            </w:r>
          </w:p>
        </w:tc>
        <w:tc>
          <w:tcPr>
            <w:tcW w:w="2762" w:type="dxa"/>
            <w:vAlign w:val="center"/>
          </w:tcPr>
          <w:p w14:paraId="397A673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政府采购规范性</w:t>
            </w:r>
          </w:p>
        </w:tc>
        <w:tc>
          <w:tcPr>
            <w:tcW w:w="1358" w:type="dxa"/>
            <w:vAlign w:val="center"/>
          </w:tcPr>
          <w:p w14:paraId="4863465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155" w:type="dxa"/>
            <w:vAlign w:val="center"/>
          </w:tcPr>
          <w:p w14:paraId="76F8F4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682" w:type="dxa"/>
            <w:vAlign w:val="center"/>
          </w:tcPr>
          <w:p w14:paraId="3A22FA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793" w:type="dxa"/>
            <w:vAlign w:val="center"/>
          </w:tcPr>
          <w:p w14:paraId="16FC07E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50DC72AF">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4285146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7A6A93E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资产管理</w:t>
            </w:r>
          </w:p>
        </w:tc>
        <w:tc>
          <w:tcPr>
            <w:tcW w:w="2762" w:type="dxa"/>
            <w:vAlign w:val="center"/>
          </w:tcPr>
          <w:p w14:paraId="2D1A160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资产管理规范性</w:t>
            </w:r>
          </w:p>
        </w:tc>
        <w:tc>
          <w:tcPr>
            <w:tcW w:w="1358" w:type="dxa"/>
            <w:vAlign w:val="center"/>
          </w:tcPr>
          <w:p w14:paraId="7B9A119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155" w:type="dxa"/>
            <w:vAlign w:val="center"/>
          </w:tcPr>
          <w:p w14:paraId="1FD473B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682" w:type="dxa"/>
            <w:vAlign w:val="center"/>
          </w:tcPr>
          <w:p w14:paraId="0717108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793" w:type="dxa"/>
            <w:vAlign w:val="center"/>
          </w:tcPr>
          <w:p w14:paraId="41D59AF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6DD0E45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27E4DA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43" w:hRule="atLeast"/>
          <w:tblHeader/>
          <w:jc w:val="center"/>
        </w:trPr>
        <w:tc>
          <w:tcPr>
            <w:tcW w:w="1248" w:type="dxa"/>
            <w:vAlign w:val="center"/>
          </w:tcPr>
          <w:p w14:paraId="4F4D555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人员管理</w:t>
            </w:r>
          </w:p>
        </w:tc>
        <w:tc>
          <w:tcPr>
            <w:tcW w:w="2762" w:type="dxa"/>
            <w:vAlign w:val="center"/>
          </w:tcPr>
          <w:p w14:paraId="33A377A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在职人员控制率</w:t>
            </w:r>
          </w:p>
        </w:tc>
        <w:tc>
          <w:tcPr>
            <w:tcW w:w="1358" w:type="dxa"/>
            <w:vAlign w:val="center"/>
          </w:tcPr>
          <w:p w14:paraId="4766448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155" w:type="dxa"/>
            <w:vAlign w:val="center"/>
          </w:tcPr>
          <w:p w14:paraId="0718B2A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96.51%</w:t>
            </w:r>
          </w:p>
        </w:tc>
        <w:tc>
          <w:tcPr>
            <w:tcW w:w="682" w:type="dxa"/>
            <w:vAlign w:val="center"/>
          </w:tcPr>
          <w:p w14:paraId="5A114F9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793" w:type="dxa"/>
            <w:vAlign w:val="center"/>
          </w:tcPr>
          <w:p w14:paraId="7D80ABBD">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7719E9C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5BD2AFC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6A3AB33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重点工作管理</w:t>
            </w:r>
          </w:p>
        </w:tc>
        <w:tc>
          <w:tcPr>
            <w:tcW w:w="2762" w:type="dxa"/>
            <w:vAlign w:val="center"/>
          </w:tcPr>
          <w:p w14:paraId="1A0DBB3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重点工作管理制度健全性</w:t>
            </w:r>
          </w:p>
        </w:tc>
        <w:tc>
          <w:tcPr>
            <w:tcW w:w="1358" w:type="dxa"/>
            <w:vAlign w:val="center"/>
          </w:tcPr>
          <w:p w14:paraId="152EE7A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155" w:type="dxa"/>
            <w:vAlign w:val="center"/>
          </w:tcPr>
          <w:p w14:paraId="112075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682" w:type="dxa"/>
            <w:vAlign w:val="center"/>
          </w:tcPr>
          <w:p w14:paraId="25996C4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793" w:type="dxa"/>
            <w:vAlign w:val="center"/>
          </w:tcPr>
          <w:p w14:paraId="73A3CEB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39FD6A3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20EA3D7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582E930E">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762" w:type="dxa"/>
            <w:shd w:val="clear" w:color="auto" w:fill="BDD6EE"/>
            <w:vAlign w:val="center"/>
          </w:tcPr>
          <w:p w14:paraId="54EA3610">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358" w:type="dxa"/>
            <w:shd w:val="clear" w:color="auto" w:fill="BDD6EE"/>
            <w:vAlign w:val="center"/>
          </w:tcPr>
          <w:p w14:paraId="0CDD4AD0">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5" w:type="dxa"/>
            <w:shd w:val="clear" w:color="auto" w:fill="BDD6EE"/>
            <w:vAlign w:val="center"/>
          </w:tcPr>
          <w:p w14:paraId="0CF76758">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682" w:type="dxa"/>
            <w:shd w:val="clear" w:color="auto" w:fill="BDD6EE"/>
            <w:vAlign w:val="center"/>
          </w:tcPr>
          <w:p w14:paraId="369A213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793" w:type="dxa"/>
            <w:shd w:val="clear" w:color="auto" w:fill="BDD6EE"/>
            <w:vAlign w:val="center"/>
          </w:tcPr>
          <w:p w14:paraId="319D158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17.35</w:t>
            </w:r>
          </w:p>
        </w:tc>
        <w:tc>
          <w:tcPr>
            <w:tcW w:w="1071" w:type="dxa"/>
            <w:shd w:val="clear" w:color="auto" w:fill="BDD6EE"/>
            <w:vAlign w:val="center"/>
          </w:tcPr>
          <w:p w14:paraId="3F009C6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86.75%</w:t>
            </w:r>
          </w:p>
        </w:tc>
      </w:tr>
    </w:tbl>
    <w:p w14:paraId="20D50A8B">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基本支出预算执行率</w:t>
      </w:r>
      <w:r>
        <w:rPr>
          <w:rFonts w:hint="eastAsia" w:hAnsi="宋体"/>
          <w:b/>
          <w:bCs/>
          <w:szCs w:val="28"/>
          <w:highlight w:val="none"/>
          <w:lang w:eastAsia="zh-CN"/>
        </w:rPr>
        <w:t>：</w:t>
      </w:r>
      <w:r>
        <w:rPr>
          <w:rFonts w:hint="eastAsia" w:hAnsi="宋体"/>
          <w:szCs w:val="28"/>
          <w:highlight w:val="none"/>
          <w:lang w:eastAsia="zh-CN"/>
        </w:rPr>
        <w:t>2023年度</w:t>
      </w:r>
      <w:r>
        <w:rPr>
          <w:rFonts w:hint="eastAsia" w:hAnsi="宋体"/>
          <w:szCs w:val="28"/>
          <w:highlight w:val="none"/>
        </w:rPr>
        <w:t>我院基本支出全年预算</w:t>
      </w:r>
      <w:r>
        <w:rPr>
          <w:rFonts w:hint="eastAsia" w:hAnsi="宋体"/>
          <w:szCs w:val="28"/>
          <w:highlight w:val="none"/>
          <w:lang w:val="en-US" w:eastAsia="zh-CN"/>
        </w:rPr>
        <w:t>数3130.23万元，</w:t>
      </w:r>
      <w:r>
        <w:rPr>
          <w:rFonts w:hint="eastAsia" w:hAnsi="宋体"/>
          <w:szCs w:val="28"/>
          <w:highlight w:val="none"/>
        </w:rPr>
        <w:t>实际支出数</w:t>
      </w:r>
      <w:r>
        <w:rPr>
          <w:rFonts w:hint="eastAsia" w:hAnsi="宋体"/>
          <w:szCs w:val="28"/>
          <w:highlight w:val="none"/>
          <w:lang w:val="en-US" w:eastAsia="zh-CN"/>
        </w:rPr>
        <w:t>为2782.89</w:t>
      </w:r>
      <w:r>
        <w:rPr>
          <w:rFonts w:hint="eastAsia" w:hAnsi="宋体"/>
          <w:szCs w:val="28"/>
          <w:highlight w:val="none"/>
        </w:rPr>
        <w:t>万元，基本支出预算执行率为</w:t>
      </w:r>
      <w:r>
        <w:rPr>
          <w:rFonts w:hint="eastAsia" w:hAnsi="宋体"/>
          <w:szCs w:val="28"/>
          <w:highlight w:val="none"/>
          <w:lang w:val="en-US" w:eastAsia="zh-CN"/>
        </w:rPr>
        <w:t>88.9%</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1.78</w:t>
      </w:r>
      <w:r>
        <w:rPr>
          <w:rFonts w:hint="eastAsia" w:hAnsi="宋体"/>
          <w:szCs w:val="28"/>
          <w:highlight w:val="none"/>
        </w:rPr>
        <w:t>分，得分率为</w:t>
      </w:r>
      <w:r>
        <w:rPr>
          <w:rFonts w:hint="eastAsia" w:hAnsi="宋体"/>
          <w:szCs w:val="28"/>
          <w:highlight w:val="none"/>
          <w:lang w:val="en-US" w:eastAsia="zh-CN"/>
        </w:rPr>
        <w:t>88.9</w:t>
      </w:r>
      <w:r>
        <w:rPr>
          <w:rFonts w:hint="eastAsia" w:hAnsi="宋体"/>
          <w:szCs w:val="28"/>
          <w:highlight w:val="none"/>
          <w:lang w:eastAsia="zh-CN"/>
        </w:rPr>
        <w:t>%</w:t>
      </w:r>
      <w:r>
        <w:rPr>
          <w:rFonts w:hint="eastAsia" w:hAnsi="宋体"/>
          <w:szCs w:val="28"/>
          <w:highlight w:val="none"/>
        </w:rPr>
        <w:t>。</w:t>
      </w:r>
    </w:p>
    <w:p w14:paraId="2C07B897">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项目支出预算执行率：</w:t>
      </w:r>
      <w:r>
        <w:rPr>
          <w:rFonts w:hint="eastAsia" w:hAnsi="宋体"/>
          <w:szCs w:val="28"/>
          <w:highlight w:val="none"/>
          <w:lang w:eastAsia="zh-CN"/>
        </w:rPr>
        <w:t>2023年度</w:t>
      </w:r>
      <w:r>
        <w:rPr>
          <w:rFonts w:hint="eastAsia" w:hAnsi="宋体"/>
          <w:szCs w:val="28"/>
          <w:highlight w:val="none"/>
        </w:rPr>
        <w:t>我院基本支出全年预算</w:t>
      </w:r>
      <w:r>
        <w:rPr>
          <w:rFonts w:hint="eastAsia" w:hAnsi="宋体"/>
          <w:szCs w:val="28"/>
          <w:highlight w:val="none"/>
          <w:lang w:val="en-US" w:eastAsia="zh-CN"/>
        </w:rPr>
        <w:t>数1155万元，</w:t>
      </w:r>
      <w:r>
        <w:rPr>
          <w:rFonts w:hint="eastAsia" w:hAnsi="宋体"/>
          <w:szCs w:val="28"/>
          <w:highlight w:val="none"/>
        </w:rPr>
        <w:t>实际支出数</w:t>
      </w:r>
      <w:r>
        <w:rPr>
          <w:rFonts w:hint="eastAsia" w:hAnsi="宋体"/>
          <w:szCs w:val="28"/>
          <w:highlight w:val="none"/>
          <w:lang w:val="en-US" w:eastAsia="zh-CN"/>
        </w:rPr>
        <w:t>均为907.75</w:t>
      </w:r>
      <w:r>
        <w:rPr>
          <w:rFonts w:hint="eastAsia" w:hAnsi="宋体"/>
          <w:szCs w:val="28"/>
          <w:highlight w:val="none"/>
        </w:rPr>
        <w:t>万元，项目支出预算执行率为</w:t>
      </w:r>
      <w:r>
        <w:rPr>
          <w:rFonts w:hint="eastAsia" w:hAnsi="宋体"/>
          <w:szCs w:val="28"/>
          <w:highlight w:val="none"/>
          <w:lang w:val="en-US" w:eastAsia="zh-CN"/>
        </w:rPr>
        <w:t>78.59%</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1.57分，得</w:t>
      </w:r>
      <w:r>
        <w:rPr>
          <w:rFonts w:hint="eastAsia" w:hAnsi="宋体"/>
          <w:szCs w:val="28"/>
          <w:highlight w:val="none"/>
        </w:rPr>
        <w:t>分率为</w:t>
      </w:r>
      <w:r>
        <w:rPr>
          <w:rFonts w:hint="eastAsia" w:hAnsi="宋体"/>
          <w:szCs w:val="28"/>
          <w:highlight w:val="none"/>
          <w:lang w:val="en-US" w:eastAsia="zh-CN"/>
        </w:rPr>
        <w:t>78.59</w:t>
      </w:r>
      <w:r>
        <w:rPr>
          <w:rFonts w:hint="eastAsia" w:hAnsi="宋体"/>
          <w:szCs w:val="28"/>
          <w:highlight w:val="none"/>
        </w:rPr>
        <w:t>%。</w:t>
      </w:r>
    </w:p>
    <w:p w14:paraId="755CC324">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highlight w:val="none"/>
        </w:rPr>
      </w:pPr>
      <w:r>
        <w:rPr>
          <w:rFonts w:hint="eastAsia" w:hAnsi="宋体"/>
          <w:b/>
          <w:bCs/>
          <w:szCs w:val="28"/>
          <w:highlight w:val="none"/>
        </w:rPr>
        <w:t>“三公经费”控制率：</w:t>
      </w:r>
      <w:r>
        <w:rPr>
          <w:rFonts w:hint="eastAsia" w:hAnsi="宋体"/>
          <w:b w:val="0"/>
          <w:bCs w:val="0"/>
          <w:szCs w:val="28"/>
          <w:highlight w:val="none"/>
          <w:lang w:val="en-US" w:eastAsia="zh-CN"/>
        </w:rPr>
        <w:t>2023年</w:t>
      </w:r>
      <w:r>
        <w:rPr>
          <w:rFonts w:hint="eastAsia" w:hAnsi="宋体"/>
          <w:szCs w:val="28"/>
          <w:highlight w:val="none"/>
        </w:rPr>
        <w:t>“三公经费”</w:t>
      </w:r>
      <w:r>
        <w:rPr>
          <w:rFonts w:hint="eastAsia" w:hAnsi="宋体"/>
          <w:szCs w:val="28"/>
          <w:highlight w:val="none"/>
          <w:lang w:val="en-US" w:eastAsia="zh-CN"/>
        </w:rPr>
        <w:t>全年预算数49.72万元，实际支出数36.9万元，</w:t>
      </w:r>
      <w:r>
        <w:rPr>
          <w:rFonts w:hint="eastAsia" w:hAnsi="宋体"/>
          <w:szCs w:val="28"/>
          <w:highlight w:val="none"/>
        </w:rPr>
        <w:t>“三公经费”控制率为</w:t>
      </w:r>
      <w:r>
        <w:rPr>
          <w:rFonts w:hint="eastAsia" w:hAnsi="宋体"/>
          <w:szCs w:val="28"/>
          <w:highlight w:val="none"/>
          <w:lang w:val="en-US" w:eastAsia="zh-CN"/>
        </w:rPr>
        <w:t>74.23%</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w:t>
      </w:r>
      <w:r>
        <w:rPr>
          <w:rFonts w:hint="eastAsia" w:hAnsi="宋体"/>
          <w:szCs w:val="28"/>
          <w:highlight w:val="none"/>
          <w:lang w:eastAsia="zh-CN"/>
        </w:rPr>
        <w:t>100.00%</w:t>
      </w:r>
      <w:r>
        <w:rPr>
          <w:rFonts w:hint="eastAsia" w:hAnsi="宋体"/>
          <w:szCs w:val="28"/>
          <w:highlight w:val="none"/>
        </w:rPr>
        <w:t>。</w:t>
      </w:r>
    </w:p>
    <w:p w14:paraId="6BA05F59">
      <w:pPr>
        <w:keepNext w:val="0"/>
        <w:keepLines w:val="0"/>
        <w:pageBreakBefore w:val="0"/>
        <w:widowControl w:val="0"/>
        <w:kinsoku/>
        <w:wordWrap/>
        <w:overflowPunct/>
        <w:topLinePunct w:val="0"/>
        <w:autoSpaceDE/>
        <w:autoSpaceDN/>
        <w:bidi w:val="0"/>
        <w:adjustRightInd/>
        <w:snapToGrid/>
        <w:ind w:firstLine="562"/>
        <w:textAlignment w:val="auto"/>
      </w:pPr>
      <w:r>
        <w:rPr>
          <w:rFonts w:hint="eastAsia" w:hAnsi="宋体"/>
          <w:b/>
          <w:bCs/>
          <w:szCs w:val="28"/>
        </w:rPr>
        <w:t>结转结余变动率：</w:t>
      </w:r>
      <w:r>
        <w:rPr>
          <w:rFonts w:hint="eastAsia" w:hAnsi="宋体"/>
          <w:szCs w:val="28"/>
          <w:highlight w:val="none"/>
          <w:lang w:eastAsia="zh-CN"/>
        </w:rPr>
        <w:t>我院</w:t>
      </w:r>
      <w:r>
        <w:rPr>
          <w:rFonts w:hint="eastAsia" w:hAnsi="宋体"/>
          <w:szCs w:val="28"/>
          <w:highlight w:val="none"/>
        </w:rPr>
        <w:t>202</w:t>
      </w:r>
      <w:r>
        <w:rPr>
          <w:rFonts w:hint="eastAsia" w:hAnsi="宋体"/>
          <w:szCs w:val="28"/>
          <w:highlight w:val="none"/>
          <w:lang w:val="en-US" w:eastAsia="zh-CN"/>
        </w:rPr>
        <w:t>2</w:t>
      </w:r>
      <w:r>
        <w:rPr>
          <w:rFonts w:hint="eastAsia" w:hAnsi="宋体"/>
          <w:szCs w:val="28"/>
        </w:rPr>
        <w:t>年</w:t>
      </w:r>
      <w:r>
        <w:rPr>
          <w:rFonts w:hint="eastAsia" w:hAnsi="宋体"/>
          <w:szCs w:val="28"/>
          <w:lang w:val="en-US" w:eastAsia="zh-CN"/>
        </w:rPr>
        <w:t>结转结余385.63万元</w:t>
      </w:r>
      <w:r>
        <w:rPr>
          <w:rFonts w:hint="eastAsia" w:hAnsi="宋体"/>
          <w:szCs w:val="28"/>
          <w:lang w:eastAsia="zh-CN"/>
        </w:rPr>
        <w:t>，</w:t>
      </w:r>
      <w:r>
        <w:rPr>
          <w:rFonts w:hint="eastAsia" w:hAnsi="宋体"/>
          <w:szCs w:val="28"/>
          <w:lang w:val="en-US" w:eastAsia="zh-CN"/>
        </w:rPr>
        <w:t>2023年结转结余594.6万元，</w:t>
      </w:r>
      <w:r>
        <w:rPr>
          <w:rFonts w:hint="eastAsia" w:hAnsi="宋体"/>
          <w:szCs w:val="28"/>
        </w:rPr>
        <w:t>结转结余资金变动率为</w:t>
      </w:r>
      <w:r>
        <w:rPr>
          <w:rFonts w:hint="eastAsia" w:hAnsi="宋体"/>
          <w:szCs w:val="28"/>
          <w:lang w:val="en-US" w:eastAsia="zh-CN"/>
        </w:rPr>
        <w:t>54.16%，年度目标值小于等于0%</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0</w:t>
      </w:r>
      <w:r>
        <w:rPr>
          <w:rFonts w:hint="eastAsia" w:hAnsi="宋体"/>
          <w:szCs w:val="28"/>
        </w:rPr>
        <w:t>分，得分率为</w:t>
      </w:r>
      <w:r>
        <w:rPr>
          <w:rFonts w:hint="eastAsia" w:hAnsi="宋体"/>
          <w:szCs w:val="28"/>
          <w:lang w:val="en-US" w:eastAsia="zh-CN"/>
        </w:rPr>
        <w:t>0%</w:t>
      </w:r>
      <w:r>
        <w:rPr>
          <w:rFonts w:hint="eastAsia" w:hAnsi="宋体"/>
          <w:szCs w:val="28"/>
        </w:rPr>
        <w:t>。</w:t>
      </w:r>
    </w:p>
    <w:p w14:paraId="587CE7B1">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rPr>
        <w:t>财务管理制度健全性：</w:t>
      </w:r>
      <w:r>
        <w:rPr>
          <w:rFonts w:hint="eastAsia" w:hAnsi="宋体"/>
          <w:szCs w:val="28"/>
          <w:lang w:eastAsia="zh-CN"/>
        </w:rPr>
        <w:t>我院</w:t>
      </w:r>
      <w:r>
        <w:rPr>
          <w:rFonts w:hint="eastAsia" w:hAnsi="宋体"/>
          <w:szCs w:val="28"/>
          <w:lang w:val="en-US" w:eastAsia="zh-CN"/>
        </w:rPr>
        <w:t>根据制定了的相关财务制度，</w:t>
      </w:r>
      <w:r>
        <w:rPr>
          <w:rFonts w:hint="eastAsia" w:hAnsi="宋体"/>
          <w:szCs w:val="28"/>
        </w:rPr>
        <w:t>经费收支管理</w:t>
      </w:r>
      <w:r>
        <w:rPr>
          <w:rFonts w:hint="eastAsia" w:hAnsi="宋体"/>
          <w:szCs w:val="28"/>
          <w:lang w:eastAsia="zh-CN"/>
        </w:rPr>
        <w:t>以及</w:t>
      </w:r>
      <w:r>
        <w:rPr>
          <w:rFonts w:hint="eastAsia" w:hAnsi="宋体"/>
          <w:szCs w:val="28"/>
        </w:rPr>
        <w:t>票据管理</w:t>
      </w:r>
      <w:r>
        <w:rPr>
          <w:rFonts w:hint="eastAsia" w:hAnsi="宋体"/>
          <w:szCs w:val="28"/>
          <w:lang w:eastAsia="zh-CN"/>
        </w:rPr>
        <w:t>等事项</w:t>
      </w:r>
      <w:r>
        <w:rPr>
          <w:rFonts w:hint="eastAsia" w:hAnsi="宋体"/>
          <w:szCs w:val="28"/>
          <w:lang w:val="en-US" w:eastAsia="zh-CN"/>
        </w:rPr>
        <w:t>有完备的审批流程和管控手续，</w:t>
      </w:r>
      <w:r>
        <w:rPr>
          <w:rFonts w:hint="eastAsia" w:hAnsi="宋体"/>
          <w:szCs w:val="28"/>
        </w:rPr>
        <w:t>在预算执行、事项支出、会计核算以及重大事项支出程序等方面不存在不规范现象，财务管理制度内容完备，具备可操作性。该指标分值</w:t>
      </w:r>
      <w:r>
        <w:rPr>
          <w:rFonts w:hint="eastAsia" w:hAnsi="宋体"/>
          <w:szCs w:val="28"/>
          <w:lang w:val="en-US" w:eastAsia="zh-CN"/>
        </w:rPr>
        <w:t>2</w:t>
      </w:r>
      <w:r>
        <w:rPr>
          <w:rFonts w:hint="eastAsia" w:hAnsi="宋体"/>
          <w:szCs w:val="28"/>
        </w:rPr>
        <w:t>分，自评得分</w:t>
      </w:r>
      <w:r>
        <w:rPr>
          <w:rFonts w:hint="eastAsia" w:hAnsi="宋体"/>
          <w:szCs w:val="28"/>
          <w:highlight w:val="none"/>
          <w:lang w:val="en-US" w:eastAsia="zh-CN"/>
        </w:rPr>
        <w:t>2</w:t>
      </w:r>
      <w:r>
        <w:rPr>
          <w:rFonts w:hint="eastAsia" w:hAnsi="宋体"/>
          <w:szCs w:val="28"/>
          <w:highlight w:val="none"/>
        </w:rPr>
        <w:t>分，得分率为</w:t>
      </w:r>
      <w:r>
        <w:rPr>
          <w:rFonts w:hint="eastAsia" w:hAnsi="宋体"/>
          <w:szCs w:val="28"/>
          <w:highlight w:val="none"/>
          <w:lang w:eastAsia="zh-CN"/>
        </w:rPr>
        <w:t>100.00%</w:t>
      </w:r>
      <w:r>
        <w:rPr>
          <w:rFonts w:hint="eastAsia" w:hAnsi="宋体"/>
          <w:szCs w:val="28"/>
          <w:highlight w:val="none"/>
        </w:rPr>
        <w:t>。</w:t>
      </w:r>
    </w:p>
    <w:p w14:paraId="61022A49">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highlight w:val="none"/>
        </w:rPr>
        <w:t>资金使用规范性：</w:t>
      </w:r>
      <w:r>
        <w:rPr>
          <w:rFonts w:hint="eastAsia" w:hAnsi="宋体"/>
          <w:szCs w:val="28"/>
          <w:highlight w:val="none"/>
        </w:rPr>
        <w:t>我院资金支出总体上审批程序合规、手续齐全，支出内容</w:t>
      </w:r>
      <w:r>
        <w:rPr>
          <w:rFonts w:hint="eastAsia" w:hAnsi="宋体"/>
          <w:szCs w:val="28"/>
        </w:rPr>
        <w:t>符合省财政预算批复规定的用途，严格使用公务卡报销，有效提高了财务资金使用的合理性和规范性,防止了国有资金流失</w:t>
      </w:r>
      <w:r>
        <w:rPr>
          <w:rFonts w:hint="eastAsia" w:hAnsi="宋体"/>
          <w:szCs w:val="28"/>
          <w:lang w:eastAsia="zh-CN"/>
        </w:rPr>
        <w:t>。</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eastAsia="zh-CN"/>
        </w:rPr>
        <w:t>100.00%</w:t>
      </w:r>
      <w:r>
        <w:rPr>
          <w:rFonts w:hint="eastAsia" w:hAnsi="宋体"/>
          <w:szCs w:val="28"/>
        </w:rPr>
        <w:t>。</w:t>
      </w:r>
    </w:p>
    <w:p w14:paraId="75FE01DD">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政府采购规范性：</w:t>
      </w:r>
      <w:r>
        <w:rPr>
          <w:rFonts w:hint="eastAsia" w:hAnsi="宋体"/>
          <w:szCs w:val="28"/>
        </w:rPr>
        <w:t>我院采购实际执行情况与采购计划安排无差异。采购事项严格执行相关标准，采购业务符合政府采购相关规定。指标分值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eastAsia="zh-CN"/>
        </w:rPr>
        <w:t>100.00%</w:t>
      </w:r>
      <w:r>
        <w:rPr>
          <w:rFonts w:hint="eastAsia" w:hAnsi="宋体"/>
          <w:szCs w:val="28"/>
        </w:rPr>
        <w:t>。</w:t>
      </w:r>
    </w:p>
    <w:p w14:paraId="4F6301CB">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资产管理规范性：</w:t>
      </w:r>
      <w:r>
        <w:rPr>
          <w:rFonts w:hint="eastAsia" w:hAnsi="宋体"/>
          <w:szCs w:val="28"/>
          <w:lang w:eastAsia="zh-CN"/>
        </w:rPr>
        <w:t>2023年</w:t>
      </w:r>
      <w:r>
        <w:rPr>
          <w:rFonts w:hint="eastAsia" w:hAnsi="宋体"/>
          <w:szCs w:val="28"/>
        </w:rPr>
        <w:t>我院账务和资产卡片数据相符，资产卡片与实物相符，各类资产保存完整、使用合规、配置合理、处置规范，资产处置收入能够及时足额上缴财政</w:t>
      </w:r>
      <w:r>
        <w:rPr>
          <w:rFonts w:hint="eastAsia" w:hAnsi="宋体"/>
          <w:szCs w:val="28"/>
          <w:lang w:eastAsia="zh-CN"/>
        </w:rPr>
        <w:t>，</w:t>
      </w:r>
      <w:r>
        <w:rPr>
          <w:rFonts w:hint="eastAsia" w:hAnsi="宋体"/>
          <w:szCs w:val="28"/>
        </w:rPr>
        <w:t>资产管理符合相关要求。该指标分值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eastAsia="zh-CN"/>
        </w:rPr>
        <w:t>100.00%</w:t>
      </w:r>
      <w:r>
        <w:rPr>
          <w:rFonts w:hint="eastAsia" w:hAnsi="宋体"/>
          <w:szCs w:val="28"/>
        </w:rPr>
        <w:t>。</w:t>
      </w:r>
    </w:p>
    <w:p w14:paraId="70D3B917">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在职人员控制率：</w:t>
      </w:r>
      <w:r>
        <w:rPr>
          <w:rFonts w:hint="eastAsia" w:hAnsi="宋体"/>
          <w:szCs w:val="28"/>
        </w:rPr>
        <w:t>我院人员管理规范，</w:t>
      </w:r>
      <w:r>
        <w:rPr>
          <w:rFonts w:hint="eastAsia" w:hAnsi="宋体"/>
          <w:szCs w:val="28"/>
          <w:lang w:eastAsia="zh-CN"/>
        </w:rPr>
        <w:t>部门</w:t>
      </w:r>
      <w:r>
        <w:rPr>
          <w:rFonts w:hint="eastAsia" w:hAnsi="宋体"/>
          <w:szCs w:val="28"/>
        </w:rPr>
        <w:t>整体的财政供养人员规模得到有效控制</w:t>
      </w:r>
      <w:r>
        <w:rPr>
          <w:rFonts w:hint="eastAsia" w:hAnsi="宋体"/>
          <w:szCs w:val="28"/>
          <w:lang w:eastAsia="zh-CN"/>
        </w:rPr>
        <w:t>，编制数</w:t>
      </w:r>
      <w:r>
        <w:rPr>
          <w:rFonts w:hint="eastAsia" w:hAnsi="宋体"/>
          <w:szCs w:val="28"/>
          <w:lang w:val="en-US" w:eastAsia="zh-CN"/>
        </w:rPr>
        <w:t>129人</w:t>
      </w:r>
      <w:r>
        <w:rPr>
          <w:rFonts w:hint="eastAsia" w:hAnsi="宋体"/>
          <w:szCs w:val="28"/>
          <w:lang w:eastAsia="zh-CN"/>
        </w:rPr>
        <w:t>，实有人数</w:t>
      </w:r>
      <w:r>
        <w:rPr>
          <w:rFonts w:hint="eastAsia" w:hAnsi="宋体"/>
          <w:szCs w:val="28"/>
          <w:lang w:val="en-US" w:eastAsia="zh-CN"/>
        </w:rPr>
        <w:t>89人,在职人员控制率96.51%。</w:t>
      </w:r>
      <w:r>
        <w:rPr>
          <w:rFonts w:hint="eastAsia" w:hAnsi="宋体"/>
          <w:szCs w:val="28"/>
        </w:rPr>
        <w:t>该指标分值</w:t>
      </w:r>
      <w:r>
        <w:rPr>
          <w:rFonts w:hint="eastAsia" w:hAnsi="宋体"/>
          <w:szCs w:val="28"/>
          <w:lang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val="en-US" w:eastAsia="zh-CN"/>
        </w:rPr>
        <w:t>100.00%</w:t>
      </w:r>
      <w:r>
        <w:rPr>
          <w:rFonts w:hint="eastAsia" w:hAnsi="宋体"/>
          <w:szCs w:val="28"/>
        </w:rPr>
        <w:t>。</w:t>
      </w:r>
    </w:p>
    <w:p w14:paraId="5444F745">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rPr>
      </w:pPr>
      <w:r>
        <w:rPr>
          <w:rFonts w:hint="eastAsia" w:hAnsi="宋体"/>
          <w:b/>
          <w:bCs/>
          <w:szCs w:val="28"/>
        </w:rPr>
        <w:t>重点工作管理制度健全性：</w:t>
      </w:r>
      <w:r>
        <w:rPr>
          <w:rFonts w:hint="eastAsia" w:hAnsi="宋体"/>
          <w:szCs w:val="28"/>
        </w:rPr>
        <w:t>我院针对重点工作，修订并完善了相关案件审判制度，制度合法、合规、完整，并且能够有效执行和指导重点工作的有效推进和实施。指标分值2分，自评得分2分，得分率为</w:t>
      </w:r>
      <w:r>
        <w:rPr>
          <w:rFonts w:hint="eastAsia" w:hAnsi="宋体"/>
          <w:szCs w:val="28"/>
          <w:lang w:eastAsia="zh-CN"/>
        </w:rPr>
        <w:t>100.00%</w:t>
      </w:r>
      <w:r>
        <w:rPr>
          <w:rFonts w:hint="eastAsia" w:hAnsi="宋体"/>
          <w:szCs w:val="28"/>
        </w:rPr>
        <w:t>。</w:t>
      </w:r>
    </w:p>
    <w:p w14:paraId="671855F3">
      <w:pPr>
        <w:pStyle w:val="4"/>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bookmarkStart w:id="49" w:name="_Toc40046032"/>
      <w:r>
        <w:rPr>
          <w:rFonts w:hint="eastAsia"/>
          <w:lang w:val="en-US" w:eastAsia="zh-CN"/>
        </w:rPr>
        <w:t>3.</w:t>
      </w:r>
      <w:r>
        <w:rPr>
          <w:rFonts w:hint="eastAsia"/>
        </w:rPr>
        <w:t>履职效果</w:t>
      </w:r>
      <w:bookmarkEnd w:id="49"/>
      <w:r>
        <w:rPr>
          <w:rFonts w:hint="eastAsia"/>
          <w:lang w:val="en-US" w:eastAsia="zh-CN"/>
        </w:rPr>
        <w:t>目标完成情况分析</w:t>
      </w:r>
    </w:p>
    <w:p w14:paraId="6E7CF8FC">
      <w:pPr>
        <w:rPr>
          <w:rFonts w:hint="eastAsia"/>
          <w:b/>
          <w:bCs/>
          <w:lang w:eastAsia="zh-CN"/>
        </w:rPr>
      </w:pPr>
      <w:r>
        <w:rPr>
          <w:rFonts w:hint="eastAsia"/>
          <w:highlight w:val="none"/>
        </w:rPr>
        <w:t>履职效果指标包括部门履职</w:t>
      </w:r>
      <w:r>
        <w:rPr>
          <w:rFonts w:hint="eastAsia"/>
          <w:highlight w:val="none"/>
          <w:lang w:val="en-US" w:eastAsia="zh-CN"/>
        </w:rPr>
        <w:t>目标</w:t>
      </w:r>
      <w:r>
        <w:rPr>
          <w:rFonts w:hint="eastAsia"/>
          <w:highlight w:val="none"/>
        </w:rPr>
        <w:t>、</w:t>
      </w:r>
      <w:r>
        <w:rPr>
          <w:rFonts w:hint="eastAsia"/>
          <w:highlight w:val="none"/>
          <w:lang w:val="en-US" w:eastAsia="zh-CN"/>
        </w:rPr>
        <w:t>部门效果、服务对象满意度及</w:t>
      </w:r>
      <w:r>
        <w:rPr>
          <w:rFonts w:hint="eastAsia"/>
          <w:highlight w:val="none"/>
        </w:rPr>
        <w:t>社会影响</w:t>
      </w:r>
      <w:r>
        <w:rPr>
          <w:rFonts w:hint="eastAsia"/>
          <w:highlight w:val="none"/>
          <w:lang w:val="en-US" w:eastAsia="zh-CN"/>
        </w:rPr>
        <w:t>4</w:t>
      </w:r>
      <w:r>
        <w:rPr>
          <w:rFonts w:hint="eastAsia"/>
          <w:highlight w:val="none"/>
        </w:rPr>
        <w:t>个二级指标，下设</w:t>
      </w:r>
      <w:r>
        <w:rPr>
          <w:rFonts w:hint="eastAsia"/>
          <w:highlight w:val="none"/>
          <w:lang w:val="en-US" w:eastAsia="zh-CN"/>
        </w:rPr>
        <w:t>11</w:t>
      </w:r>
      <w:r>
        <w:rPr>
          <w:rFonts w:hint="eastAsia"/>
          <w:highlight w:val="none"/>
        </w:rPr>
        <w:t>个三级指标。履职效果指标分值</w:t>
      </w:r>
      <w:r>
        <w:rPr>
          <w:rFonts w:hint="eastAsia"/>
          <w:highlight w:val="none"/>
          <w:lang w:val="en-US" w:eastAsia="zh-CN"/>
        </w:rPr>
        <w:t>60</w:t>
      </w:r>
      <w:r>
        <w:rPr>
          <w:rFonts w:hint="eastAsia"/>
          <w:highlight w:val="none"/>
        </w:rPr>
        <w:t>分，自评</w:t>
      </w:r>
      <w:r>
        <w:rPr>
          <w:highlight w:val="none"/>
        </w:rPr>
        <w:t>得</w:t>
      </w:r>
      <w:r>
        <w:rPr>
          <w:rFonts w:hint="eastAsia"/>
          <w:highlight w:val="none"/>
        </w:rPr>
        <w:t>分</w:t>
      </w:r>
      <w:r>
        <w:rPr>
          <w:rFonts w:hint="eastAsia"/>
          <w:highlight w:val="none"/>
          <w:lang w:val="en-US" w:eastAsia="zh-CN"/>
        </w:rPr>
        <w:t>59.3</w:t>
      </w:r>
      <w:r>
        <w:rPr>
          <w:rFonts w:hint="eastAsia"/>
          <w:highlight w:val="none"/>
        </w:rPr>
        <w:t>分，</w:t>
      </w:r>
      <w:r>
        <w:rPr>
          <w:highlight w:val="none"/>
        </w:rPr>
        <w:t>得分率</w:t>
      </w:r>
      <w:r>
        <w:rPr>
          <w:rFonts w:hint="eastAsia"/>
          <w:highlight w:val="none"/>
          <w:lang w:val="en-US" w:eastAsia="zh-CN"/>
        </w:rPr>
        <w:t>98.83</w:t>
      </w:r>
      <w:r>
        <w:rPr>
          <w:highlight w:val="none"/>
        </w:rPr>
        <w:t>%</w:t>
      </w:r>
      <w:r>
        <w:rPr>
          <w:rFonts w:hint="eastAsia"/>
          <w:highlight w:val="none"/>
        </w:rPr>
        <w:t>。</w:t>
      </w:r>
      <w:r>
        <w:rPr>
          <w:rFonts w:hint="eastAsia"/>
          <w:b/>
          <w:bCs/>
          <w:lang w:eastAsia="zh-CN"/>
        </w:rPr>
        <w:tab/>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2035"/>
        <w:gridCol w:w="1380"/>
        <w:gridCol w:w="1297"/>
        <w:gridCol w:w="850"/>
        <w:gridCol w:w="1188"/>
        <w:gridCol w:w="1071"/>
      </w:tblGrid>
      <w:tr w14:paraId="719D3E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3139C37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2035" w:type="dxa"/>
            <w:shd w:val="clear" w:color="auto" w:fill="BDD6EE"/>
            <w:vAlign w:val="center"/>
          </w:tcPr>
          <w:p w14:paraId="466AE92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380" w:type="dxa"/>
            <w:shd w:val="clear" w:color="auto" w:fill="BDD6EE"/>
            <w:vAlign w:val="center"/>
          </w:tcPr>
          <w:p w14:paraId="2CDA540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w:t>
            </w:r>
          </w:p>
          <w:p w14:paraId="5E2CE63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指标值</w:t>
            </w:r>
          </w:p>
        </w:tc>
        <w:tc>
          <w:tcPr>
            <w:tcW w:w="1297" w:type="dxa"/>
            <w:shd w:val="clear" w:color="auto" w:fill="BDD6EE"/>
            <w:vAlign w:val="center"/>
          </w:tcPr>
          <w:p w14:paraId="589E070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w:t>
            </w:r>
          </w:p>
          <w:p w14:paraId="1C4B44C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完成值</w:t>
            </w:r>
          </w:p>
        </w:tc>
        <w:tc>
          <w:tcPr>
            <w:tcW w:w="850" w:type="dxa"/>
            <w:shd w:val="clear" w:color="auto" w:fill="BDD6EE"/>
            <w:vAlign w:val="center"/>
          </w:tcPr>
          <w:p w14:paraId="407711B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3430CE5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6EF5906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2F948E8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10236100">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i w:val="0"/>
                <w:iCs w:val="0"/>
                <w:color w:val="333333"/>
                <w:kern w:val="0"/>
                <w:sz w:val="22"/>
                <w:szCs w:val="22"/>
                <w:u w:val="none"/>
                <w:lang w:val="en-US" w:eastAsia="zh-CN" w:bidi="ar"/>
              </w:rPr>
              <w:t>部门履职目标</w:t>
            </w:r>
          </w:p>
        </w:tc>
        <w:tc>
          <w:tcPr>
            <w:tcW w:w="2035" w:type="dxa"/>
            <w:vAlign w:val="center"/>
          </w:tcPr>
          <w:p w14:paraId="507537A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受理各项案件</w:t>
            </w:r>
          </w:p>
        </w:tc>
        <w:tc>
          <w:tcPr>
            <w:tcW w:w="1380" w:type="dxa"/>
            <w:vAlign w:val="center"/>
          </w:tcPr>
          <w:p w14:paraId="3926044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≥1800件</w:t>
            </w:r>
          </w:p>
        </w:tc>
        <w:tc>
          <w:tcPr>
            <w:tcW w:w="1297" w:type="dxa"/>
            <w:vAlign w:val="center"/>
          </w:tcPr>
          <w:p w14:paraId="2DFC77D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53CF61C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5.6</w:t>
            </w:r>
          </w:p>
        </w:tc>
        <w:tc>
          <w:tcPr>
            <w:tcW w:w="1188" w:type="dxa"/>
            <w:vAlign w:val="center"/>
          </w:tcPr>
          <w:p w14:paraId="27D59EA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5.6</w:t>
            </w:r>
          </w:p>
        </w:tc>
        <w:tc>
          <w:tcPr>
            <w:tcW w:w="1071" w:type="dxa"/>
            <w:vAlign w:val="center"/>
          </w:tcPr>
          <w:p w14:paraId="5D71282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7C1EA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7AA42B4F">
            <w:pPr>
              <w:jc w:val="center"/>
              <w:rPr>
                <w:rFonts w:hint="eastAsia" w:ascii="宋体" w:hAnsi="宋体" w:eastAsia="宋体" w:cs="宋体"/>
                <w:i w:val="0"/>
                <w:iCs w:val="0"/>
                <w:color w:val="333333"/>
                <w:kern w:val="0"/>
                <w:sz w:val="24"/>
                <w:szCs w:val="24"/>
                <w:u w:val="none"/>
                <w:lang w:val="en-US" w:eastAsia="zh-CN" w:bidi="ar"/>
              </w:rPr>
            </w:pPr>
          </w:p>
        </w:tc>
        <w:tc>
          <w:tcPr>
            <w:tcW w:w="2035" w:type="dxa"/>
            <w:vAlign w:val="center"/>
          </w:tcPr>
          <w:p w14:paraId="18D2017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结案率</w:t>
            </w:r>
          </w:p>
        </w:tc>
        <w:tc>
          <w:tcPr>
            <w:tcW w:w="1380" w:type="dxa"/>
            <w:vAlign w:val="center"/>
          </w:tcPr>
          <w:p w14:paraId="584678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&gt;=85%</w:t>
            </w:r>
          </w:p>
        </w:tc>
        <w:tc>
          <w:tcPr>
            <w:tcW w:w="1297" w:type="dxa"/>
            <w:vAlign w:val="center"/>
          </w:tcPr>
          <w:p w14:paraId="0158891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95.61%</w:t>
            </w:r>
          </w:p>
        </w:tc>
        <w:tc>
          <w:tcPr>
            <w:tcW w:w="850" w:type="dxa"/>
            <w:vAlign w:val="center"/>
          </w:tcPr>
          <w:p w14:paraId="79B5986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14:paraId="36B8476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14:paraId="4143895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A8337C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0F0A7EC9">
            <w:pPr>
              <w:jc w:val="center"/>
              <w:rPr>
                <w:rFonts w:hint="eastAsia" w:ascii="宋体" w:hAnsi="宋体" w:eastAsia="宋体" w:cs="宋体"/>
                <w:color w:val="000000"/>
                <w:kern w:val="0"/>
                <w:sz w:val="24"/>
                <w:szCs w:val="24"/>
                <w:highlight w:val="none"/>
                <w:lang w:val="en-US" w:eastAsia="zh-CN" w:bidi="ar-SA"/>
              </w:rPr>
            </w:pPr>
          </w:p>
        </w:tc>
        <w:tc>
          <w:tcPr>
            <w:tcW w:w="2035" w:type="dxa"/>
            <w:vAlign w:val="center"/>
          </w:tcPr>
          <w:p w14:paraId="34B80B6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案件法定期间办结率</w:t>
            </w:r>
          </w:p>
        </w:tc>
        <w:tc>
          <w:tcPr>
            <w:tcW w:w="1380" w:type="dxa"/>
            <w:vAlign w:val="center"/>
          </w:tcPr>
          <w:p w14:paraId="45B132C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297" w:type="dxa"/>
            <w:vAlign w:val="center"/>
          </w:tcPr>
          <w:p w14:paraId="325EFAC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99.62%</w:t>
            </w:r>
          </w:p>
        </w:tc>
        <w:tc>
          <w:tcPr>
            <w:tcW w:w="850" w:type="dxa"/>
            <w:vAlign w:val="center"/>
          </w:tcPr>
          <w:p w14:paraId="7DC2B6B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14:paraId="68EC239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14:paraId="1210B5C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2D2494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2B22FD34">
            <w:pPr>
              <w:jc w:val="center"/>
              <w:rPr>
                <w:rFonts w:hint="eastAsia" w:ascii="宋体" w:hAnsi="宋体" w:eastAsia="宋体" w:cs="宋体"/>
                <w:i w:val="0"/>
                <w:iCs w:val="0"/>
                <w:color w:val="333333"/>
                <w:kern w:val="0"/>
                <w:sz w:val="24"/>
                <w:szCs w:val="24"/>
                <w:u w:val="none"/>
                <w:lang w:val="en-US" w:eastAsia="zh-CN" w:bidi="ar"/>
              </w:rPr>
            </w:pPr>
          </w:p>
        </w:tc>
        <w:tc>
          <w:tcPr>
            <w:tcW w:w="2035" w:type="dxa"/>
            <w:vAlign w:val="center"/>
          </w:tcPr>
          <w:p w14:paraId="402D43B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年度预算控制率</w:t>
            </w:r>
          </w:p>
        </w:tc>
        <w:tc>
          <w:tcPr>
            <w:tcW w:w="1380" w:type="dxa"/>
            <w:vAlign w:val="center"/>
          </w:tcPr>
          <w:p w14:paraId="5FFFC06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297" w:type="dxa"/>
            <w:vAlign w:val="center"/>
          </w:tcPr>
          <w:p w14:paraId="6109137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487759F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14:paraId="0ED7F72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14:paraId="123B77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6A01BCB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61B97DB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部门效果目标</w:t>
            </w:r>
          </w:p>
        </w:tc>
        <w:tc>
          <w:tcPr>
            <w:tcW w:w="2035" w:type="dxa"/>
            <w:vAlign w:val="center"/>
          </w:tcPr>
          <w:p w14:paraId="680CEA1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经济效益-执行案件结案率</w:t>
            </w:r>
          </w:p>
        </w:tc>
        <w:tc>
          <w:tcPr>
            <w:tcW w:w="1380" w:type="dxa"/>
            <w:vAlign w:val="center"/>
          </w:tcPr>
          <w:p w14:paraId="0822DB2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&gt;=80%</w:t>
            </w:r>
          </w:p>
        </w:tc>
        <w:tc>
          <w:tcPr>
            <w:tcW w:w="1297" w:type="dxa"/>
            <w:vAlign w:val="center"/>
          </w:tcPr>
          <w:p w14:paraId="6B9B37A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98.29%</w:t>
            </w:r>
          </w:p>
        </w:tc>
        <w:tc>
          <w:tcPr>
            <w:tcW w:w="850" w:type="dxa"/>
            <w:vAlign w:val="center"/>
          </w:tcPr>
          <w:p w14:paraId="6C7295F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14:paraId="35B83E3D">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14:paraId="48C5546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478FCC1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0F67F836">
            <w:pPr>
              <w:jc w:val="center"/>
              <w:rPr>
                <w:rFonts w:hint="eastAsia" w:ascii="宋体" w:hAnsi="宋体" w:eastAsia="宋体" w:cs="宋体"/>
                <w:i w:val="0"/>
                <w:iCs w:val="0"/>
                <w:color w:val="333333"/>
                <w:kern w:val="0"/>
                <w:sz w:val="24"/>
                <w:szCs w:val="24"/>
                <w:u w:val="none"/>
                <w:lang w:val="en-US" w:eastAsia="zh-CN" w:bidi="ar"/>
              </w:rPr>
            </w:pPr>
          </w:p>
        </w:tc>
        <w:tc>
          <w:tcPr>
            <w:tcW w:w="2035" w:type="dxa"/>
            <w:vAlign w:val="center"/>
          </w:tcPr>
          <w:p w14:paraId="11AE0CB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社会效益-营商环境改变</w:t>
            </w:r>
          </w:p>
        </w:tc>
        <w:tc>
          <w:tcPr>
            <w:tcW w:w="1380" w:type="dxa"/>
            <w:vAlign w:val="center"/>
          </w:tcPr>
          <w:p w14:paraId="672F526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好</w:t>
            </w:r>
          </w:p>
        </w:tc>
        <w:tc>
          <w:tcPr>
            <w:tcW w:w="1297" w:type="dxa"/>
            <w:vAlign w:val="center"/>
          </w:tcPr>
          <w:p w14:paraId="71276C6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33016B7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14:paraId="24CDFA3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14:paraId="1D91616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5414B1A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089DE720">
            <w:pPr>
              <w:jc w:val="center"/>
              <w:rPr>
                <w:rFonts w:hint="eastAsia" w:ascii="宋体" w:hAnsi="宋体" w:eastAsia="宋体" w:cs="宋体"/>
                <w:i w:val="0"/>
                <w:iCs w:val="0"/>
                <w:color w:val="333333"/>
                <w:kern w:val="0"/>
                <w:sz w:val="24"/>
                <w:szCs w:val="24"/>
                <w:u w:val="none"/>
                <w:lang w:val="en-US" w:eastAsia="zh-CN" w:bidi="ar"/>
              </w:rPr>
            </w:pPr>
          </w:p>
        </w:tc>
        <w:tc>
          <w:tcPr>
            <w:tcW w:w="2035" w:type="dxa"/>
            <w:vAlign w:val="center"/>
          </w:tcPr>
          <w:p w14:paraId="19A8A36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生态效益指标</w:t>
            </w:r>
          </w:p>
        </w:tc>
        <w:tc>
          <w:tcPr>
            <w:tcW w:w="1380" w:type="dxa"/>
            <w:vAlign w:val="center"/>
          </w:tcPr>
          <w:p w14:paraId="0A2A74D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达标</w:t>
            </w:r>
          </w:p>
        </w:tc>
        <w:tc>
          <w:tcPr>
            <w:tcW w:w="1297" w:type="dxa"/>
            <w:vAlign w:val="center"/>
          </w:tcPr>
          <w:p w14:paraId="00595ED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244A21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14:paraId="23EB565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14:paraId="3873B0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9B0997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0A09DB4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服务对象满意度</w:t>
            </w:r>
          </w:p>
        </w:tc>
        <w:tc>
          <w:tcPr>
            <w:tcW w:w="2035" w:type="dxa"/>
            <w:vAlign w:val="center"/>
          </w:tcPr>
          <w:p w14:paraId="1DF6863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内部干警满意度</w:t>
            </w:r>
          </w:p>
        </w:tc>
        <w:tc>
          <w:tcPr>
            <w:tcW w:w="1380" w:type="dxa"/>
            <w:vAlign w:val="center"/>
          </w:tcPr>
          <w:p w14:paraId="7875BAE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297" w:type="dxa"/>
            <w:vAlign w:val="center"/>
          </w:tcPr>
          <w:p w14:paraId="4F406DF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95%</w:t>
            </w:r>
          </w:p>
        </w:tc>
        <w:tc>
          <w:tcPr>
            <w:tcW w:w="850" w:type="dxa"/>
            <w:vAlign w:val="center"/>
          </w:tcPr>
          <w:p w14:paraId="5740C14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188" w:type="dxa"/>
            <w:vAlign w:val="center"/>
          </w:tcPr>
          <w:p w14:paraId="3E60095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14:paraId="512649B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23ED436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31BFDD4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p>
        </w:tc>
        <w:tc>
          <w:tcPr>
            <w:tcW w:w="2035" w:type="dxa"/>
            <w:vAlign w:val="center"/>
          </w:tcPr>
          <w:p w14:paraId="755AFAF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外部群众</w:t>
            </w:r>
          </w:p>
        </w:tc>
        <w:tc>
          <w:tcPr>
            <w:tcW w:w="1380" w:type="dxa"/>
            <w:vAlign w:val="center"/>
          </w:tcPr>
          <w:p w14:paraId="7FE147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297" w:type="dxa"/>
            <w:vAlign w:val="center"/>
          </w:tcPr>
          <w:p w14:paraId="1BE19D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95%</w:t>
            </w:r>
          </w:p>
        </w:tc>
        <w:tc>
          <w:tcPr>
            <w:tcW w:w="850" w:type="dxa"/>
            <w:vAlign w:val="center"/>
          </w:tcPr>
          <w:p w14:paraId="2C900B7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188" w:type="dxa"/>
            <w:vAlign w:val="center"/>
          </w:tcPr>
          <w:p w14:paraId="4BFD794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14:paraId="69C2C4B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758205E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16B187D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4"/>
                <w:szCs w:val="24"/>
                <w:u w:val="none"/>
                <w:lang w:val="en-US" w:eastAsia="zh-CN" w:bidi="ar"/>
              </w:rPr>
            </w:pPr>
            <w:r>
              <w:rPr>
                <w:rFonts w:hint="eastAsia" w:ascii="宋体" w:hAnsi="宋体" w:eastAsia="宋体" w:cs="宋体"/>
                <w:i w:val="0"/>
                <w:iCs w:val="0"/>
                <w:color w:val="333333"/>
                <w:kern w:val="0"/>
                <w:sz w:val="22"/>
                <w:szCs w:val="22"/>
                <w:u w:val="none"/>
                <w:lang w:val="en-US" w:eastAsia="zh-CN" w:bidi="ar"/>
              </w:rPr>
              <w:t>社会影响</w:t>
            </w:r>
          </w:p>
        </w:tc>
        <w:tc>
          <w:tcPr>
            <w:tcW w:w="2035" w:type="dxa"/>
            <w:vAlign w:val="center"/>
          </w:tcPr>
          <w:p w14:paraId="3A3AB96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单位获奖情况</w:t>
            </w:r>
          </w:p>
        </w:tc>
        <w:tc>
          <w:tcPr>
            <w:tcW w:w="1380" w:type="dxa"/>
            <w:vAlign w:val="center"/>
          </w:tcPr>
          <w:p w14:paraId="1E01BD7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&gt;=2项</w:t>
            </w:r>
          </w:p>
        </w:tc>
        <w:tc>
          <w:tcPr>
            <w:tcW w:w="1297" w:type="dxa"/>
            <w:vAlign w:val="center"/>
          </w:tcPr>
          <w:p w14:paraId="3879224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4项</w:t>
            </w:r>
          </w:p>
        </w:tc>
        <w:tc>
          <w:tcPr>
            <w:tcW w:w="850" w:type="dxa"/>
            <w:vAlign w:val="center"/>
          </w:tcPr>
          <w:p w14:paraId="79E4E81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14:paraId="0EA171F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 xml:space="preserve">4.85 </w:t>
            </w:r>
          </w:p>
        </w:tc>
        <w:tc>
          <w:tcPr>
            <w:tcW w:w="1071" w:type="dxa"/>
            <w:vAlign w:val="center"/>
          </w:tcPr>
          <w:p w14:paraId="0EF3CB9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87.39%</w:t>
            </w:r>
          </w:p>
        </w:tc>
      </w:tr>
      <w:tr w14:paraId="7E44830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14299469">
            <w:pPr>
              <w:jc w:val="center"/>
              <w:rPr>
                <w:rFonts w:hint="eastAsia" w:ascii="宋体" w:hAnsi="宋体" w:eastAsia="宋体" w:cs="宋体"/>
                <w:i w:val="0"/>
                <w:iCs w:val="0"/>
                <w:color w:val="333333"/>
                <w:kern w:val="0"/>
                <w:sz w:val="24"/>
                <w:szCs w:val="24"/>
                <w:u w:val="none"/>
                <w:lang w:val="en-US" w:eastAsia="zh-CN" w:bidi="ar"/>
              </w:rPr>
            </w:pPr>
          </w:p>
        </w:tc>
        <w:tc>
          <w:tcPr>
            <w:tcW w:w="2035" w:type="dxa"/>
            <w:vAlign w:val="center"/>
          </w:tcPr>
          <w:p w14:paraId="5F848CA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违法违纪情况</w:t>
            </w:r>
          </w:p>
        </w:tc>
        <w:tc>
          <w:tcPr>
            <w:tcW w:w="1380" w:type="dxa"/>
            <w:vAlign w:val="center"/>
          </w:tcPr>
          <w:p w14:paraId="187B912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1297" w:type="dxa"/>
            <w:vAlign w:val="center"/>
          </w:tcPr>
          <w:p w14:paraId="4B16DF6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38426B6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14:paraId="1191CDE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14:paraId="2B3F046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6D587A4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2A818F74">
            <w:pPr>
              <w:keepNext w:val="0"/>
              <w:keepLines w:val="0"/>
              <w:widowControl/>
              <w:suppressLineNumbers w:val="0"/>
              <w:ind w:firstLine="482" w:firstLineChars="200"/>
              <w:jc w:val="center"/>
              <w:textAlignment w:val="center"/>
              <w:rPr>
                <w:rFonts w:hint="eastAsia" w:ascii="宋体" w:hAnsi="宋体" w:eastAsia="宋体" w:cs="宋体"/>
                <w:b/>
                <w:color w:val="000000"/>
                <w:kern w:val="0"/>
                <w:sz w:val="24"/>
                <w:szCs w:val="24"/>
                <w:highlight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w:t>
            </w:r>
          </w:p>
        </w:tc>
        <w:tc>
          <w:tcPr>
            <w:tcW w:w="2035" w:type="dxa"/>
            <w:shd w:val="clear" w:color="auto" w:fill="BDD6EE"/>
            <w:vAlign w:val="center"/>
          </w:tcPr>
          <w:p w14:paraId="7F246946">
            <w:pPr>
              <w:keepNext w:val="0"/>
              <w:keepLines w:val="0"/>
              <w:pageBreakBefore w:val="0"/>
              <w:widowControl/>
              <w:suppressLineNumbers w:val="0"/>
              <w:kinsoku/>
              <w:wordWrap/>
              <w:overflowPunct/>
              <w:topLinePunct w:val="0"/>
              <w:autoSpaceDE/>
              <w:autoSpaceDN/>
              <w:bidi w:val="0"/>
              <w:adjustRightInd/>
              <w:snapToGrid/>
              <w:ind w:firstLine="482" w:firstLineChars="200"/>
              <w:jc w:val="center"/>
              <w:textAlignment w:val="center"/>
              <w:rPr>
                <w:rFonts w:hint="eastAsia" w:ascii="宋体" w:hAnsi="宋体" w:eastAsia="宋体" w:cs="宋体"/>
                <w:b/>
                <w:color w:val="000000"/>
                <w:kern w:val="0"/>
                <w:sz w:val="24"/>
                <w:szCs w:val="24"/>
                <w:highlight w:val="none"/>
                <w:lang w:val="en-US" w:eastAsia="zh-CN" w:bidi="ar-SA"/>
              </w:rPr>
            </w:pPr>
          </w:p>
        </w:tc>
        <w:tc>
          <w:tcPr>
            <w:tcW w:w="1380" w:type="dxa"/>
            <w:shd w:val="clear" w:color="auto" w:fill="BDD6EE"/>
            <w:vAlign w:val="center"/>
          </w:tcPr>
          <w:p w14:paraId="638FEF3D">
            <w:pPr>
              <w:keepNext w:val="0"/>
              <w:keepLines w:val="0"/>
              <w:pageBreakBefore w:val="0"/>
              <w:widowControl/>
              <w:suppressLineNumbers w:val="0"/>
              <w:kinsoku/>
              <w:wordWrap/>
              <w:overflowPunct/>
              <w:topLinePunct w:val="0"/>
              <w:autoSpaceDE/>
              <w:autoSpaceDN/>
              <w:bidi w:val="0"/>
              <w:adjustRightInd/>
              <w:snapToGrid/>
              <w:ind w:firstLine="482" w:firstLineChars="200"/>
              <w:jc w:val="center"/>
              <w:textAlignment w:val="center"/>
              <w:rPr>
                <w:rFonts w:hint="eastAsia" w:ascii="宋体" w:hAnsi="宋体" w:eastAsia="宋体" w:cs="宋体"/>
                <w:b/>
                <w:color w:val="000000"/>
                <w:kern w:val="0"/>
                <w:sz w:val="24"/>
                <w:szCs w:val="24"/>
                <w:highlight w:val="none"/>
                <w:lang w:val="en-US" w:eastAsia="zh-CN" w:bidi="ar-SA"/>
              </w:rPr>
            </w:pPr>
          </w:p>
        </w:tc>
        <w:tc>
          <w:tcPr>
            <w:tcW w:w="1297" w:type="dxa"/>
            <w:shd w:val="clear" w:color="auto" w:fill="BDD6EE"/>
            <w:vAlign w:val="center"/>
          </w:tcPr>
          <w:p w14:paraId="0479FDE2">
            <w:pPr>
              <w:keepNext w:val="0"/>
              <w:keepLines w:val="0"/>
              <w:pageBreakBefore w:val="0"/>
              <w:widowControl/>
              <w:suppressLineNumbers w:val="0"/>
              <w:kinsoku/>
              <w:wordWrap/>
              <w:overflowPunct/>
              <w:topLinePunct w:val="0"/>
              <w:autoSpaceDE/>
              <w:autoSpaceDN/>
              <w:bidi w:val="0"/>
              <w:adjustRightInd/>
              <w:snapToGrid/>
              <w:ind w:firstLine="482" w:firstLineChars="200"/>
              <w:jc w:val="center"/>
              <w:textAlignment w:val="center"/>
              <w:rPr>
                <w:rFonts w:hint="eastAsia" w:ascii="宋体" w:hAnsi="宋体" w:eastAsia="宋体" w:cs="宋体"/>
                <w:b/>
                <w:color w:val="000000"/>
                <w:kern w:val="0"/>
                <w:sz w:val="24"/>
                <w:szCs w:val="24"/>
                <w:highlight w:val="none"/>
                <w:lang w:val="en-US" w:eastAsia="zh-CN" w:bidi="ar-SA"/>
              </w:rPr>
            </w:pPr>
          </w:p>
        </w:tc>
        <w:tc>
          <w:tcPr>
            <w:tcW w:w="850" w:type="dxa"/>
            <w:shd w:val="clear" w:color="auto" w:fill="BDD6EE"/>
            <w:vAlign w:val="center"/>
          </w:tcPr>
          <w:p w14:paraId="5A4A36A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color w:val="000000"/>
                <w:kern w:val="0"/>
                <w:sz w:val="24"/>
                <w:szCs w:val="24"/>
                <w:highlight w:val="none"/>
                <w:lang w:val="en-US" w:eastAsia="zh-CN" w:bidi="ar-SA"/>
              </w:rPr>
            </w:pPr>
            <w:r>
              <w:rPr>
                <w:rFonts w:hint="eastAsia" w:ascii="宋体" w:hAnsi="宋体" w:eastAsia="宋体" w:cs="宋体"/>
                <w:b/>
                <w:color w:val="000000"/>
                <w:kern w:val="0"/>
                <w:sz w:val="24"/>
                <w:szCs w:val="24"/>
                <w:highlight w:val="none"/>
                <w:lang w:val="en-US" w:eastAsia="zh-CN" w:bidi="ar-SA"/>
              </w:rPr>
              <w:t>60</w:t>
            </w:r>
          </w:p>
        </w:tc>
        <w:tc>
          <w:tcPr>
            <w:tcW w:w="1188" w:type="dxa"/>
            <w:shd w:val="clear" w:color="auto" w:fill="BDD6EE"/>
            <w:vAlign w:val="center"/>
          </w:tcPr>
          <w:p w14:paraId="7ABA7CF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4"/>
                <w:szCs w:val="24"/>
                <w:highlight w:val="none"/>
                <w:lang w:val="en-US" w:eastAsia="zh-CN" w:bidi="ar-SA"/>
              </w:rPr>
            </w:pPr>
            <w:r>
              <w:rPr>
                <w:rFonts w:hint="eastAsia" w:ascii="宋体" w:hAnsi="宋体" w:eastAsia="宋体" w:cs="宋体"/>
                <w:b/>
                <w:color w:val="000000"/>
                <w:kern w:val="0"/>
                <w:sz w:val="24"/>
                <w:szCs w:val="24"/>
                <w:highlight w:val="none"/>
                <w:lang w:val="en-US" w:eastAsia="zh-CN" w:bidi="ar-SA"/>
              </w:rPr>
              <w:t>59.3</w:t>
            </w:r>
          </w:p>
        </w:tc>
        <w:tc>
          <w:tcPr>
            <w:tcW w:w="1071" w:type="dxa"/>
            <w:shd w:val="clear" w:color="auto" w:fill="BDD6EE"/>
            <w:vAlign w:val="center"/>
          </w:tcPr>
          <w:p w14:paraId="5A3B2BB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bCs/>
                <w:kern w:val="0"/>
                <w:sz w:val="24"/>
                <w:szCs w:val="24"/>
                <w:highlight w:val="none"/>
                <w:lang w:val="en-US" w:eastAsia="zh-CN" w:bidi="ar-SA"/>
              </w:rPr>
            </w:pPr>
            <w:r>
              <w:rPr>
                <w:rFonts w:hint="eastAsia" w:ascii="宋体" w:hAnsi="宋体" w:eastAsia="宋体" w:cs="宋体"/>
                <w:b/>
                <w:bCs/>
                <w:color w:val="000000"/>
                <w:kern w:val="0"/>
                <w:sz w:val="22"/>
                <w:lang w:val="en-US" w:eastAsia="zh-CN" w:bidi="ar"/>
              </w:rPr>
              <w:t>98.83%</w:t>
            </w:r>
          </w:p>
        </w:tc>
      </w:tr>
    </w:tbl>
    <w:p w14:paraId="26BCFBD5">
      <w:pPr>
        <w:ind w:firstLine="562"/>
      </w:pPr>
      <w:r>
        <w:rPr>
          <w:rFonts w:hint="eastAsia"/>
          <w:b/>
          <w:bCs/>
        </w:rPr>
        <w:t>受理各项案件：</w:t>
      </w:r>
      <w:r>
        <w:rPr>
          <w:rFonts w:hint="eastAsia"/>
        </w:rPr>
        <w:t>我院</w:t>
      </w:r>
      <w:r>
        <w:rPr>
          <w:rFonts w:hint="eastAsia"/>
          <w:lang w:val="en-US" w:eastAsia="zh-CN"/>
        </w:rPr>
        <w:t>2923年受理各项案件</w:t>
      </w:r>
      <w:r>
        <w:rPr>
          <w:rFonts w:hint="eastAsia"/>
        </w:rPr>
        <w:t>年度指标值大于</w:t>
      </w:r>
      <w:r>
        <w:rPr>
          <w:rFonts w:hint="eastAsia"/>
          <w:lang w:val="en-US" w:eastAsia="zh-CN"/>
        </w:rPr>
        <w:t>1800件</w:t>
      </w:r>
      <w:r>
        <w:rPr>
          <w:rFonts w:hint="eastAsia"/>
        </w:rPr>
        <w:t>，实际完成</w:t>
      </w:r>
      <w:r>
        <w:rPr>
          <w:rFonts w:hint="eastAsia"/>
          <w:lang w:val="en-US" w:eastAsia="zh-CN"/>
        </w:rPr>
        <w:t>100</w:t>
      </w:r>
      <w:r>
        <w:rPr>
          <w:rFonts w:hint="eastAsia"/>
        </w:rPr>
        <w:t>%，该指标分值</w:t>
      </w:r>
      <w:r>
        <w:rPr>
          <w:rFonts w:hint="eastAsia"/>
          <w:lang w:val="en-US" w:eastAsia="zh-CN"/>
        </w:rPr>
        <w:t>5.6</w:t>
      </w:r>
      <w:r>
        <w:rPr>
          <w:rFonts w:hint="eastAsia"/>
        </w:rPr>
        <w:t>分，自评得分</w:t>
      </w:r>
      <w:r>
        <w:rPr>
          <w:rFonts w:hint="eastAsia"/>
          <w:lang w:val="en-US" w:eastAsia="zh-CN"/>
        </w:rPr>
        <w:t>5.6</w:t>
      </w:r>
      <w:r>
        <w:rPr>
          <w:rFonts w:hint="eastAsia"/>
        </w:rPr>
        <w:t>分，得分率为</w:t>
      </w:r>
      <w:r>
        <w:rPr>
          <w:rFonts w:hint="eastAsia"/>
          <w:lang w:eastAsia="zh-CN"/>
        </w:rPr>
        <w:t>100.00%</w:t>
      </w:r>
      <w:r>
        <w:rPr>
          <w:rFonts w:hint="eastAsia"/>
        </w:rPr>
        <w:t>。</w:t>
      </w:r>
    </w:p>
    <w:p w14:paraId="1D1E299F">
      <w:pPr>
        <w:ind w:firstLine="562"/>
        <w:rPr>
          <w:rFonts w:hint="eastAsia"/>
        </w:rPr>
      </w:pPr>
      <w:r>
        <w:rPr>
          <w:rFonts w:hint="eastAsia"/>
          <w:b/>
          <w:bCs/>
        </w:rPr>
        <w:t>结案率：</w:t>
      </w:r>
      <w:r>
        <w:rPr>
          <w:rFonts w:hint="eastAsia"/>
        </w:rPr>
        <w:t>我院</w:t>
      </w:r>
      <w:r>
        <w:rPr>
          <w:rFonts w:hint="eastAsia"/>
          <w:lang w:val="en-US" w:eastAsia="zh-CN"/>
        </w:rPr>
        <w:t>2023年结案率为95.61%</w:t>
      </w:r>
      <w:r>
        <w:rPr>
          <w:rFonts w:hint="eastAsia"/>
        </w:rPr>
        <w:t>，该指标分值</w:t>
      </w:r>
      <w:r>
        <w:rPr>
          <w:rFonts w:hint="eastAsia"/>
          <w:lang w:val="en-US" w:eastAsia="zh-CN"/>
        </w:rPr>
        <w:t>5.55</w:t>
      </w:r>
      <w:r>
        <w:rPr>
          <w:rFonts w:hint="eastAsia"/>
        </w:rPr>
        <w:t>分，自评得分</w:t>
      </w:r>
      <w:r>
        <w:rPr>
          <w:rFonts w:hint="eastAsia"/>
          <w:lang w:val="en-US" w:eastAsia="zh-CN"/>
        </w:rPr>
        <w:t>5.55</w:t>
      </w:r>
      <w:r>
        <w:rPr>
          <w:rFonts w:hint="eastAsia"/>
        </w:rPr>
        <w:t>分，得分率为</w:t>
      </w:r>
      <w:r>
        <w:rPr>
          <w:rFonts w:hint="eastAsia"/>
          <w:lang w:eastAsia="zh-CN"/>
        </w:rPr>
        <w:t>100.00%</w:t>
      </w:r>
      <w:r>
        <w:rPr>
          <w:rFonts w:hint="eastAsia"/>
        </w:rPr>
        <w:t>。</w:t>
      </w:r>
    </w:p>
    <w:p w14:paraId="0913B788">
      <w:pPr>
        <w:ind w:firstLine="562"/>
      </w:pPr>
      <w:r>
        <w:rPr>
          <w:rFonts w:hint="eastAsia"/>
          <w:b/>
          <w:bCs/>
        </w:rPr>
        <w:t>案件法定期间办结率：</w:t>
      </w:r>
      <w:r>
        <w:rPr>
          <w:rFonts w:hint="eastAsia"/>
        </w:rPr>
        <w:t>我院</w:t>
      </w:r>
      <w:r>
        <w:rPr>
          <w:rFonts w:hint="eastAsia"/>
          <w:lang w:val="en-US" w:eastAsia="zh-CN"/>
        </w:rPr>
        <w:t>2023年案件法定期间办结率99.62%，</w:t>
      </w:r>
      <w:r>
        <w:rPr>
          <w:rFonts w:hint="eastAsia"/>
        </w:rPr>
        <w:t>该指标分值</w:t>
      </w:r>
      <w:r>
        <w:rPr>
          <w:rFonts w:hint="eastAsia"/>
          <w:lang w:val="en-US" w:eastAsia="zh-CN"/>
        </w:rPr>
        <w:t>5.55</w:t>
      </w:r>
      <w:r>
        <w:rPr>
          <w:rFonts w:hint="eastAsia"/>
        </w:rPr>
        <w:t>分，自评得分</w:t>
      </w:r>
      <w:r>
        <w:rPr>
          <w:rFonts w:hint="eastAsia"/>
          <w:lang w:val="en-US" w:eastAsia="zh-CN"/>
        </w:rPr>
        <w:t>5.55</w:t>
      </w:r>
      <w:r>
        <w:rPr>
          <w:rFonts w:hint="eastAsia"/>
        </w:rPr>
        <w:t>分，得分率为</w:t>
      </w:r>
      <w:r>
        <w:rPr>
          <w:rFonts w:hint="eastAsia"/>
          <w:lang w:eastAsia="zh-CN"/>
        </w:rPr>
        <w:t>100.00%</w:t>
      </w:r>
      <w:r>
        <w:rPr>
          <w:rFonts w:hint="eastAsia"/>
        </w:rPr>
        <w:t>。</w:t>
      </w:r>
    </w:p>
    <w:p w14:paraId="72CCC852">
      <w:pPr>
        <w:ind w:firstLine="562"/>
        <w:rPr>
          <w:rFonts w:hint="eastAsia"/>
        </w:rPr>
      </w:pPr>
      <w:r>
        <w:rPr>
          <w:rFonts w:hint="eastAsia"/>
          <w:b/>
          <w:bCs/>
        </w:rPr>
        <w:t>年度预算控制率：</w:t>
      </w:r>
      <w:r>
        <w:rPr>
          <w:rFonts w:hint="eastAsia"/>
        </w:rPr>
        <w:t>我院年度预算控制率</w:t>
      </w:r>
      <w:r>
        <w:rPr>
          <w:rFonts w:hint="eastAsia"/>
          <w:lang w:val="en-US" w:eastAsia="zh-CN"/>
        </w:rPr>
        <w:t>达到</w:t>
      </w:r>
      <w:r>
        <w:rPr>
          <w:rFonts w:hint="eastAsia"/>
        </w:rPr>
        <w:t>100%</w:t>
      </w:r>
      <w:r>
        <w:rPr>
          <w:rFonts w:hint="eastAsia"/>
          <w:lang w:eastAsia="zh-CN"/>
        </w:rPr>
        <w:t>，</w:t>
      </w:r>
      <w:r>
        <w:rPr>
          <w:rFonts w:hint="eastAsia"/>
          <w:lang w:val="en-US" w:eastAsia="zh-CN"/>
        </w:rPr>
        <w:t>均在预算范围内</w:t>
      </w:r>
      <w:r>
        <w:rPr>
          <w:rFonts w:hint="eastAsia"/>
        </w:rPr>
        <w:t>，该指标分值</w:t>
      </w:r>
      <w:r>
        <w:rPr>
          <w:rFonts w:hint="eastAsia"/>
          <w:lang w:val="en-US" w:eastAsia="zh-CN"/>
        </w:rPr>
        <w:t>5.55</w:t>
      </w:r>
      <w:r>
        <w:rPr>
          <w:rFonts w:hint="eastAsia"/>
        </w:rPr>
        <w:t>分，自评得分</w:t>
      </w:r>
      <w:r>
        <w:rPr>
          <w:rFonts w:hint="eastAsia"/>
          <w:lang w:val="en-US" w:eastAsia="zh-CN"/>
        </w:rPr>
        <w:t>5.55</w:t>
      </w:r>
      <w:r>
        <w:rPr>
          <w:rFonts w:hint="eastAsia"/>
        </w:rPr>
        <w:t>分，得分率为</w:t>
      </w:r>
      <w:r>
        <w:rPr>
          <w:rFonts w:hint="eastAsia"/>
          <w:lang w:eastAsia="zh-CN"/>
        </w:rPr>
        <w:t>100.00%</w:t>
      </w:r>
      <w:r>
        <w:rPr>
          <w:rFonts w:hint="eastAsia"/>
        </w:rPr>
        <w:t>。</w:t>
      </w:r>
    </w:p>
    <w:p w14:paraId="5C34C155">
      <w:pPr>
        <w:ind w:firstLine="562"/>
        <w:rPr>
          <w:rFonts w:hint="eastAsia"/>
        </w:rPr>
      </w:pPr>
      <w:r>
        <w:rPr>
          <w:rFonts w:hint="eastAsia"/>
          <w:b/>
          <w:bCs/>
        </w:rPr>
        <w:t>执行案件结案率</w:t>
      </w:r>
      <w:r>
        <w:rPr>
          <w:rFonts w:hint="eastAsia"/>
          <w:b/>
          <w:bCs/>
          <w:lang w:eastAsia="zh-CN"/>
        </w:rPr>
        <w:t>：</w:t>
      </w:r>
      <w:r>
        <w:rPr>
          <w:rFonts w:hint="eastAsia" w:ascii="仿宋_GB2312" w:hAnsi="宋体" w:eastAsia="仿宋_GB2312" w:cstheme="minorBidi"/>
          <w:b w:val="0"/>
          <w:bCs w:val="0"/>
          <w:kern w:val="2"/>
          <w:sz w:val="28"/>
          <w:szCs w:val="28"/>
          <w:lang w:val="en-US" w:eastAsia="zh-CN" w:bidi="ar-SA"/>
        </w:rPr>
        <w:t>我院持续推进执行攻坚，营造诚实守信的法治环境。创建“1324”执行工作机制、分段执行工作法，规范行政案件执行、执行信访案件化解、网拍辅助机构管理，不断提高执行</w:t>
      </w:r>
      <w:r>
        <w:rPr>
          <w:rFonts w:hint="eastAsia" w:hAnsi="宋体" w:cstheme="minorBidi"/>
          <w:b w:val="0"/>
          <w:bCs w:val="0"/>
          <w:kern w:val="2"/>
          <w:sz w:val="28"/>
          <w:szCs w:val="28"/>
          <w:lang w:val="en-US" w:eastAsia="zh-CN" w:bidi="ar-SA"/>
        </w:rPr>
        <w:t>力。本年度</w:t>
      </w:r>
      <w:r>
        <w:rPr>
          <w:rFonts w:hint="eastAsia"/>
          <w:lang w:val="en-US" w:eastAsia="zh-CN"/>
        </w:rPr>
        <w:t>我院执行案件结案率为98.29%，</w:t>
      </w:r>
      <w:r>
        <w:rPr>
          <w:rFonts w:hint="eastAsia"/>
        </w:rPr>
        <w:t>年度指标值</w:t>
      </w:r>
      <w:r>
        <w:rPr>
          <w:rFonts w:hint="eastAsia"/>
          <w:lang w:val="en-US" w:eastAsia="zh-CN"/>
        </w:rPr>
        <w:t>大于等</w:t>
      </w:r>
      <w:r>
        <w:rPr>
          <w:rFonts w:hint="eastAsia"/>
        </w:rPr>
        <w:t>于</w:t>
      </w:r>
      <w:r>
        <w:rPr>
          <w:rFonts w:hint="eastAsia"/>
          <w:lang w:val="en-US" w:eastAsia="zh-CN"/>
        </w:rPr>
        <w:t>80.00%</w:t>
      </w:r>
      <w:r>
        <w:rPr>
          <w:rFonts w:hint="eastAsia"/>
        </w:rPr>
        <w:t>，该指标分值</w:t>
      </w:r>
      <w:r>
        <w:rPr>
          <w:rFonts w:hint="eastAsia"/>
          <w:lang w:val="en-US" w:eastAsia="zh-CN"/>
        </w:rPr>
        <w:t>5.55</w:t>
      </w:r>
      <w:r>
        <w:rPr>
          <w:rFonts w:hint="eastAsia"/>
        </w:rPr>
        <w:t>分，自评得分</w:t>
      </w:r>
      <w:r>
        <w:rPr>
          <w:rFonts w:hint="eastAsia"/>
          <w:lang w:val="en-US" w:eastAsia="zh-CN"/>
        </w:rPr>
        <w:t>5.55</w:t>
      </w:r>
      <w:r>
        <w:rPr>
          <w:rFonts w:hint="eastAsia"/>
        </w:rPr>
        <w:t>分，得分率为</w:t>
      </w:r>
      <w:r>
        <w:rPr>
          <w:rFonts w:hint="eastAsia"/>
          <w:lang w:eastAsia="zh-CN"/>
        </w:rPr>
        <w:t>100.00%</w:t>
      </w:r>
      <w:r>
        <w:rPr>
          <w:rFonts w:hint="eastAsia"/>
        </w:rPr>
        <w:t>。</w:t>
      </w:r>
    </w:p>
    <w:p w14:paraId="1C617192">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b/>
          <w:bCs/>
        </w:rPr>
        <w:t>营商环境改变：</w:t>
      </w:r>
      <w:r>
        <w:rPr>
          <w:rFonts w:hint="eastAsia" w:ascii="仿宋_GB2312" w:hAnsi="宋体" w:eastAsia="仿宋_GB2312" w:cstheme="minorBidi"/>
          <w:b w:val="0"/>
          <w:bCs w:val="0"/>
          <w:kern w:val="2"/>
          <w:sz w:val="28"/>
          <w:szCs w:val="28"/>
          <w:lang w:val="en-US" w:eastAsia="zh-CN" w:bidi="ar-SA"/>
        </w:rPr>
        <w:t>我院力争将矛盾纠纷化解在诉前，突出“和”字理念，贯彻“调解优先、调判结合”的民事审判方针，妥善化解民事纠纷，构建安定和谐的发展环境。营商环境改变</w:t>
      </w:r>
      <w:r>
        <w:rPr>
          <w:rFonts w:hint="eastAsia" w:hAnsi="宋体" w:cstheme="minorBidi"/>
          <w:b w:val="0"/>
          <w:bCs w:val="0"/>
          <w:kern w:val="2"/>
          <w:sz w:val="28"/>
          <w:szCs w:val="28"/>
          <w:lang w:val="en-US" w:eastAsia="zh-CN" w:bidi="ar-SA"/>
        </w:rPr>
        <w:t>较好。</w:t>
      </w:r>
      <w:r>
        <w:rPr>
          <w:rFonts w:hint="eastAsia" w:ascii="仿宋_GB2312" w:hAnsi="宋体" w:eastAsia="仿宋_GB2312" w:cstheme="minorBidi"/>
          <w:b w:val="0"/>
          <w:bCs w:val="0"/>
          <w:kern w:val="2"/>
          <w:sz w:val="28"/>
          <w:szCs w:val="28"/>
          <w:lang w:val="en-US" w:eastAsia="zh-CN" w:bidi="ar-SA"/>
        </w:rPr>
        <w:t>该指标分值</w:t>
      </w:r>
      <w:r>
        <w:rPr>
          <w:rFonts w:hint="eastAsia"/>
          <w:lang w:val="en-US" w:eastAsia="zh-CN"/>
        </w:rPr>
        <w:t>5.55</w:t>
      </w:r>
      <w:r>
        <w:rPr>
          <w:rFonts w:hint="eastAsia" w:ascii="仿宋_GB2312" w:hAnsi="宋体" w:eastAsia="仿宋_GB2312" w:cstheme="minorBidi"/>
          <w:b w:val="0"/>
          <w:bCs w:val="0"/>
          <w:kern w:val="2"/>
          <w:sz w:val="28"/>
          <w:szCs w:val="28"/>
          <w:lang w:val="en-US" w:eastAsia="zh-CN" w:bidi="ar-SA"/>
        </w:rPr>
        <w:t>分，自评得分为</w:t>
      </w:r>
      <w:r>
        <w:rPr>
          <w:rFonts w:hint="eastAsia"/>
          <w:lang w:val="en-US" w:eastAsia="zh-CN"/>
        </w:rPr>
        <w:t>5.55</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376A8A51">
      <w:pPr>
        <w:ind w:firstLine="562"/>
        <w:rPr>
          <w:rFonts w:hint="eastAsia"/>
        </w:rPr>
      </w:pPr>
      <w:r>
        <w:rPr>
          <w:rFonts w:hint="eastAsia" w:ascii="仿宋_GB2312" w:hAnsi="宋体" w:eastAsia="仿宋_GB2312" w:cstheme="minorBidi"/>
          <w:b/>
          <w:bCs/>
          <w:kern w:val="2"/>
          <w:sz w:val="28"/>
          <w:szCs w:val="28"/>
          <w:lang w:val="en-US" w:eastAsia="zh-CN" w:bidi="ar-SA"/>
        </w:rPr>
        <w:t>生态效益指标:</w:t>
      </w:r>
      <w:r>
        <w:rPr>
          <w:rFonts w:hint="eastAsia" w:ascii="仿宋_GB2312" w:hAnsi="宋体" w:eastAsia="仿宋_GB2312" w:cstheme="minorBidi"/>
          <w:b w:val="0"/>
          <w:bCs w:val="0"/>
          <w:kern w:val="2"/>
          <w:sz w:val="28"/>
          <w:szCs w:val="28"/>
          <w:lang w:val="en-US" w:eastAsia="zh-CN" w:bidi="ar-SA"/>
        </w:rPr>
        <w:t>我院本年度生态效益指标达标，该</w:t>
      </w:r>
      <w:r>
        <w:rPr>
          <w:rFonts w:hint="eastAsia"/>
        </w:rPr>
        <w:t>指标分值</w:t>
      </w:r>
      <w:r>
        <w:rPr>
          <w:rFonts w:hint="eastAsia"/>
          <w:lang w:val="en-US" w:eastAsia="zh-CN"/>
        </w:rPr>
        <w:t>5.55</w:t>
      </w:r>
      <w:r>
        <w:rPr>
          <w:rFonts w:hint="eastAsia"/>
        </w:rPr>
        <w:t>分，自评得分</w:t>
      </w:r>
      <w:r>
        <w:rPr>
          <w:rFonts w:hint="eastAsia"/>
          <w:lang w:val="en-US" w:eastAsia="zh-CN"/>
        </w:rPr>
        <w:t>5.55</w:t>
      </w:r>
      <w:r>
        <w:rPr>
          <w:rFonts w:hint="eastAsia"/>
        </w:rPr>
        <w:t>分，得分率为</w:t>
      </w:r>
      <w:r>
        <w:rPr>
          <w:rFonts w:hint="eastAsia"/>
          <w:lang w:eastAsia="zh-CN"/>
        </w:rPr>
        <w:t>100.00%</w:t>
      </w:r>
      <w:r>
        <w:rPr>
          <w:rFonts w:hint="eastAsia"/>
        </w:rPr>
        <w:t>。</w:t>
      </w:r>
    </w:p>
    <w:p w14:paraId="0EEF06BD">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内外干警</w:t>
      </w:r>
      <w:r>
        <w:rPr>
          <w:rFonts w:hint="eastAsia" w:ascii="仿宋_GB2312" w:hAnsi="仿宋_GB2312" w:eastAsia="仿宋_GB2312" w:cs="仿宋_GB2312"/>
          <w:b/>
          <w:bCs/>
          <w:sz w:val="28"/>
          <w:szCs w:val="28"/>
        </w:rPr>
        <w:t>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cs="仿宋_GB2312"/>
          <w:color w:val="auto"/>
          <w:sz w:val="28"/>
          <w:szCs w:val="28"/>
          <w:lang w:val="en-US" w:eastAsia="zh-CN"/>
        </w:rPr>
        <w:t>内外干警</w:t>
      </w:r>
      <w:r>
        <w:rPr>
          <w:rFonts w:hint="eastAsia" w:ascii="仿宋_GB2312" w:hAnsi="仿宋_GB2312" w:eastAsia="仿宋_GB2312" w:cs="仿宋_GB2312"/>
          <w:color w:val="auto"/>
          <w:sz w:val="28"/>
          <w:szCs w:val="28"/>
          <w:lang w:val="en-US" w:eastAsia="zh-CN"/>
        </w:rPr>
        <w:t>满意度达到</w:t>
      </w:r>
      <w:r>
        <w:rPr>
          <w:rFonts w:hint="eastAsia" w:cs="仿宋_GB2312"/>
          <w:color w:val="auto"/>
          <w:sz w:val="28"/>
          <w:szCs w:val="28"/>
          <w:lang w:val="en-US" w:eastAsia="zh-CN"/>
        </w:rPr>
        <w:t>95</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w:t>
      </w:r>
      <w:r>
        <w:rPr>
          <w:rFonts w:hint="eastAsia" w:cs="仿宋_GB2312"/>
          <w:sz w:val="28"/>
          <w:szCs w:val="28"/>
          <w:lang w:eastAsia="zh-CN"/>
        </w:rPr>
        <w:t>年度目标值为大于</w:t>
      </w:r>
      <w:r>
        <w:rPr>
          <w:rFonts w:hint="eastAsia" w:cs="仿宋_GB2312"/>
          <w:sz w:val="28"/>
          <w:szCs w:val="28"/>
          <w:lang w:val="en-US" w:eastAsia="zh-CN"/>
        </w:rPr>
        <w:t>等于95%，</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14:paraId="4F49206C">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rPr>
      </w:pPr>
      <w:r>
        <w:rPr>
          <w:rFonts w:hint="eastAsia" w:cs="仿宋_GB2312"/>
          <w:b/>
          <w:bCs/>
          <w:sz w:val="28"/>
          <w:szCs w:val="28"/>
          <w:lang w:val="en-US" w:eastAsia="zh-CN"/>
        </w:rPr>
        <w:t>外部群众</w:t>
      </w:r>
      <w:r>
        <w:rPr>
          <w:rFonts w:hint="eastAsia" w:ascii="仿宋_GB2312" w:hAnsi="仿宋_GB2312" w:eastAsia="仿宋_GB2312" w:cs="仿宋_GB2312"/>
          <w:b/>
          <w:bCs/>
          <w:sz w:val="28"/>
          <w:szCs w:val="28"/>
        </w:rPr>
        <w:t>满意度：</w:t>
      </w:r>
      <w:r>
        <w:rPr>
          <w:rFonts w:hint="eastAsia"/>
        </w:rPr>
        <w:t>我院依法审理各类案件，妥善化解矛盾纠纷和行政争议，维护了法院审判工作的有序开展，积极保障人民群众生命财产安全，</w:t>
      </w:r>
      <w:r>
        <w:rPr>
          <w:rFonts w:hint="eastAsia"/>
          <w:lang w:val="en-US" w:eastAsia="zh-CN"/>
        </w:rPr>
        <w:t>外部群众满意度95%，</w:t>
      </w:r>
      <w:r>
        <w:rPr>
          <w:rFonts w:hint="eastAsia" w:cs="仿宋_GB2312"/>
          <w:sz w:val="28"/>
          <w:szCs w:val="28"/>
          <w:lang w:eastAsia="zh-CN"/>
        </w:rPr>
        <w:t>年度目标值为大于</w:t>
      </w:r>
      <w:r>
        <w:rPr>
          <w:rFonts w:hint="eastAsia" w:cs="仿宋_GB2312"/>
          <w:sz w:val="28"/>
          <w:szCs w:val="28"/>
          <w:lang w:val="en-US" w:eastAsia="zh-CN"/>
        </w:rPr>
        <w:t>等于95%</w:t>
      </w:r>
      <w:r>
        <w:rPr>
          <w:rFonts w:hint="eastAsia"/>
          <w:lang w:val="en-US" w:eastAsia="zh-CN"/>
        </w:rPr>
        <w:t>。</w:t>
      </w:r>
      <w:r>
        <w:rPr>
          <w:rFonts w:hint="eastAsia"/>
        </w:rPr>
        <w:t>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14:paraId="2EA7E162">
      <w:pPr>
        <w:spacing w:line="360" w:lineRule="auto"/>
        <w:ind w:left="0" w:leftChars="0" w:firstLine="562" w:firstLineChars="200"/>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单位获奖情况：</w:t>
      </w:r>
      <w:r>
        <w:rPr>
          <w:rFonts w:hint="eastAsia" w:ascii="仿宋_GB2312" w:hAnsi="仿宋_GB2312" w:eastAsia="仿宋_GB2312"/>
          <w:sz w:val="28"/>
          <w:shd w:val="clear" w:color="auto" w:fill="FFFFFF"/>
        </w:rPr>
        <w:t>202</w:t>
      </w:r>
      <w:r>
        <w:rPr>
          <w:rFonts w:hint="eastAsia"/>
          <w:sz w:val="28"/>
          <w:shd w:val="clear" w:color="auto" w:fill="FFFFFF"/>
          <w:lang w:val="en-US" w:eastAsia="zh-CN"/>
        </w:rPr>
        <w:t>3</w:t>
      </w:r>
      <w:r>
        <w:rPr>
          <w:rFonts w:hint="eastAsia" w:ascii="仿宋_GB2312" w:hAnsi="仿宋_GB2312" w:eastAsia="仿宋_GB2312"/>
          <w:sz w:val="28"/>
          <w:shd w:val="clear" w:color="auto" w:fill="FFFFFF"/>
        </w:rPr>
        <w:t>年度，单位获奖</w:t>
      </w:r>
      <w:r>
        <w:rPr>
          <w:rFonts w:hint="eastAsia"/>
          <w:sz w:val="28"/>
          <w:shd w:val="clear" w:color="auto" w:fill="FFFFFF"/>
          <w:lang w:val="en-US" w:eastAsia="zh-CN"/>
        </w:rPr>
        <w:t>4项</w:t>
      </w:r>
      <w:r>
        <w:rPr>
          <w:rFonts w:hint="eastAsia" w:ascii="仿宋_GB2312" w:hAnsi="仿宋_GB2312" w:eastAsia="仿宋_GB2312"/>
          <w:sz w:val="28"/>
          <w:shd w:val="clear" w:color="auto" w:fill="FFFFFF"/>
        </w:rPr>
        <w:t>，</w:t>
      </w:r>
      <w:r>
        <w:rPr>
          <w:rFonts w:hint="eastAsia" w:cs="仿宋_GB2312"/>
          <w:sz w:val="28"/>
          <w:szCs w:val="28"/>
          <w:lang w:eastAsia="zh-CN"/>
        </w:rPr>
        <w:t>年度目标值为大于</w:t>
      </w:r>
      <w:r>
        <w:rPr>
          <w:rFonts w:hint="eastAsia" w:cs="仿宋_GB2312"/>
          <w:sz w:val="28"/>
          <w:szCs w:val="28"/>
          <w:lang w:val="en-US" w:eastAsia="zh-CN"/>
        </w:rPr>
        <w:t>等于2项，</w:t>
      </w:r>
      <w:r>
        <w:rPr>
          <w:rFonts w:hint="eastAsia" w:ascii="仿宋_GB2312" w:hAnsi="仿宋_GB2312" w:eastAsia="仿宋_GB2312" w:cs="仿宋_GB2312"/>
          <w:szCs w:val="28"/>
        </w:rPr>
        <w:t>该指标分值</w:t>
      </w:r>
      <w:r>
        <w:rPr>
          <w:rFonts w:hint="eastAsia" w:cs="仿宋_GB2312"/>
          <w:szCs w:val="28"/>
          <w:lang w:val="en-US" w:eastAsia="zh-CN"/>
        </w:rPr>
        <w:t>5.55</w:t>
      </w:r>
      <w:r>
        <w:rPr>
          <w:rFonts w:hint="eastAsia" w:ascii="仿宋_GB2312" w:hAnsi="仿宋_GB2312" w:eastAsia="仿宋_GB2312" w:cs="仿宋_GB2312"/>
          <w:szCs w:val="28"/>
        </w:rPr>
        <w:t>分，自评得分</w:t>
      </w:r>
      <w:r>
        <w:rPr>
          <w:rFonts w:hint="eastAsia" w:cs="仿宋_GB2312"/>
          <w:szCs w:val="28"/>
          <w:lang w:val="en-US" w:eastAsia="zh-CN"/>
        </w:rPr>
        <w:t>4.85</w:t>
      </w:r>
      <w:r>
        <w:rPr>
          <w:rFonts w:hint="eastAsia" w:ascii="仿宋_GB2312" w:hAnsi="仿宋_GB2312" w:eastAsia="仿宋_GB2312" w:cs="仿宋_GB2312"/>
          <w:szCs w:val="28"/>
        </w:rPr>
        <w:t>分，得分率为</w:t>
      </w:r>
      <w:r>
        <w:rPr>
          <w:rFonts w:hint="eastAsia" w:cs="仿宋_GB2312"/>
          <w:szCs w:val="28"/>
          <w:lang w:val="en-US" w:eastAsia="zh-CN"/>
        </w:rPr>
        <w:t>87.39</w:t>
      </w:r>
      <w:r>
        <w:rPr>
          <w:rFonts w:hint="eastAsia" w:ascii="仿宋_GB2312" w:hAnsi="仿宋_GB2312" w:eastAsia="仿宋_GB2312" w:cs="仿宋_GB2312"/>
          <w:szCs w:val="28"/>
        </w:rPr>
        <w:t>%</w:t>
      </w:r>
      <w:r>
        <w:rPr>
          <w:rFonts w:hint="eastAsia" w:ascii="仿宋_GB2312" w:hAnsi="宋体" w:eastAsia="仿宋_GB2312" w:cstheme="minorBidi"/>
          <w:b w:val="0"/>
          <w:bCs w:val="0"/>
          <w:kern w:val="2"/>
          <w:sz w:val="28"/>
          <w:szCs w:val="28"/>
          <w:lang w:val="en-US" w:eastAsia="zh-CN" w:bidi="ar-SA"/>
        </w:rPr>
        <w:t>。</w:t>
      </w:r>
    </w:p>
    <w:p w14:paraId="3A7A5347">
      <w:pPr>
        <w:keepNext/>
        <w:keepLines/>
        <w:pageBreakBefore w:val="0"/>
        <w:widowControl w:val="0"/>
        <w:kinsoku/>
        <w:wordWrap/>
        <w:overflowPunct/>
        <w:topLinePunct w:val="0"/>
        <w:autoSpaceDE/>
        <w:autoSpaceDN/>
        <w:bidi w:val="0"/>
        <w:adjustRightInd/>
        <w:snapToGrid/>
        <w:spacing w:before="0" w:after="0" w:line="360" w:lineRule="auto"/>
        <w:ind w:firstLine="562" w:firstLineChars="200"/>
        <w:jc w:val="both"/>
        <w:textAlignment w:val="auto"/>
        <w:outlineLvl w:val="9"/>
        <w:rPr>
          <w:sz w:val="28"/>
          <w:szCs w:val="28"/>
        </w:rPr>
      </w:pPr>
      <w:r>
        <w:rPr>
          <w:rFonts w:hint="eastAsia" w:ascii="仿宋_GB2312" w:hAnsi="宋体" w:eastAsia="仿宋_GB2312" w:cstheme="minorBidi"/>
          <w:b/>
          <w:bCs/>
          <w:kern w:val="2"/>
          <w:sz w:val="28"/>
          <w:szCs w:val="28"/>
          <w:lang w:val="en-US" w:eastAsia="zh-CN" w:bidi="ar-SA"/>
        </w:rPr>
        <w:t>违法违纪情况：</w:t>
      </w:r>
      <w:r>
        <w:rPr>
          <w:rFonts w:hint="eastAsia" w:cs="仿宋_GB2312"/>
          <w:szCs w:val="28"/>
          <w:lang w:eastAsia="zh-CN"/>
        </w:rPr>
        <w:t>2023年</w:t>
      </w:r>
      <w:r>
        <w:rPr>
          <w:rFonts w:hint="eastAsia" w:ascii="仿宋_GB2312" w:hAnsi="仿宋_GB2312" w:eastAsia="仿宋_GB2312" w:cs="仿宋_GB2312"/>
          <w:szCs w:val="28"/>
        </w:rPr>
        <w:t>我院未出现</w:t>
      </w:r>
      <w:r>
        <w:rPr>
          <w:rFonts w:hint="eastAsia" w:ascii="仿宋_GB2312" w:hAnsi="仿宋_GB2312" w:eastAsia="仿宋_GB2312" w:cs="仿宋_GB2312"/>
          <w:szCs w:val="28"/>
          <w:lang w:val="en-US" w:eastAsia="zh-CN"/>
        </w:rPr>
        <w:t>违纪违法</w:t>
      </w:r>
      <w:r>
        <w:rPr>
          <w:rFonts w:hint="eastAsia" w:ascii="仿宋_GB2312" w:hAnsi="仿宋_GB2312" w:eastAsia="仿宋_GB2312" w:cs="仿宋_GB2312"/>
          <w:szCs w:val="28"/>
        </w:rPr>
        <w:t>的情况。该指标分值</w:t>
      </w:r>
      <w:r>
        <w:rPr>
          <w:rFonts w:hint="eastAsia" w:cs="仿宋_GB2312"/>
          <w:szCs w:val="28"/>
          <w:lang w:val="en-US" w:eastAsia="zh-CN"/>
        </w:rPr>
        <w:t>5.55</w:t>
      </w:r>
      <w:r>
        <w:rPr>
          <w:rFonts w:hint="eastAsia" w:ascii="仿宋_GB2312" w:hAnsi="仿宋_GB2312" w:eastAsia="仿宋_GB2312" w:cs="仿宋_GB2312"/>
          <w:szCs w:val="28"/>
        </w:rPr>
        <w:t>分，</w:t>
      </w:r>
      <w:r>
        <w:rPr>
          <w:rFonts w:hint="eastAsia" w:cs="仿宋_GB2312"/>
          <w:szCs w:val="28"/>
          <w:lang w:val="en-US" w:eastAsia="zh-CN"/>
        </w:rPr>
        <w:t>自评</w:t>
      </w:r>
      <w:r>
        <w:rPr>
          <w:rFonts w:hint="eastAsia" w:ascii="仿宋_GB2312" w:hAnsi="仿宋_GB2312" w:eastAsia="仿宋_GB2312" w:cs="仿宋_GB2312"/>
          <w:szCs w:val="28"/>
        </w:rPr>
        <w:t>得分</w:t>
      </w:r>
      <w:r>
        <w:rPr>
          <w:rFonts w:hint="eastAsia" w:cs="仿宋_GB2312"/>
          <w:szCs w:val="28"/>
          <w:lang w:val="en-US" w:eastAsia="zh-CN"/>
        </w:rPr>
        <w:t>5.55</w:t>
      </w:r>
      <w:r>
        <w:rPr>
          <w:rFonts w:hint="eastAsia" w:ascii="仿宋_GB2312" w:hAnsi="仿宋_GB2312" w:eastAsia="仿宋_GB2312" w:cs="仿宋_GB2312"/>
          <w:szCs w:val="28"/>
        </w:rPr>
        <w:t>分，得分率</w:t>
      </w:r>
      <w:r>
        <w:rPr>
          <w:rFonts w:hint="eastAsia" w:cs="仿宋_GB2312"/>
          <w:szCs w:val="28"/>
          <w:lang w:eastAsia="zh-CN"/>
        </w:rPr>
        <w:t>100.00%</w:t>
      </w:r>
      <w:r>
        <w:rPr>
          <w:rFonts w:hint="eastAsia" w:ascii="仿宋_GB2312" w:hAnsi="仿宋_GB2312" w:eastAsia="仿宋_GB2312" w:cs="仿宋_GB2312"/>
          <w:szCs w:val="28"/>
        </w:rPr>
        <w:t>。</w:t>
      </w:r>
    </w:p>
    <w:p w14:paraId="25394A80">
      <w:pPr>
        <w:pStyle w:val="4"/>
        <w:keepNext/>
        <w:keepLines/>
        <w:pageBreakBefore w:val="0"/>
        <w:widowControl w:val="0"/>
        <w:kinsoku/>
        <w:wordWrap/>
        <w:overflowPunct/>
        <w:topLinePunct w:val="0"/>
        <w:autoSpaceDE/>
        <w:autoSpaceDN/>
        <w:bidi w:val="0"/>
        <w:adjustRightInd/>
        <w:snapToGrid/>
        <w:ind w:firstLine="562"/>
        <w:textAlignment w:val="auto"/>
        <w:rPr>
          <w:rFonts w:hint="eastAsia"/>
          <w:lang w:val="en-US" w:eastAsia="zh-CN"/>
        </w:rPr>
      </w:pPr>
      <w:r>
        <w:rPr>
          <w:rFonts w:hint="eastAsia"/>
          <w:lang w:val="en-US" w:eastAsia="zh-CN"/>
        </w:rPr>
        <w:t>4.能力建设</w:t>
      </w:r>
    </w:p>
    <w:p w14:paraId="136CED41">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pPr>
      <w:r>
        <w:rPr>
          <w:rFonts w:hint="eastAsia"/>
        </w:rPr>
        <w:t>能力建设指标</w:t>
      </w:r>
      <w:r>
        <w:rPr>
          <w:rFonts w:hint="eastAsia"/>
          <w:highlight w:val="none"/>
        </w:rPr>
        <w:t>包括长效管理、</w:t>
      </w:r>
      <w:r>
        <w:rPr>
          <w:rFonts w:hint="eastAsia"/>
          <w:highlight w:val="none"/>
          <w:lang w:val="en-US" w:eastAsia="zh-CN"/>
        </w:rPr>
        <w:t>人力资源建设、档案管理3</w:t>
      </w:r>
      <w:r>
        <w:rPr>
          <w:rFonts w:hint="eastAsia"/>
          <w:highlight w:val="none"/>
        </w:rPr>
        <w:t>个二级指标，下设</w:t>
      </w:r>
      <w:r>
        <w:rPr>
          <w:rFonts w:hint="eastAsia"/>
          <w:highlight w:val="none"/>
          <w:lang w:val="en-US" w:eastAsia="zh-CN"/>
        </w:rPr>
        <w:t>5</w:t>
      </w:r>
      <w:r>
        <w:rPr>
          <w:rFonts w:hint="eastAsia"/>
          <w:highlight w:val="none"/>
        </w:rPr>
        <w:t>个三级指标。</w:t>
      </w:r>
      <w:r>
        <w:rPr>
          <w:rFonts w:hint="eastAsia"/>
        </w:rPr>
        <w:t>能力建设</w:t>
      </w:r>
      <w:r>
        <w:rPr>
          <w:rFonts w:hint="eastAsia"/>
          <w:highlight w:val="none"/>
        </w:rPr>
        <w:t>指标</w:t>
      </w:r>
      <w:r>
        <w:rPr>
          <w:rFonts w:hint="eastAsia"/>
        </w:rPr>
        <w:t>分值</w:t>
      </w:r>
      <w:r>
        <w:t>10分，自评得分10分，得分率</w:t>
      </w:r>
      <w:r>
        <w:rPr>
          <w:rFonts w:hint="eastAsia"/>
          <w:lang w:eastAsia="zh-CN"/>
        </w:rPr>
        <w:t>100.00%</w:t>
      </w:r>
      <w: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625"/>
        <w:gridCol w:w="2535"/>
        <w:gridCol w:w="1155"/>
        <w:gridCol w:w="1080"/>
        <w:gridCol w:w="818"/>
        <w:gridCol w:w="810"/>
        <w:gridCol w:w="1046"/>
      </w:tblGrid>
      <w:tr w14:paraId="5DF785B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shd w:val="clear" w:color="auto" w:fill="BDD6EE"/>
            <w:vAlign w:val="center"/>
          </w:tcPr>
          <w:p w14:paraId="1F962182">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535" w:type="dxa"/>
            <w:shd w:val="clear" w:color="auto" w:fill="BDD6EE"/>
            <w:vAlign w:val="center"/>
          </w:tcPr>
          <w:p w14:paraId="04067D44">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1155" w:type="dxa"/>
            <w:shd w:val="clear" w:color="auto" w:fill="BDD6EE"/>
            <w:vAlign w:val="center"/>
          </w:tcPr>
          <w:p w14:paraId="324F7159">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080" w:type="dxa"/>
            <w:shd w:val="clear" w:color="auto" w:fill="BDD6EE"/>
            <w:vAlign w:val="center"/>
          </w:tcPr>
          <w:p w14:paraId="568AB166">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18" w:type="dxa"/>
            <w:shd w:val="clear" w:color="auto" w:fill="BDD6EE"/>
            <w:vAlign w:val="center"/>
          </w:tcPr>
          <w:p w14:paraId="66A303CF">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810" w:type="dxa"/>
            <w:shd w:val="clear" w:color="auto" w:fill="BDD6EE"/>
            <w:vAlign w:val="center"/>
          </w:tcPr>
          <w:p w14:paraId="7BF1B16E">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14:paraId="7D3EDDD4">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14:paraId="1E4BE11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vAlign w:val="center"/>
          </w:tcPr>
          <w:p w14:paraId="1E0ECCC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长效管理</w:t>
            </w:r>
          </w:p>
        </w:tc>
        <w:tc>
          <w:tcPr>
            <w:tcW w:w="2535" w:type="dxa"/>
            <w:vAlign w:val="center"/>
          </w:tcPr>
          <w:p w14:paraId="7B9167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中期规划建设完备程度</w:t>
            </w:r>
          </w:p>
        </w:tc>
        <w:tc>
          <w:tcPr>
            <w:tcW w:w="1155" w:type="dxa"/>
            <w:vAlign w:val="center"/>
          </w:tcPr>
          <w:p w14:paraId="158E55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080" w:type="dxa"/>
            <w:vAlign w:val="center"/>
          </w:tcPr>
          <w:p w14:paraId="1E1537A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18" w:type="dxa"/>
            <w:vAlign w:val="center"/>
          </w:tcPr>
          <w:p w14:paraId="72EC8F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3.34</w:t>
            </w:r>
          </w:p>
        </w:tc>
        <w:tc>
          <w:tcPr>
            <w:tcW w:w="810" w:type="dxa"/>
            <w:vAlign w:val="center"/>
          </w:tcPr>
          <w:p w14:paraId="0206B2CD">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3.34</w:t>
            </w:r>
          </w:p>
        </w:tc>
        <w:tc>
          <w:tcPr>
            <w:tcW w:w="1046" w:type="dxa"/>
            <w:vAlign w:val="center"/>
          </w:tcPr>
          <w:p w14:paraId="045E8DCB">
            <w:pPr>
              <w:keepNext w:val="0"/>
              <w:keepLines w:val="0"/>
              <w:widowControl/>
              <w:suppressLineNumbers w:val="0"/>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662F9A4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vAlign w:val="center"/>
          </w:tcPr>
          <w:p w14:paraId="5BCBA3D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人力资源建设</w:t>
            </w:r>
          </w:p>
        </w:tc>
        <w:tc>
          <w:tcPr>
            <w:tcW w:w="2535" w:type="dxa"/>
            <w:vAlign w:val="center"/>
          </w:tcPr>
          <w:p w14:paraId="6631612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人员培训机制完备性</w:t>
            </w:r>
          </w:p>
        </w:tc>
        <w:tc>
          <w:tcPr>
            <w:tcW w:w="1155" w:type="dxa"/>
            <w:vAlign w:val="center"/>
          </w:tcPr>
          <w:p w14:paraId="2D117A0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080" w:type="dxa"/>
            <w:vAlign w:val="center"/>
          </w:tcPr>
          <w:p w14:paraId="5E136C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18" w:type="dxa"/>
            <w:vAlign w:val="center"/>
          </w:tcPr>
          <w:p w14:paraId="5CA2A8A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810" w:type="dxa"/>
            <w:vAlign w:val="center"/>
          </w:tcPr>
          <w:p w14:paraId="01E82C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046" w:type="dxa"/>
            <w:vAlign w:val="center"/>
          </w:tcPr>
          <w:p w14:paraId="736F481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DCBEAB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vAlign w:val="center"/>
          </w:tcPr>
          <w:p w14:paraId="06D0377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w:t>
            </w:r>
          </w:p>
        </w:tc>
        <w:tc>
          <w:tcPr>
            <w:tcW w:w="2535" w:type="dxa"/>
            <w:vAlign w:val="center"/>
          </w:tcPr>
          <w:p w14:paraId="4542AF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档案管理完备性</w:t>
            </w:r>
          </w:p>
        </w:tc>
        <w:tc>
          <w:tcPr>
            <w:tcW w:w="1155" w:type="dxa"/>
            <w:vAlign w:val="center"/>
          </w:tcPr>
          <w:p w14:paraId="081C4F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080" w:type="dxa"/>
            <w:vAlign w:val="center"/>
          </w:tcPr>
          <w:p w14:paraId="26FE93B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18" w:type="dxa"/>
            <w:vAlign w:val="center"/>
          </w:tcPr>
          <w:p w14:paraId="2FE5302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810" w:type="dxa"/>
            <w:vAlign w:val="center"/>
          </w:tcPr>
          <w:p w14:paraId="226F2CD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046" w:type="dxa"/>
            <w:vAlign w:val="center"/>
          </w:tcPr>
          <w:p w14:paraId="5E6E1864">
            <w:pPr>
              <w:keepNext w:val="0"/>
              <w:keepLines w:val="0"/>
              <w:widowControl/>
              <w:suppressLineNumbers w:val="0"/>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52C189E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625" w:type="dxa"/>
            <w:shd w:val="clear" w:color="auto" w:fill="BDD6EE"/>
            <w:vAlign w:val="center"/>
          </w:tcPr>
          <w:p w14:paraId="2CB0B5A4">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535" w:type="dxa"/>
            <w:shd w:val="clear" w:color="auto" w:fill="BDD6EE"/>
            <w:vAlign w:val="center"/>
          </w:tcPr>
          <w:p w14:paraId="3962000D">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5" w:type="dxa"/>
            <w:shd w:val="clear" w:color="auto" w:fill="BDD6EE"/>
            <w:vAlign w:val="center"/>
          </w:tcPr>
          <w:p w14:paraId="05A7E86E">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80" w:type="dxa"/>
            <w:shd w:val="clear" w:color="auto" w:fill="BDD6EE"/>
            <w:vAlign w:val="center"/>
          </w:tcPr>
          <w:p w14:paraId="3EB37CFE">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18" w:type="dxa"/>
            <w:shd w:val="clear" w:color="auto" w:fill="BDD6EE"/>
            <w:vAlign w:val="center"/>
          </w:tcPr>
          <w:p w14:paraId="7EB5447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810" w:type="dxa"/>
            <w:shd w:val="clear" w:color="auto" w:fill="BDD6EE"/>
            <w:vAlign w:val="center"/>
          </w:tcPr>
          <w:p w14:paraId="224CD27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46" w:type="dxa"/>
            <w:shd w:val="clear" w:color="auto" w:fill="BDD6EE"/>
            <w:vAlign w:val="center"/>
          </w:tcPr>
          <w:p w14:paraId="7168809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549C515E">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中期规划建设完备程度：</w:t>
      </w:r>
      <w:r>
        <w:rPr>
          <w:rFonts w:hint="eastAsia" w:ascii="仿宋_GB2312" w:hAnsi="宋体" w:eastAsia="仿宋_GB2312" w:cstheme="minorBidi"/>
          <w:b w:val="0"/>
          <w:bCs w:val="0"/>
          <w:kern w:val="2"/>
          <w:sz w:val="28"/>
          <w:szCs w:val="28"/>
          <w:lang w:val="en-US" w:eastAsia="zh-CN" w:bidi="ar-SA"/>
        </w:rPr>
        <w:t>我院中期规划完整清晰、内容全面可行，能够为</w:t>
      </w:r>
      <w:r>
        <w:rPr>
          <w:rFonts w:hint="eastAsia" w:ascii="仿宋_GB2312" w:hAnsi="宋体" w:eastAsia="仿宋_GB2312" w:cstheme="minorBidi"/>
          <w:b w:val="0"/>
          <w:bCs w:val="0"/>
          <w:kern w:val="2"/>
          <w:sz w:val="28"/>
          <w:szCs w:val="28"/>
          <w:highlight w:val="none"/>
          <w:lang w:val="en-US" w:eastAsia="zh-CN" w:bidi="ar-SA"/>
        </w:rPr>
        <w:t>未来的工作明确目标、方向和内容，达到年度指标值。该指标分值</w:t>
      </w:r>
      <w:r>
        <w:rPr>
          <w:rFonts w:hint="eastAsia" w:hAnsi="宋体" w:cstheme="minorBidi"/>
          <w:b w:val="0"/>
          <w:bCs w:val="0"/>
          <w:kern w:val="2"/>
          <w:sz w:val="28"/>
          <w:szCs w:val="28"/>
          <w:highlight w:val="none"/>
          <w:lang w:val="en-US" w:eastAsia="zh-CN" w:bidi="ar-SA"/>
        </w:rPr>
        <w:t>3.34</w:t>
      </w:r>
      <w:r>
        <w:rPr>
          <w:rFonts w:hint="eastAsia" w:ascii="仿宋_GB2312" w:hAnsi="宋体" w:eastAsia="仿宋_GB2312" w:cstheme="minorBidi"/>
          <w:b w:val="0"/>
          <w:bCs w:val="0"/>
          <w:kern w:val="2"/>
          <w:sz w:val="28"/>
          <w:szCs w:val="28"/>
          <w:highlight w:val="none"/>
          <w:lang w:val="en-US" w:eastAsia="zh-CN" w:bidi="ar-SA"/>
        </w:rPr>
        <w:t>分，自评得分为</w:t>
      </w:r>
      <w:r>
        <w:rPr>
          <w:rFonts w:hint="eastAsia" w:hAnsi="宋体" w:cstheme="minorBidi"/>
          <w:b w:val="0"/>
          <w:bCs w:val="0"/>
          <w:kern w:val="2"/>
          <w:sz w:val="28"/>
          <w:szCs w:val="28"/>
          <w:highlight w:val="none"/>
          <w:lang w:val="en-US" w:eastAsia="zh-CN" w:bidi="ar-SA"/>
        </w:rPr>
        <w:t>3.34</w:t>
      </w:r>
      <w:r>
        <w:rPr>
          <w:rFonts w:hint="eastAsia" w:ascii="仿宋_GB2312" w:hAnsi="宋体" w:eastAsia="仿宋_GB2312" w:cstheme="minorBidi"/>
          <w:b w:val="0"/>
          <w:bCs w:val="0"/>
          <w:kern w:val="2"/>
          <w:sz w:val="28"/>
          <w:szCs w:val="28"/>
          <w:highlight w:val="none"/>
          <w:lang w:val="en-US" w:eastAsia="zh-CN" w:bidi="ar-SA"/>
        </w:rPr>
        <w:t>分，得分率</w:t>
      </w:r>
      <w:r>
        <w:rPr>
          <w:rFonts w:hint="eastAsia" w:hAnsi="宋体" w:cstheme="minorBidi"/>
          <w:b w:val="0"/>
          <w:bCs w:val="0"/>
          <w:kern w:val="2"/>
          <w:sz w:val="28"/>
          <w:szCs w:val="28"/>
          <w:highlight w:val="none"/>
          <w:lang w:val="en-US" w:eastAsia="zh-CN" w:bidi="ar-SA"/>
        </w:rPr>
        <w:t>100.00%</w:t>
      </w:r>
      <w:r>
        <w:rPr>
          <w:rFonts w:hint="eastAsia" w:ascii="仿宋_GB2312" w:hAnsi="宋体" w:eastAsia="仿宋_GB2312" w:cstheme="minorBidi"/>
          <w:b w:val="0"/>
          <w:bCs w:val="0"/>
          <w:kern w:val="2"/>
          <w:sz w:val="28"/>
          <w:szCs w:val="28"/>
          <w:highlight w:val="none"/>
          <w:lang w:val="en-US" w:eastAsia="zh-CN" w:bidi="ar-SA"/>
        </w:rPr>
        <w:t>。</w:t>
      </w:r>
    </w:p>
    <w:p w14:paraId="74526E7B">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hAnsi="宋体"/>
          <w:szCs w:val="28"/>
        </w:rPr>
      </w:pPr>
      <w:r>
        <w:rPr>
          <w:rFonts w:hint="eastAsia" w:ascii="仿宋_GB2312" w:hAnsi="宋体" w:eastAsia="仿宋_GB2312" w:cstheme="minorBidi"/>
          <w:b/>
          <w:bCs/>
          <w:color w:val="auto"/>
          <w:kern w:val="2"/>
          <w:sz w:val="28"/>
          <w:szCs w:val="28"/>
          <w:lang w:val="en-US" w:eastAsia="zh-CN" w:bidi="ar-SA"/>
        </w:rPr>
        <w:t>人员培训机制完备性：</w:t>
      </w:r>
      <w:r>
        <w:rPr>
          <w:rFonts w:hint="eastAsia" w:hAnsi="宋体" w:cstheme="minorBidi"/>
          <w:b w:val="0"/>
          <w:bCs w:val="0"/>
          <w:color w:val="auto"/>
          <w:kern w:val="2"/>
          <w:sz w:val="28"/>
          <w:szCs w:val="28"/>
          <w:lang w:val="en-US" w:eastAsia="zh-CN" w:bidi="ar-SA"/>
        </w:rPr>
        <w:t>我院</w:t>
      </w:r>
      <w:r>
        <w:rPr>
          <w:rFonts w:hint="eastAsia" w:hAnsi="宋体"/>
          <w:b w:val="0"/>
          <w:bCs w:val="0"/>
          <w:szCs w:val="28"/>
        </w:rPr>
        <w:t>定期</w:t>
      </w:r>
      <w:r>
        <w:rPr>
          <w:rFonts w:hint="eastAsia" w:hAnsi="宋体"/>
          <w:szCs w:val="28"/>
        </w:rPr>
        <w:t>组织开展内部学习与培训，</w:t>
      </w:r>
      <w:r>
        <w:rPr>
          <w:rFonts w:hint="eastAsia"/>
          <w:szCs w:val="32"/>
        </w:rPr>
        <w:t>增强业务素养，为加强全院干警政治理论和业务学习，提高干警政治业务素质，提供了制度保障，人员培训机制健全</w:t>
      </w:r>
      <w:r>
        <w:rPr>
          <w:rFonts w:hint="eastAsia"/>
        </w:rPr>
        <w:t>。</w:t>
      </w:r>
      <w:r>
        <w:rPr>
          <w:rFonts w:hint="eastAsia" w:hAnsi="宋体"/>
          <w:szCs w:val="28"/>
        </w:rPr>
        <w:t>该指标分值</w:t>
      </w:r>
      <w:r>
        <w:rPr>
          <w:rFonts w:hint="eastAsia" w:hAnsi="宋体" w:cstheme="minorBidi"/>
          <w:b w:val="0"/>
          <w:bCs w:val="0"/>
          <w:kern w:val="2"/>
          <w:sz w:val="28"/>
          <w:szCs w:val="28"/>
          <w:highlight w:val="none"/>
          <w:lang w:val="en-US" w:eastAsia="zh-CN" w:bidi="ar-SA"/>
        </w:rPr>
        <w:t>3.33</w:t>
      </w:r>
      <w:r>
        <w:rPr>
          <w:rFonts w:hint="eastAsia" w:hAnsi="宋体"/>
          <w:szCs w:val="28"/>
        </w:rPr>
        <w:t>分，自评得分</w:t>
      </w:r>
      <w:r>
        <w:rPr>
          <w:rFonts w:hint="eastAsia" w:hAnsi="宋体" w:cstheme="minorBidi"/>
          <w:b w:val="0"/>
          <w:bCs w:val="0"/>
          <w:kern w:val="2"/>
          <w:sz w:val="28"/>
          <w:szCs w:val="28"/>
          <w:highlight w:val="none"/>
          <w:lang w:val="en-US" w:eastAsia="zh-CN" w:bidi="ar-SA"/>
        </w:rPr>
        <w:t>3.33</w:t>
      </w:r>
      <w:r>
        <w:rPr>
          <w:rFonts w:hint="eastAsia" w:hAnsi="宋体"/>
          <w:szCs w:val="28"/>
        </w:rPr>
        <w:t>分，得分率</w:t>
      </w:r>
      <w:r>
        <w:rPr>
          <w:rFonts w:hint="eastAsia" w:hAnsi="宋体"/>
          <w:szCs w:val="28"/>
          <w:lang w:eastAsia="zh-CN"/>
        </w:rPr>
        <w:t>100.00%</w:t>
      </w:r>
      <w:r>
        <w:rPr>
          <w:rFonts w:hint="eastAsia" w:hAnsi="宋体"/>
          <w:szCs w:val="28"/>
        </w:rPr>
        <w:t>。</w:t>
      </w:r>
    </w:p>
    <w:p w14:paraId="54D9D15F">
      <w:pPr>
        <w:ind w:firstLine="562"/>
        <w:rPr>
          <w:rFonts w:hint="eastAsia"/>
          <w:lang w:eastAsia="zh-CN"/>
        </w:rPr>
      </w:pPr>
      <w:bookmarkStart w:id="50" w:name="_Toc16525"/>
      <w:bookmarkStart w:id="51" w:name="_Toc40046035"/>
      <w:bookmarkStart w:id="52" w:name="_Toc12558"/>
      <w:bookmarkStart w:id="53" w:name="_Toc16731"/>
      <w:bookmarkStart w:id="54" w:name="_Toc3174"/>
      <w:r>
        <w:rPr>
          <w:rFonts w:hint="eastAsia" w:hAnsi="宋体" w:cstheme="minorBidi"/>
          <w:b/>
          <w:bCs/>
          <w:color w:val="auto"/>
          <w:kern w:val="2"/>
          <w:sz w:val="28"/>
          <w:szCs w:val="28"/>
          <w:lang w:val="en-US" w:eastAsia="zh-CN" w:bidi="ar-SA"/>
        </w:rPr>
        <w:t>档案管理</w:t>
      </w:r>
      <w:r>
        <w:rPr>
          <w:rFonts w:hint="eastAsia" w:ascii="仿宋_GB2312" w:hAnsi="宋体" w:eastAsia="仿宋_GB2312" w:cstheme="minorBidi"/>
          <w:b/>
          <w:bCs/>
          <w:color w:val="auto"/>
          <w:kern w:val="2"/>
          <w:sz w:val="28"/>
          <w:szCs w:val="28"/>
          <w:lang w:val="en-US" w:eastAsia="zh-CN" w:bidi="ar-SA"/>
        </w:rPr>
        <w:t>完备性：</w:t>
      </w:r>
      <w:r>
        <w:rPr>
          <w:rFonts w:hint="eastAsia" w:hAnsi="宋体"/>
          <w:szCs w:val="28"/>
        </w:rPr>
        <w:t>我院</w:t>
      </w:r>
      <w:r>
        <w:rPr>
          <w:rFonts w:hint="eastAsia"/>
          <w:szCs w:val="32"/>
        </w:rPr>
        <w:t>规范档案管理工作，大力推进档案数字化进程，采购计算机输入输出系统及档案数字化录入系统，严格按照档案管理办法和上级法院及档案局的要求，规范和完善各项档案管理工作。</w:t>
      </w:r>
      <w:r>
        <w:rPr>
          <w:rFonts w:hint="eastAsia" w:hAnsi="宋体"/>
          <w:szCs w:val="28"/>
        </w:rPr>
        <w:t>该指标分值</w:t>
      </w:r>
      <w:r>
        <w:rPr>
          <w:rFonts w:hint="eastAsia" w:hAnsi="宋体" w:cstheme="minorBidi"/>
          <w:b w:val="0"/>
          <w:bCs w:val="0"/>
          <w:kern w:val="2"/>
          <w:sz w:val="28"/>
          <w:szCs w:val="28"/>
          <w:highlight w:val="none"/>
          <w:lang w:val="en-US" w:eastAsia="zh-CN" w:bidi="ar-SA"/>
        </w:rPr>
        <w:t>3.33</w:t>
      </w:r>
      <w:r>
        <w:rPr>
          <w:rFonts w:hint="eastAsia" w:hAnsi="宋体"/>
          <w:szCs w:val="28"/>
        </w:rPr>
        <w:t>分，自评得分</w:t>
      </w:r>
      <w:r>
        <w:rPr>
          <w:rFonts w:hint="eastAsia" w:hAnsi="宋体" w:cstheme="minorBidi"/>
          <w:b w:val="0"/>
          <w:bCs w:val="0"/>
          <w:kern w:val="2"/>
          <w:sz w:val="28"/>
          <w:szCs w:val="28"/>
          <w:highlight w:val="none"/>
          <w:lang w:val="en-US" w:eastAsia="zh-CN" w:bidi="ar-SA"/>
        </w:rPr>
        <w:t>3.33</w:t>
      </w:r>
      <w:r>
        <w:rPr>
          <w:rFonts w:hint="eastAsia" w:hAnsi="宋体"/>
          <w:szCs w:val="28"/>
        </w:rPr>
        <w:t>分，得分率</w:t>
      </w:r>
      <w:r>
        <w:rPr>
          <w:rFonts w:hint="eastAsia" w:hAnsi="宋体"/>
          <w:szCs w:val="28"/>
          <w:lang w:eastAsia="zh-CN"/>
        </w:rPr>
        <w:t>100.00%</w:t>
      </w:r>
      <w:r>
        <w:rPr>
          <w:rFonts w:hint="eastAsia" w:hAnsi="宋体"/>
          <w:szCs w:val="28"/>
        </w:rPr>
        <w:t>。</w:t>
      </w:r>
    </w:p>
    <w:p w14:paraId="6B25EEED">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firstLine="643" w:firstLineChars="200"/>
        <w:jc w:val="both"/>
        <w:textAlignment w:val="auto"/>
      </w:pPr>
      <w:bookmarkStart w:id="55" w:name="_Toc6572"/>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bookmarkEnd w:id="50"/>
      <w:bookmarkEnd w:id="51"/>
      <w:bookmarkEnd w:id="52"/>
      <w:bookmarkEnd w:id="53"/>
      <w:bookmarkEnd w:id="54"/>
      <w:bookmarkEnd w:id="55"/>
    </w:p>
    <w:p w14:paraId="1C887428">
      <w:pPr>
        <w:bidi w:val="0"/>
        <w:rPr>
          <w:rFonts w:hint="eastAsia"/>
          <w:lang w:val="en-US" w:eastAsia="zh-CN"/>
        </w:rPr>
      </w:pPr>
      <w:r>
        <w:rPr>
          <w:rFonts w:hint="eastAsia"/>
          <w:lang w:val="en-US" w:eastAsia="zh-CN"/>
        </w:rPr>
        <w:t>项目支出预算执行率较低，年末结转结余资金较多，下一步我院将督促提高资金执行率；结转结余变动率、单位获奖情况指标值设置偏低较低，我院将根据实际发生情况，合理设置年度绩效指标指。</w:t>
      </w:r>
    </w:p>
    <w:p w14:paraId="2A73DCDA">
      <w:pPr>
        <w:pStyle w:val="2"/>
        <w:keepNext w:val="0"/>
        <w:keepLines w:val="0"/>
        <w:pageBreakBefore w:val="0"/>
        <w:widowControl w:val="0"/>
        <w:kinsoku/>
        <w:wordWrap/>
        <w:overflowPunct/>
        <w:topLinePunct w:val="0"/>
        <w:autoSpaceDE/>
        <w:autoSpaceDN/>
        <w:bidi w:val="0"/>
        <w:adjustRightInd/>
        <w:snapToGrid/>
        <w:spacing w:before="0" w:after="0"/>
        <w:ind w:firstLine="643" w:firstLineChars="200"/>
        <w:textAlignment w:val="auto"/>
        <w:rPr>
          <w:rFonts w:hint="default"/>
          <w:lang w:val="en-US" w:eastAsia="zh-CN"/>
        </w:rPr>
      </w:pPr>
      <w:bookmarkStart w:id="56" w:name="_Toc24418"/>
      <w:r>
        <w:rPr>
          <w:rFonts w:hint="eastAsia"/>
          <w:lang w:val="en-US" w:eastAsia="zh-CN"/>
        </w:rPr>
        <w:t>四、部门预算项目支出绩效自评情况分析</w:t>
      </w:r>
      <w:bookmarkEnd w:id="56"/>
    </w:p>
    <w:p w14:paraId="271B384F">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rPr>
        <w:t>2023年，</w:t>
      </w:r>
      <w:r>
        <w:t>我院预算支出项目</w:t>
      </w:r>
      <w:r>
        <w:rPr>
          <w:rFonts w:hint="eastAsia"/>
          <w:lang w:val="en-US" w:eastAsia="zh-CN"/>
        </w:rPr>
        <w:t>1</w:t>
      </w:r>
      <w:r>
        <w:t>个，</w:t>
      </w:r>
      <w:r>
        <w:rPr>
          <w:rFonts w:hint="eastAsia"/>
        </w:rPr>
        <w:t>通过自评，有</w:t>
      </w:r>
      <w:r>
        <w:rPr>
          <w:rFonts w:hint="eastAsia"/>
          <w:lang w:val="en-US" w:eastAsia="zh-CN"/>
        </w:rPr>
        <w:t>1</w:t>
      </w:r>
      <w:r>
        <w:rPr>
          <w:rFonts w:hint="eastAsia"/>
        </w:rPr>
        <w:t>个项目结果为 “优”。分项目自评情况分析如下：</w:t>
      </w:r>
    </w:p>
    <w:p w14:paraId="2CCBFC4B">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57" w:name="_Toc19649"/>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bookmarkEnd w:id="57"/>
    </w:p>
    <w:p w14:paraId="676563C1">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cs="宋体"/>
          <w:b/>
          <w:bCs/>
          <w:kern w:val="0"/>
          <w:sz w:val="24"/>
          <w:highlight w:val="none"/>
          <w:lang w:eastAsia="zh-CN"/>
        </w:rPr>
      </w:pPr>
      <w:bookmarkStart w:id="58" w:name="_Toc40046064"/>
      <w:bookmarkStart w:id="59" w:name="_Toc3777"/>
      <w:bookmarkStart w:id="60" w:name="_Toc22570"/>
      <w:bookmarkStart w:id="61" w:name="_Toc18806"/>
      <w:bookmarkStart w:id="62" w:name="_Toc1889"/>
      <w:bookmarkStart w:id="63" w:name="_Toc40046065"/>
      <w:bookmarkStart w:id="64" w:name="_Toc7144"/>
      <w:r>
        <w:rPr>
          <w:rFonts w:hint="eastAsia"/>
        </w:rPr>
        <w:t>本次绩效自评综合评定</w:t>
      </w:r>
      <w:r>
        <w:rPr>
          <w:rFonts w:hint="eastAsia"/>
          <w:lang w:eastAsia="zh-CN"/>
        </w:rPr>
        <w:t>2023年</w:t>
      </w:r>
      <w:r>
        <w:rPr>
          <w:rFonts w:hint="eastAsia"/>
        </w:rPr>
        <w:t>业务费项目支出绩效得分为</w:t>
      </w:r>
      <w:r>
        <w:rPr>
          <w:rFonts w:hint="eastAsia"/>
          <w:lang w:val="en-US" w:eastAsia="zh-CN"/>
        </w:rPr>
        <w:t>97.8</w:t>
      </w:r>
      <w:r>
        <w:rPr>
          <w:rFonts w:hint="eastAsia"/>
        </w:rPr>
        <w:t>分，绩效等级为“</w:t>
      </w:r>
      <w:r>
        <w:rPr>
          <w:rFonts w:hint="eastAsia"/>
          <w:lang w:val="en-US" w:eastAsia="zh-CN"/>
        </w:rPr>
        <w:t>优</w:t>
      </w:r>
      <w:r>
        <w:rPr>
          <w:rFonts w:hint="eastAsia"/>
        </w:rPr>
        <w:t>”。项目支出绩效评价包括</w:t>
      </w:r>
      <w:r>
        <w:rPr>
          <w:rFonts w:hint="eastAsia" w:cs="仿宋_GB2312"/>
        </w:rPr>
        <w:t>项目</w:t>
      </w:r>
      <w:r>
        <w:rPr>
          <w:rFonts w:hint="eastAsia" w:cs="仿宋_GB2312"/>
          <w:lang w:val="en-US" w:eastAsia="zh-CN"/>
        </w:rPr>
        <w:t>成本</w:t>
      </w:r>
      <w:r>
        <w:rPr>
          <w:rFonts w:hint="eastAsia" w:cs="仿宋_GB2312"/>
        </w:rPr>
        <w:t>、</w:t>
      </w:r>
      <w:r>
        <w:rPr>
          <w:rFonts w:hint="eastAsia"/>
        </w:rPr>
        <w:t>产出、效益、满意度四个一级指标，下设</w:t>
      </w:r>
      <w:r>
        <w:rPr>
          <w:rFonts w:hint="eastAsia"/>
          <w:lang w:val="en-US" w:eastAsia="zh-CN"/>
        </w:rPr>
        <w:t>8</w:t>
      </w:r>
      <w:r>
        <w:rPr>
          <w:rFonts w:hint="eastAsia"/>
        </w:rPr>
        <w:t>个二级指标和</w:t>
      </w:r>
      <w:r>
        <w:rPr>
          <w:rFonts w:hint="eastAsia"/>
          <w:lang w:val="en-US" w:eastAsia="zh-CN"/>
        </w:rPr>
        <w:t>23</w:t>
      </w:r>
      <w:r>
        <w:rPr>
          <w:rFonts w:hint="eastAsia"/>
        </w:rPr>
        <w:t>个三级指标。一级指标得分情况详见下表：</w:t>
      </w:r>
    </w:p>
    <w:p w14:paraId="1A902556">
      <w:pPr>
        <w:jc w:val="center"/>
        <w:rPr>
          <w:rFonts w:ascii="宋体" w:hAnsi="宋体"/>
          <w:highlight w:val="none"/>
        </w:rPr>
      </w:pPr>
      <w:r>
        <w:rPr>
          <w:rFonts w:hint="eastAsia" w:ascii="宋体" w:hAnsi="宋体" w:cs="宋体"/>
          <w:b/>
          <w:bCs/>
          <w:kern w:val="0"/>
          <w:sz w:val="24"/>
          <w:highlight w:val="none"/>
          <w:lang w:eastAsia="zh-CN"/>
        </w:rPr>
        <w:t>2023年度项目</w:t>
      </w:r>
      <w:r>
        <w:rPr>
          <w:rFonts w:hint="eastAsia" w:ascii="宋体" w:hAnsi="宋体" w:cs="宋体"/>
          <w:b/>
          <w:bCs/>
          <w:kern w:val="0"/>
          <w:sz w:val="24"/>
          <w:highlight w:val="none"/>
        </w:rPr>
        <w:t>支出绩效评价指标得分情况</w:t>
      </w:r>
    </w:p>
    <w:tbl>
      <w:tblPr>
        <w:tblStyle w:val="24"/>
        <w:tblW w:w="911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64"/>
        <w:gridCol w:w="1693"/>
        <w:gridCol w:w="1716"/>
        <w:gridCol w:w="2146"/>
      </w:tblGrid>
      <w:tr w14:paraId="20257C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0" w:hRule="atLeast"/>
        </w:trPr>
        <w:tc>
          <w:tcPr>
            <w:tcW w:w="3564" w:type="dxa"/>
            <w:shd w:val="clear" w:color="auto" w:fill="BDD6EE"/>
            <w:vAlign w:val="center"/>
          </w:tcPr>
          <w:p w14:paraId="25771AA9">
            <w:pPr>
              <w:rPr>
                <w:rFonts w:hint="eastAsia" w:ascii="宋体" w:hAnsi="宋体" w:eastAsia="宋体" w:cs="宋体"/>
                <w:b/>
                <w:bCs/>
                <w:sz w:val="22"/>
                <w:szCs w:val="22"/>
              </w:rPr>
            </w:pPr>
            <w:r>
              <w:rPr>
                <w:rFonts w:hint="eastAsia" w:ascii="宋体" w:hAnsi="宋体" w:eastAsia="宋体" w:cs="宋体"/>
                <w:b/>
                <w:bCs/>
                <w:sz w:val="22"/>
                <w:szCs w:val="22"/>
                <w:lang w:bidi="ar"/>
              </w:rPr>
              <w:t>一级指标</w:t>
            </w:r>
          </w:p>
        </w:tc>
        <w:tc>
          <w:tcPr>
            <w:tcW w:w="1693" w:type="dxa"/>
            <w:shd w:val="clear" w:color="auto" w:fill="BDD6EE"/>
            <w:vAlign w:val="center"/>
          </w:tcPr>
          <w:p w14:paraId="66771B6C">
            <w:pPr>
              <w:rPr>
                <w:rFonts w:hint="eastAsia" w:ascii="宋体" w:hAnsi="宋体" w:eastAsia="宋体" w:cs="宋体"/>
                <w:b/>
                <w:bCs/>
                <w:sz w:val="22"/>
                <w:szCs w:val="22"/>
              </w:rPr>
            </w:pPr>
            <w:r>
              <w:rPr>
                <w:rFonts w:hint="eastAsia" w:ascii="宋体" w:hAnsi="宋体" w:eastAsia="宋体" w:cs="宋体"/>
                <w:b/>
                <w:bCs/>
                <w:sz w:val="22"/>
                <w:szCs w:val="22"/>
                <w:lang w:bidi="ar"/>
              </w:rPr>
              <w:t>分值</w:t>
            </w:r>
          </w:p>
        </w:tc>
        <w:tc>
          <w:tcPr>
            <w:tcW w:w="1716" w:type="dxa"/>
            <w:shd w:val="clear" w:color="auto" w:fill="BDD6EE"/>
            <w:vAlign w:val="center"/>
          </w:tcPr>
          <w:p w14:paraId="44387084">
            <w:pPr>
              <w:ind w:left="0" w:leftChars="0" w:firstLine="0" w:firstLineChars="0"/>
              <w:rPr>
                <w:rFonts w:hint="eastAsia" w:ascii="宋体" w:hAnsi="宋体" w:eastAsia="宋体" w:cs="宋体"/>
                <w:b/>
                <w:bCs/>
                <w:sz w:val="22"/>
                <w:szCs w:val="22"/>
              </w:rPr>
            </w:pPr>
            <w:r>
              <w:rPr>
                <w:rFonts w:hint="eastAsia" w:ascii="宋体" w:hAnsi="宋体" w:eastAsia="宋体" w:cs="宋体"/>
                <w:b/>
                <w:bCs/>
                <w:sz w:val="22"/>
                <w:szCs w:val="22"/>
                <w:lang w:bidi="ar"/>
              </w:rPr>
              <w:t>自评得分</w:t>
            </w:r>
          </w:p>
        </w:tc>
        <w:tc>
          <w:tcPr>
            <w:tcW w:w="2146" w:type="dxa"/>
            <w:shd w:val="clear" w:color="auto" w:fill="BDD6EE"/>
            <w:vAlign w:val="center"/>
          </w:tcPr>
          <w:p w14:paraId="33445176">
            <w:pPr>
              <w:rPr>
                <w:rFonts w:hint="eastAsia" w:ascii="宋体" w:hAnsi="宋体" w:eastAsia="宋体" w:cs="宋体"/>
                <w:b/>
                <w:bCs/>
                <w:sz w:val="22"/>
                <w:szCs w:val="22"/>
              </w:rPr>
            </w:pPr>
            <w:r>
              <w:rPr>
                <w:rFonts w:hint="eastAsia" w:ascii="宋体" w:hAnsi="宋体" w:eastAsia="宋体" w:cs="宋体"/>
                <w:b/>
                <w:bCs/>
                <w:sz w:val="22"/>
                <w:szCs w:val="22"/>
                <w:lang w:bidi="ar"/>
              </w:rPr>
              <w:t>得分率</w:t>
            </w:r>
          </w:p>
        </w:tc>
      </w:tr>
      <w:tr w14:paraId="1EB5E5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14:paraId="3C8CEA24">
            <w:pPr>
              <w:rPr>
                <w:rFonts w:hint="eastAsia" w:ascii="宋体" w:hAnsi="宋体" w:eastAsia="宋体" w:cs="宋体"/>
                <w:sz w:val="22"/>
                <w:szCs w:val="22"/>
              </w:rPr>
            </w:pPr>
            <w:r>
              <w:rPr>
                <w:rFonts w:hint="eastAsia" w:ascii="宋体" w:hAnsi="宋体" w:eastAsia="宋体" w:cs="宋体"/>
                <w:sz w:val="22"/>
                <w:szCs w:val="22"/>
                <w:lang w:bidi="ar"/>
              </w:rPr>
              <w:t>预算执行率</w:t>
            </w:r>
          </w:p>
        </w:tc>
        <w:tc>
          <w:tcPr>
            <w:tcW w:w="1693" w:type="dxa"/>
            <w:vAlign w:val="center"/>
          </w:tcPr>
          <w:p w14:paraId="418AB4A5">
            <w:pPr>
              <w:rPr>
                <w:rFonts w:hint="eastAsia" w:ascii="宋体" w:hAnsi="宋体" w:eastAsia="宋体" w:cs="宋体"/>
                <w:sz w:val="22"/>
                <w:szCs w:val="22"/>
              </w:rPr>
            </w:pPr>
            <w:r>
              <w:rPr>
                <w:rFonts w:hint="eastAsia" w:ascii="宋体" w:hAnsi="宋体" w:eastAsia="宋体" w:cs="宋体"/>
                <w:sz w:val="22"/>
                <w:szCs w:val="22"/>
                <w:lang w:bidi="ar"/>
              </w:rPr>
              <w:t>10</w:t>
            </w:r>
          </w:p>
        </w:tc>
        <w:tc>
          <w:tcPr>
            <w:tcW w:w="1716" w:type="dxa"/>
            <w:vAlign w:val="center"/>
          </w:tcPr>
          <w:p w14:paraId="46D59371">
            <w:pPr>
              <w:rPr>
                <w:rFonts w:hint="default" w:ascii="宋体" w:hAnsi="宋体" w:eastAsia="宋体" w:cs="宋体"/>
                <w:sz w:val="22"/>
                <w:szCs w:val="22"/>
                <w:lang w:val="en-US" w:eastAsia="zh-CN"/>
              </w:rPr>
            </w:pPr>
            <w:r>
              <w:rPr>
                <w:rFonts w:hint="eastAsia" w:ascii="宋体" w:hAnsi="宋体" w:eastAsia="宋体" w:cs="宋体"/>
                <w:sz w:val="22"/>
                <w:szCs w:val="22"/>
                <w:lang w:val="en-US" w:eastAsia="zh-CN" w:bidi="ar"/>
              </w:rPr>
              <w:t>10</w:t>
            </w:r>
          </w:p>
        </w:tc>
        <w:tc>
          <w:tcPr>
            <w:tcW w:w="2146" w:type="dxa"/>
            <w:vAlign w:val="center"/>
          </w:tcPr>
          <w:p w14:paraId="4FB1CF82">
            <w:pPr>
              <w:ind w:firstLine="440" w:firstLineChars="200"/>
              <w:rPr>
                <w:rFonts w:hint="eastAsia" w:ascii="宋体" w:hAnsi="宋体" w:eastAsia="宋体" w:cs="宋体"/>
                <w:sz w:val="22"/>
                <w:szCs w:val="22"/>
              </w:rPr>
            </w:pPr>
            <w:r>
              <w:rPr>
                <w:rFonts w:hint="eastAsia" w:ascii="宋体" w:hAnsi="宋体" w:eastAsia="宋体" w:cs="宋体"/>
                <w:sz w:val="22"/>
                <w:szCs w:val="22"/>
                <w:lang w:bidi="ar"/>
              </w:rPr>
              <w:t>100.00%</w:t>
            </w:r>
          </w:p>
        </w:tc>
      </w:tr>
      <w:tr w14:paraId="6831A9E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14:paraId="53C694E3">
            <w:pPr>
              <w:rPr>
                <w:rFonts w:hint="eastAsia" w:ascii="宋体" w:hAnsi="宋体" w:eastAsia="宋体" w:cs="宋体"/>
                <w:sz w:val="22"/>
                <w:szCs w:val="22"/>
              </w:rPr>
            </w:pPr>
            <w:r>
              <w:rPr>
                <w:rFonts w:hint="eastAsia" w:ascii="宋体" w:hAnsi="宋体" w:eastAsia="宋体" w:cs="宋体"/>
                <w:sz w:val="22"/>
                <w:szCs w:val="22"/>
                <w:lang w:bidi="ar"/>
              </w:rPr>
              <w:t>成本指标</w:t>
            </w:r>
          </w:p>
        </w:tc>
        <w:tc>
          <w:tcPr>
            <w:tcW w:w="1693" w:type="dxa"/>
            <w:vAlign w:val="center"/>
          </w:tcPr>
          <w:p w14:paraId="617BC47A">
            <w:pPr>
              <w:rPr>
                <w:rFonts w:hint="eastAsia" w:ascii="宋体" w:hAnsi="宋体" w:eastAsia="宋体" w:cs="宋体"/>
                <w:sz w:val="22"/>
                <w:szCs w:val="22"/>
              </w:rPr>
            </w:pPr>
            <w:r>
              <w:rPr>
                <w:rFonts w:hint="eastAsia" w:ascii="宋体" w:hAnsi="宋体" w:eastAsia="宋体" w:cs="宋体"/>
                <w:sz w:val="22"/>
                <w:szCs w:val="22"/>
                <w:lang w:bidi="ar"/>
              </w:rPr>
              <w:t>20</w:t>
            </w:r>
          </w:p>
        </w:tc>
        <w:tc>
          <w:tcPr>
            <w:tcW w:w="1716" w:type="dxa"/>
            <w:vAlign w:val="center"/>
          </w:tcPr>
          <w:p w14:paraId="27AC0F60">
            <w:pPr>
              <w:rPr>
                <w:rFonts w:hint="eastAsia" w:ascii="宋体" w:hAnsi="宋体" w:eastAsia="宋体" w:cs="宋体"/>
                <w:sz w:val="22"/>
                <w:szCs w:val="22"/>
              </w:rPr>
            </w:pPr>
            <w:r>
              <w:rPr>
                <w:rFonts w:hint="eastAsia" w:ascii="宋体" w:hAnsi="宋体" w:eastAsia="宋体" w:cs="宋体"/>
                <w:sz w:val="22"/>
                <w:szCs w:val="22"/>
                <w:lang w:bidi="ar"/>
              </w:rPr>
              <w:t>20</w:t>
            </w:r>
          </w:p>
        </w:tc>
        <w:tc>
          <w:tcPr>
            <w:tcW w:w="2146" w:type="dxa"/>
            <w:vAlign w:val="center"/>
          </w:tcPr>
          <w:p w14:paraId="0F261723">
            <w:pPr>
              <w:ind w:firstLine="440" w:firstLineChars="200"/>
              <w:rPr>
                <w:rFonts w:hint="eastAsia" w:ascii="宋体" w:hAnsi="宋体" w:eastAsia="宋体" w:cs="宋体"/>
                <w:sz w:val="22"/>
                <w:szCs w:val="22"/>
              </w:rPr>
            </w:pPr>
            <w:r>
              <w:rPr>
                <w:rFonts w:hint="eastAsia" w:ascii="宋体" w:hAnsi="宋体" w:eastAsia="宋体" w:cs="宋体"/>
                <w:sz w:val="22"/>
                <w:szCs w:val="22"/>
                <w:lang w:bidi="ar"/>
              </w:rPr>
              <w:t>100.00%</w:t>
            </w:r>
          </w:p>
        </w:tc>
      </w:tr>
      <w:tr w14:paraId="4126F1F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14:paraId="2CE3B2CF">
            <w:pPr>
              <w:rPr>
                <w:rFonts w:hint="eastAsia" w:ascii="宋体" w:hAnsi="宋体" w:eastAsia="宋体" w:cs="宋体"/>
                <w:sz w:val="22"/>
                <w:szCs w:val="22"/>
              </w:rPr>
            </w:pPr>
            <w:r>
              <w:rPr>
                <w:rFonts w:hint="eastAsia" w:ascii="宋体" w:hAnsi="宋体" w:eastAsia="宋体" w:cs="宋体"/>
                <w:sz w:val="22"/>
                <w:szCs w:val="22"/>
                <w:lang w:bidi="ar"/>
              </w:rPr>
              <w:t>产出指标</w:t>
            </w:r>
          </w:p>
        </w:tc>
        <w:tc>
          <w:tcPr>
            <w:tcW w:w="1693" w:type="dxa"/>
            <w:vAlign w:val="center"/>
          </w:tcPr>
          <w:p w14:paraId="0824A33F">
            <w:pPr>
              <w:rPr>
                <w:rFonts w:hint="eastAsia" w:ascii="宋体" w:hAnsi="宋体" w:eastAsia="宋体" w:cs="宋体"/>
                <w:sz w:val="22"/>
                <w:szCs w:val="22"/>
              </w:rPr>
            </w:pPr>
            <w:r>
              <w:rPr>
                <w:rFonts w:hint="eastAsia" w:ascii="宋体" w:hAnsi="宋体" w:eastAsia="宋体" w:cs="宋体"/>
                <w:sz w:val="22"/>
                <w:szCs w:val="22"/>
                <w:lang w:bidi="ar"/>
              </w:rPr>
              <w:t>40</w:t>
            </w:r>
          </w:p>
        </w:tc>
        <w:tc>
          <w:tcPr>
            <w:tcW w:w="1716" w:type="dxa"/>
            <w:vAlign w:val="center"/>
          </w:tcPr>
          <w:p w14:paraId="6B103C58">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bidi="ar"/>
              </w:rPr>
              <w:t>37.8</w:t>
            </w:r>
          </w:p>
        </w:tc>
        <w:tc>
          <w:tcPr>
            <w:tcW w:w="2146" w:type="dxa"/>
            <w:vAlign w:val="center"/>
          </w:tcPr>
          <w:p w14:paraId="2549C754">
            <w:pPr>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bidi="ar"/>
              </w:rPr>
              <w:t>94.5</w:t>
            </w:r>
            <w:r>
              <w:rPr>
                <w:rFonts w:hint="eastAsia" w:ascii="宋体" w:hAnsi="宋体" w:eastAsia="宋体" w:cs="宋体"/>
                <w:sz w:val="22"/>
                <w:szCs w:val="22"/>
                <w:lang w:bidi="ar"/>
              </w:rPr>
              <w:t>%</w:t>
            </w:r>
          </w:p>
        </w:tc>
      </w:tr>
      <w:tr w14:paraId="62C8B3B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14:paraId="70506778">
            <w:pPr>
              <w:rPr>
                <w:rFonts w:hint="eastAsia" w:ascii="宋体" w:hAnsi="宋体" w:eastAsia="宋体" w:cs="宋体"/>
                <w:sz w:val="22"/>
                <w:szCs w:val="22"/>
              </w:rPr>
            </w:pPr>
            <w:r>
              <w:rPr>
                <w:rFonts w:hint="eastAsia" w:ascii="宋体" w:hAnsi="宋体" w:eastAsia="宋体" w:cs="宋体"/>
                <w:sz w:val="22"/>
                <w:szCs w:val="22"/>
                <w:lang w:bidi="ar"/>
              </w:rPr>
              <w:t>效益指标</w:t>
            </w:r>
          </w:p>
        </w:tc>
        <w:tc>
          <w:tcPr>
            <w:tcW w:w="1693" w:type="dxa"/>
            <w:vAlign w:val="center"/>
          </w:tcPr>
          <w:p w14:paraId="3471C64F">
            <w:pPr>
              <w:rPr>
                <w:rFonts w:hint="eastAsia" w:ascii="宋体" w:hAnsi="宋体" w:eastAsia="宋体" w:cs="宋体"/>
                <w:sz w:val="22"/>
                <w:szCs w:val="22"/>
              </w:rPr>
            </w:pPr>
            <w:r>
              <w:rPr>
                <w:rFonts w:hint="eastAsia" w:ascii="宋体" w:hAnsi="宋体" w:eastAsia="宋体" w:cs="宋体"/>
                <w:sz w:val="22"/>
                <w:szCs w:val="22"/>
                <w:lang w:bidi="ar"/>
              </w:rPr>
              <w:t>20</w:t>
            </w:r>
          </w:p>
        </w:tc>
        <w:tc>
          <w:tcPr>
            <w:tcW w:w="1716" w:type="dxa"/>
            <w:vAlign w:val="center"/>
          </w:tcPr>
          <w:p w14:paraId="2AD9D233">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bidi="ar"/>
              </w:rPr>
              <w:t>20</w:t>
            </w:r>
          </w:p>
        </w:tc>
        <w:tc>
          <w:tcPr>
            <w:tcW w:w="2146" w:type="dxa"/>
            <w:vAlign w:val="center"/>
          </w:tcPr>
          <w:p w14:paraId="7B690723">
            <w:pPr>
              <w:ind w:firstLine="440" w:firstLineChars="200"/>
              <w:rPr>
                <w:rFonts w:hint="eastAsia" w:ascii="宋体" w:hAnsi="宋体" w:eastAsia="宋体" w:cs="宋体"/>
                <w:sz w:val="22"/>
                <w:szCs w:val="22"/>
              </w:rPr>
            </w:pPr>
            <w:r>
              <w:rPr>
                <w:rFonts w:hint="eastAsia" w:ascii="宋体" w:hAnsi="宋体" w:eastAsia="宋体" w:cs="宋体"/>
                <w:sz w:val="22"/>
                <w:szCs w:val="22"/>
                <w:lang w:bidi="ar"/>
              </w:rPr>
              <w:t>100.00%</w:t>
            </w:r>
          </w:p>
        </w:tc>
      </w:tr>
      <w:tr w14:paraId="240E705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14:paraId="1FFEC277">
            <w:pPr>
              <w:rPr>
                <w:rFonts w:hint="eastAsia" w:ascii="宋体" w:hAnsi="宋体" w:eastAsia="宋体" w:cs="宋体"/>
                <w:sz w:val="22"/>
                <w:szCs w:val="22"/>
              </w:rPr>
            </w:pPr>
            <w:r>
              <w:rPr>
                <w:rFonts w:hint="eastAsia" w:ascii="宋体" w:hAnsi="宋体" w:eastAsia="宋体" w:cs="宋体"/>
                <w:sz w:val="22"/>
                <w:szCs w:val="22"/>
                <w:lang w:bidi="ar"/>
              </w:rPr>
              <w:t>满意度指标</w:t>
            </w:r>
          </w:p>
        </w:tc>
        <w:tc>
          <w:tcPr>
            <w:tcW w:w="1693" w:type="dxa"/>
            <w:vAlign w:val="center"/>
          </w:tcPr>
          <w:p w14:paraId="6BA3A4E8">
            <w:pPr>
              <w:rPr>
                <w:rFonts w:hint="eastAsia" w:ascii="宋体" w:hAnsi="宋体" w:eastAsia="宋体" w:cs="宋体"/>
                <w:sz w:val="22"/>
                <w:szCs w:val="22"/>
              </w:rPr>
            </w:pPr>
            <w:r>
              <w:rPr>
                <w:rFonts w:hint="eastAsia" w:ascii="宋体" w:hAnsi="宋体" w:eastAsia="宋体" w:cs="宋体"/>
                <w:sz w:val="22"/>
                <w:szCs w:val="22"/>
                <w:lang w:bidi="ar"/>
              </w:rPr>
              <w:t>10</w:t>
            </w:r>
          </w:p>
        </w:tc>
        <w:tc>
          <w:tcPr>
            <w:tcW w:w="1716" w:type="dxa"/>
            <w:vAlign w:val="center"/>
          </w:tcPr>
          <w:p w14:paraId="03524CC8">
            <w:pPr>
              <w:rPr>
                <w:rFonts w:hint="eastAsia" w:ascii="宋体" w:hAnsi="宋体" w:eastAsia="宋体" w:cs="宋体"/>
                <w:sz w:val="22"/>
                <w:szCs w:val="22"/>
              </w:rPr>
            </w:pPr>
            <w:r>
              <w:rPr>
                <w:rFonts w:hint="eastAsia" w:ascii="宋体" w:hAnsi="宋体" w:eastAsia="宋体" w:cs="宋体"/>
                <w:sz w:val="22"/>
                <w:szCs w:val="22"/>
                <w:lang w:bidi="ar"/>
              </w:rPr>
              <w:t>10</w:t>
            </w:r>
          </w:p>
        </w:tc>
        <w:tc>
          <w:tcPr>
            <w:tcW w:w="2146" w:type="dxa"/>
            <w:vAlign w:val="center"/>
          </w:tcPr>
          <w:p w14:paraId="4E2E6026">
            <w:pPr>
              <w:rPr>
                <w:rFonts w:hint="eastAsia" w:ascii="宋体" w:hAnsi="宋体" w:eastAsia="宋体" w:cs="宋体"/>
                <w:sz w:val="22"/>
                <w:szCs w:val="22"/>
              </w:rPr>
            </w:pPr>
            <w:r>
              <w:rPr>
                <w:rFonts w:hint="eastAsia" w:ascii="宋体" w:hAnsi="宋体" w:eastAsia="宋体" w:cs="宋体"/>
                <w:sz w:val="22"/>
                <w:szCs w:val="22"/>
                <w:lang w:bidi="ar"/>
              </w:rPr>
              <w:t>100.00%</w:t>
            </w:r>
          </w:p>
        </w:tc>
      </w:tr>
      <w:tr w14:paraId="1731E62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8" w:hRule="atLeast"/>
        </w:trPr>
        <w:tc>
          <w:tcPr>
            <w:tcW w:w="3564" w:type="dxa"/>
            <w:shd w:val="clear" w:color="auto" w:fill="BDD6EE"/>
            <w:vAlign w:val="center"/>
          </w:tcPr>
          <w:p w14:paraId="3FEA9F83">
            <w:pPr>
              <w:rPr>
                <w:rFonts w:hint="eastAsia" w:ascii="宋体" w:hAnsi="宋体" w:eastAsia="宋体" w:cs="宋体"/>
                <w:b/>
                <w:bCs/>
                <w:sz w:val="22"/>
                <w:szCs w:val="22"/>
              </w:rPr>
            </w:pPr>
            <w:r>
              <w:rPr>
                <w:rFonts w:hint="eastAsia" w:ascii="宋体" w:hAnsi="宋体" w:eastAsia="宋体" w:cs="宋体"/>
                <w:b/>
                <w:bCs/>
                <w:sz w:val="22"/>
                <w:szCs w:val="22"/>
                <w:lang w:bidi="ar"/>
              </w:rPr>
              <w:t>合计</w:t>
            </w:r>
          </w:p>
        </w:tc>
        <w:tc>
          <w:tcPr>
            <w:tcW w:w="1693" w:type="dxa"/>
            <w:shd w:val="clear" w:color="auto" w:fill="BDD6EE"/>
            <w:vAlign w:val="center"/>
          </w:tcPr>
          <w:p w14:paraId="60DF4718">
            <w:pPr>
              <w:rPr>
                <w:rFonts w:hint="eastAsia" w:ascii="宋体" w:hAnsi="宋体" w:eastAsia="宋体" w:cs="宋体"/>
                <w:b/>
                <w:bCs/>
                <w:sz w:val="22"/>
                <w:szCs w:val="22"/>
              </w:rPr>
            </w:pPr>
            <w:r>
              <w:rPr>
                <w:rFonts w:hint="eastAsia" w:ascii="宋体" w:hAnsi="宋体" w:eastAsia="宋体" w:cs="宋体"/>
                <w:b/>
                <w:bCs/>
                <w:sz w:val="22"/>
                <w:szCs w:val="22"/>
                <w:lang w:bidi="ar"/>
              </w:rPr>
              <w:t>100</w:t>
            </w:r>
          </w:p>
        </w:tc>
        <w:tc>
          <w:tcPr>
            <w:tcW w:w="1716" w:type="dxa"/>
            <w:shd w:val="clear" w:color="auto" w:fill="BDD6EE"/>
            <w:vAlign w:val="center"/>
          </w:tcPr>
          <w:p w14:paraId="38BC59ED">
            <w:pPr>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bidi="ar"/>
              </w:rPr>
              <w:t>97.8</w:t>
            </w:r>
          </w:p>
        </w:tc>
        <w:tc>
          <w:tcPr>
            <w:tcW w:w="2146" w:type="dxa"/>
            <w:shd w:val="clear" w:color="auto" w:fill="BDD6EE"/>
            <w:vAlign w:val="center"/>
          </w:tcPr>
          <w:p w14:paraId="63895357">
            <w:pPr>
              <w:rPr>
                <w:rFonts w:hint="eastAsia" w:ascii="宋体" w:hAnsi="宋体" w:eastAsia="宋体" w:cs="宋体"/>
                <w:b/>
                <w:bCs/>
                <w:sz w:val="22"/>
                <w:szCs w:val="22"/>
              </w:rPr>
            </w:pPr>
            <w:r>
              <w:rPr>
                <w:rFonts w:hint="eastAsia" w:ascii="宋体" w:hAnsi="宋体" w:eastAsia="宋体" w:cs="宋体"/>
                <w:b/>
                <w:bCs/>
                <w:sz w:val="22"/>
                <w:szCs w:val="22"/>
                <w:lang w:val="en-US" w:eastAsia="zh-CN" w:bidi="ar"/>
              </w:rPr>
              <w:t>98.8</w:t>
            </w:r>
            <w:r>
              <w:rPr>
                <w:rFonts w:hint="eastAsia" w:ascii="宋体" w:hAnsi="宋体" w:eastAsia="宋体" w:cs="宋体"/>
                <w:b/>
                <w:bCs/>
                <w:sz w:val="22"/>
                <w:szCs w:val="22"/>
                <w:lang w:bidi="ar"/>
              </w:rPr>
              <w:t>%</w:t>
            </w:r>
          </w:p>
        </w:tc>
      </w:tr>
    </w:tbl>
    <w:p w14:paraId="18DDB939">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pPr>
      <w:r>
        <w:rPr>
          <w:rFonts w:hint="eastAsia"/>
          <w:lang w:val="en-US" w:eastAsia="zh-CN"/>
        </w:rPr>
        <w:t>1.</w:t>
      </w:r>
      <w:r>
        <w:rPr>
          <w:rFonts w:hint="eastAsia"/>
        </w:rPr>
        <w:t>项目支出预算总体情况</w:t>
      </w:r>
    </w:p>
    <w:p w14:paraId="48B87C50">
      <w:pPr>
        <w:keepNext w:val="0"/>
        <w:keepLines w:val="0"/>
        <w:pageBreakBefore w:val="0"/>
        <w:widowControl w:val="0"/>
        <w:kinsoku/>
        <w:wordWrap/>
        <w:overflowPunct/>
        <w:topLinePunct w:val="0"/>
        <w:autoSpaceDE/>
        <w:autoSpaceDN/>
        <w:bidi w:val="0"/>
        <w:adjustRightInd/>
        <w:snapToGrid/>
        <w:ind w:firstLine="560"/>
        <w:jc w:val="both"/>
        <w:textAlignment w:val="auto"/>
        <w:rPr>
          <w:highlight w:val="none"/>
        </w:rPr>
      </w:pPr>
      <w:r>
        <w:rPr>
          <w:rFonts w:hint="eastAsia"/>
          <w:highlight w:val="none"/>
        </w:rPr>
        <w:t>业务费</w:t>
      </w:r>
      <w:r>
        <w:rPr>
          <w:rFonts w:hint="eastAsia"/>
          <w:szCs w:val="28"/>
          <w:highlight w:val="none"/>
        </w:rPr>
        <w:t>项目年初预算数为</w:t>
      </w:r>
      <w:r>
        <w:rPr>
          <w:rFonts w:hint="eastAsia"/>
          <w:szCs w:val="28"/>
          <w:highlight w:val="none"/>
          <w:lang w:val="en-US" w:eastAsia="zh-CN"/>
        </w:rPr>
        <w:t>260</w:t>
      </w:r>
      <w:r>
        <w:rPr>
          <w:rFonts w:hint="eastAsia"/>
          <w:szCs w:val="28"/>
          <w:highlight w:val="none"/>
        </w:rPr>
        <w:t>万元，全年预算数为</w:t>
      </w:r>
      <w:r>
        <w:rPr>
          <w:rFonts w:hint="eastAsia"/>
          <w:szCs w:val="28"/>
          <w:highlight w:val="none"/>
          <w:lang w:val="en-US" w:eastAsia="zh-CN"/>
        </w:rPr>
        <w:t>395</w:t>
      </w:r>
      <w:r>
        <w:rPr>
          <w:rFonts w:hint="eastAsia"/>
          <w:szCs w:val="28"/>
          <w:highlight w:val="none"/>
        </w:rPr>
        <w:t>万元，全年执行数</w:t>
      </w:r>
      <w:r>
        <w:rPr>
          <w:rFonts w:hint="eastAsia"/>
          <w:szCs w:val="28"/>
          <w:highlight w:val="none"/>
          <w:lang w:val="en-US" w:eastAsia="zh-CN"/>
        </w:rPr>
        <w:t>395</w:t>
      </w:r>
      <w:r>
        <w:rPr>
          <w:rFonts w:hint="eastAsia"/>
          <w:szCs w:val="28"/>
          <w:highlight w:val="none"/>
        </w:rPr>
        <w:t>万元，预算执行率</w:t>
      </w:r>
      <w:r>
        <w:rPr>
          <w:rFonts w:hint="eastAsia"/>
          <w:szCs w:val="28"/>
          <w:highlight w:val="none"/>
          <w:lang w:val="en-US" w:eastAsia="zh-CN"/>
        </w:rPr>
        <w:t>100.00</w:t>
      </w:r>
      <w:r>
        <w:rPr>
          <w:szCs w:val="28"/>
          <w:highlight w:val="none"/>
        </w:rPr>
        <w:t>%</w:t>
      </w:r>
      <w:r>
        <w:rPr>
          <w:rFonts w:hint="eastAsia"/>
          <w:szCs w:val="28"/>
          <w:highlight w:val="none"/>
        </w:rPr>
        <w:t>，满分10分，得分</w:t>
      </w:r>
      <w:r>
        <w:rPr>
          <w:rFonts w:hint="eastAsia"/>
          <w:szCs w:val="28"/>
          <w:highlight w:val="none"/>
          <w:lang w:val="en-US" w:eastAsia="zh-CN"/>
        </w:rPr>
        <w:t>10</w:t>
      </w:r>
      <w:r>
        <w:rPr>
          <w:rFonts w:hint="eastAsia"/>
          <w:szCs w:val="28"/>
          <w:highlight w:val="none"/>
        </w:rPr>
        <w:t>分</w:t>
      </w:r>
      <w:r>
        <w:rPr>
          <w:rFonts w:hint="eastAsia"/>
          <w:szCs w:val="28"/>
          <w:highlight w:val="none"/>
          <w:lang w:eastAsia="zh-CN"/>
        </w:rPr>
        <w:t>，</w:t>
      </w:r>
      <w:r>
        <w:rPr>
          <w:rFonts w:hint="eastAsia"/>
          <w:szCs w:val="28"/>
          <w:highlight w:val="none"/>
          <w:lang w:val="en-US" w:eastAsia="zh-CN"/>
        </w:rPr>
        <w:t>得分率100.00</w:t>
      </w:r>
      <w:r>
        <w:rPr>
          <w:szCs w:val="28"/>
          <w:highlight w:val="none"/>
        </w:rPr>
        <w:t>%</w:t>
      </w:r>
      <w:r>
        <w:rPr>
          <w:rFonts w:hint="eastAsia"/>
          <w:szCs w:val="28"/>
          <w:highlight w:val="none"/>
        </w:rPr>
        <w:t>。</w:t>
      </w:r>
    </w:p>
    <w:p w14:paraId="2A81089A">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2.总体绩效目标完成情况分析</w:t>
      </w:r>
    </w:p>
    <w:p w14:paraId="6C8E913A">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560" w:firstLineChars="200"/>
        <w:jc w:val="both"/>
        <w:textAlignment w:val="auto"/>
        <w:outlineLvl w:val="2"/>
        <w:rPr>
          <w:rFonts w:hint="eastAsia"/>
        </w:rPr>
      </w:pPr>
      <w:r>
        <w:rPr>
          <w:rFonts w:hint="eastAsia"/>
          <w:b w:val="0"/>
          <w:bCs w:val="0"/>
        </w:rPr>
        <w:t>通过法院业务费的投入，弥补公用经费和项目经费的不足，保障诉讼档案库等项目建设的顺利开展，提高了审判质效，从而推动审判执行工作的顺利开展。</w:t>
      </w:r>
    </w:p>
    <w:p w14:paraId="0E6A2B2E">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3.各项指标完成情况分析</w:t>
      </w:r>
    </w:p>
    <w:p w14:paraId="33E121C7">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成本</w:t>
      </w:r>
      <w:r>
        <w:rPr>
          <w:rFonts w:hint="eastAsia" w:ascii="仿宋_GB2312" w:hAnsi="仿宋_GB2312" w:eastAsia="仿宋_GB2312" w:cs="仿宋_GB2312"/>
          <w:szCs w:val="28"/>
          <w:lang w:eastAsia="zh-CN"/>
        </w:rPr>
        <w:t>指标</w:t>
      </w:r>
    </w:p>
    <w:p w14:paraId="64FA5E53">
      <w:pPr>
        <w:keepNext/>
        <w:keepLines w:val="0"/>
        <w:pageBreakBefore w:val="0"/>
        <w:widowControl w:val="0"/>
        <w:kinsoku/>
        <w:wordWrap/>
        <w:overflowPunct/>
        <w:topLinePunct w:val="0"/>
        <w:autoSpaceDE/>
        <w:autoSpaceDN/>
        <w:bidi w:val="0"/>
        <w:adjustRightInd/>
        <w:snapToGrid/>
        <w:ind w:firstLine="560"/>
        <w:jc w:val="left"/>
        <w:textAlignment w:val="auto"/>
        <w:rPr>
          <w:rFonts w:hint="eastAsia" w:cs="仿宋_GB2312"/>
          <w:szCs w:val="28"/>
        </w:rPr>
      </w:pPr>
      <w:r>
        <w:rPr>
          <w:rFonts w:hint="eastAsia" w:cs="仿宋_GB2312"/>
          <w:szCs w:val="28"/>
          <w:lang w:val="en-US" w:eastAsia="zh-CN"/>
        </w:rPr>
        <w:t>成本</w:t>
      </w:r>
      <w:r>
        <w:rPr>
          <w:rFonts w:hint="eastAsia" w:cs="仿宋_GB2312"/>
          <w:szCs w:val="28"/>
        </w:rPr>
        <w:t>指标下设经济成本指标</w:t>
      </w:r>
      <w:r>
        <w:rPr>
          <w:rFonts w:hint="eastAsia" w:cs="仿宋_GB2312"/>
          <w:szCs w:val="28"/>
          <w:lang w:val="en-US" w:eastAsia="zh-CN"/>
        </w:rPr>
        <w:t>1</w:t>
      </w:r>
      <w:r>
        <w:rPr>
          <w:rFonts w:hint="eastAsia" w:cs="仿宋_GB2312"/>
          <w:szCs w:val="28"/>
        </w:rPr>
        <w:t>个二级指标。总分值</w:t>
      </w:r>
      <w:r>
        <w:rPr>
          <w:rFonts w:hint="eastAsia" w:cs="仿宋_GB2312"/>
          <w:szCs w:val="28"/>
          <w:lang w:val="en-US" w:eastAsia="zh-CN"/>
        </w:rPr>
        <w:t>20</w:t>
      </w:r>
      <w:r>
        <w:rPr>
          <w:rFonts w:hint="eastAsia" w:cs="仿宋_GB2312"/>
          <w:szCs w:val="28"/>
        </w:rPr>
        <w:t>分，得分</w:t>
      </w:r>
      <w:r>
        <w:rPr>
          <w:rFonts w:hint="eastAsia" w:cs="仿宋_GB2312"/>
          <w:szCs w:val="28"/>
          <w:lang w:val="en-US" w:eastAsia="zh-CN"/>
        </w:rPr>
        <w:t>20</w:t>
      </w:r>
      <w:r>
        <w:rPr>
          <w:rFonts w:hint="eastAsia" w:cs="仿宋_GB2312"/>
          <w:szCs w:val="28"/>
        </w:rPr>
        <w:t>分，得分率</w:t>
      </w:r>
      <w:r>
        <w:rPr>
          <w:rFonts w:hint="eastAsia" w:cs="仿宋_GB2312"/>
          <w:szCs w:val="28"/>
          <w:lang w:val="en-US" w:eastAsia="zh-CN"/>
        </w:rPr>
        <w:t>100.00%</w:t>
      </w:r>
      <w:r>
        <w:rPr>
          <w:rFonts w:hint="eastAsia" w:cs="仿宋_GB2312"/>
          <w:szCs w:val="28"/>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1465"/>
        <w:gridCol w:w="1800"/>
        <w:gridCol w:w="1095"/>
        <w:gridCol w:w="915"/>
        <w:gridCol w:w="900"/>
        <w:gridCol w:w="1046"/>
      </w:tblGrid>
      <w:tr w14:paraId="7FB6042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cantSplit/>
          <w:trHeight w:val="397" w:hRule="atLeast"/>
          <w:tblHeader/>
          <w:jc w:val="center"/>
        </w:trPr>
        <w:tc>
          <w:tcPr>
            <w:tcW w:w="1848" w:type="dxa"/>
            <w:shd w:val="clear" w:color="auto" w:fill="BDD6EE"/>
            <w:vAlign w:val="center"/>
          </w:tcPr>
          <w:p w14:paraId="52FAF10E">
            <w:pPr>
              <w:keepNext w:val="0"/>
              <w:keepLines w:val="0"/>
              <w:widowControl/>
              <w:suppressLineNumbers w:val="0"/>
              <w:ind w:left="0" w:leftChars="0" w:firstLine="0" w:firstLineChars="0"/>
              <w:jc w:val="center"/>
              <w:textAlignment w:val="center"/>
              <w:rPr>
                <w:rFonts w:ascii="宋体" w:hAnsi="宋体" w:cs="宋体"/>
                <w:b/>
                <w:color w:val="000000"/>
                <w:kern w:val="0"/>
                <w:sz w:val="22"/>
                <w:szCs w:val="22"/>
                <w:highlight w:val="none"/>
              </w:rPr>
            </w:pPr>
            <w:r>
              <w:rPr>
                <w:rFonts w:hint="eastAsia" w:ascii="仿宋_GB2312" w:hAnsi="宋体" w:eastAsia="仿宋_GB2312" w:cs="仿宋_GB2312"/>
                <w:b/>
                <w:bCs/>
                <w:i w:val="0"/>
                <w:iCs w:val="0"/>
                <w:color w:val="000000"/>
                <w:kern w:val="0"/>
                <w:sz w:val="22"/>
                <w:szCs w:val="22"/>
                <w:u w:val="none"/>
                <w:lang w:val="en-US" w:eastAsia="zh-CN" w:bidi="ar"/>
              </w:rPr>
              <w:t>二级指标</w:t>
            </w:r>
          </w:p>
        </w:tc>
        <w:tc>
          <w:tcPr>
            <w:tcW w:w="1465" w:type="dxa"/>
            <w:shd w:val="clear" w:color="auto" w:fill="BDD6EE"/>
            <w:vAlign w:val="center"/>
          </w:tcPr>
          <w:p w14:paraId="7F80F944">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hAnsi="宋体" w:cs="仿宋_GB2312"/>
                <w:b/>
                <w:bCs/>
                <w:i w:val="0"/>
                <w:iCs w:val="0"/>
                <w:color w:val="000000"/>
                <w:kern w:val="0"/>
                <w:sz w:val="22"/>
                <w:szCs w:val="22"/>
                <w:u w:val="none"/>
                <w:lang w:val="en-US" w:eastAsia="zh-CN" w:bidi="ar"/>
              </w:rPr>
              <w:t>三级指标</w:t>
            </w:r>
          </w:p>
        </w:tc>
        <w:tc>
          <w:tcPr>
            <w:tcW w:w="1800" w:type="dxa"/>
            <w:shd w:val="clear" w:color="auto" w:fill="BDD6EE"/>
            <w:vAlign w:val="center"/>
          </w:tcPr>
          <w:p w14:paraId="09C63951">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hAnsi="宋体" w:cs="仿宋_GB2312"/>
                <w:b/>
                <w:bCs/>
                <w:i w:val="0"/>
                <w:iCs w:val="0"/>
                <w:color w:val="000000"/>
                <w:kern w:val="0"/>
                <w:sz w:val="22"/>
                <w:szCs w:val="22"/>
                <w:u w:val="none"/>
                <w:lang w:val="en-US" w:eastAsia="zh-CN" w:bidi="ar"/>
              </w:rPr>
              <w:t>年度指标值</w:t>
            </w:r>
          </w:p>
        </w:tc>
        <w:tc>
          <w:tcPr>
            <w:tcW w:w="1095" w:type="dxa"/>
            <w:shd w:val="clear" w:color="auto" w:fill="BDD6EE"/>
            <w:vAlign w:val="center"/>
          </w:tcPr>
          <w:p w14:paraId="6E59CB62">
            <w:pPr>
              <w:keepNext w:val="0"/>
              <w:keepLines w:val="0"/>
              <w:widowControl/>
              <w:suppressLineNumbers w:val="0"/>
              <w:ind w:left="0" w:leftChars="0" w:firstLine="0" w:firstLineChars="0"/>
              <w:jc w:val="center"/>
              <w:textAlignment w:val="center"/>
              <w:rPr>
                <w:rFonts w:hint="eastAsia" w:hAnsi="宋体" w:cs="仿宋_GB2312"/>
                <w:b/>
                <w:bCs/>
                <w:i w:val="0"/>
                <w:iCs w:val="0"/>
                <w:color w:val="000000"/>
                <w:kern w:val="0"/>
                <w:sz w:val="22"/>
                <w:szCs w:val="22"/>
                <w:u w:val="none"/>
                <w:lang w:val="en-US" w:eastAsia="zh-CN" w:bidi="ar"/>
              </w:rPr>
            </w:pPr>
            <w:r>
              <w:rPr>
                <w:rFonts w:hint="eastAsia" w:hAnsi="宋体" w:cs="仿宋_GB2312"/>
                <w:b/>
                <w:bCs/>
                <w:i w:val="0"/>
                <w:iCs w:val="0"/>
                <w:color w:val="000000"/>
                <w:kern w:val="0"/>
                <w:sz w:val="22"/>
                <w:szCs w:val="22"/>
                <w:u w:val="none"/>
                <w:lang w:val="en-US" w:eastAsia="zh-CN" w:bidi="ar"/>
              </w:rPr>
              <w:t>实际</w:t>
            </w:r>
          </w:p>
          <w:p w14:paraId="7FF478A3">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hAnsi="宋体" w:cs="仿宋_GB2312"/>
                <w:b/>
                <w:bCs/>
                <w:i w:val="0"/>
                <w:iCs w:val="0"/>
                <w:color w:val="000000"/>
                <w:kern w:val="0"/>
                <w:sz w:val="22"/>
                <w:szCs w:val="22"/>
                <w:u w:val="none"/>
                <w:lang w:val="en-US" w:eastAsia="zh-CN" w:bidi="ar"/>
              </w:rPr>
              <w:t>完成值</w:t>
            </w:r>
          </w:p>
        </w:tc>
        <w:tc>
          <w:tcPr>
            <w:tcW w:w="915" w:type="dxa"/>
            <w:shd w:val="clear" w:color="auto" w:fill="BDD6EE"/>
            <w:vAlign w:val="center"/>
          </w:tcPr>
          <w:p w14:paraId="531989F9">
            <w:pPr>
              <w:keepNext w:val="0"/>
              <w:keepLines w:val="0"/>
              <w:widowControl/>
              <w:suppressLineNumbers w:val="0"/>
              <w:ind w:left="0" w:leftChars="0" w:firstLine="0" w:firstLineChars="0"/>
              <w:jc w:val="center"/>
              <w:textAlignment w:val="center"/>
              <w:rPr>
                <w:rFonts w:ascii="宋体" w:hAnsi="宋体" w:cs="宋体"/>
                <w:b/>
                <w:color w:val="000000"/>
                <w:kern w:val="0"/>
                <w:sz w:val="22"/>
                <w:szCs w:val="22"/>
                <w:highlight w:val="none"/>
              </w:rPr>
            </w:pPr>
            <w:r>
              <w:rPr>
                <w:rFonts w:hint="eastAsia" w:ascii="仿宋_GB2312" w:hAnsi="宋体" w:eastAsia="仿宋_GB2312" w:cs="仿宋_GB2312"/>
                <w:b/>
                <w:bCs/>
                <w:i w:val="0"/>
                <w:iCs w:val="0"/>
                <w:color w:val="000000"/>
                <w:kern w:val="0"/>
                <w:sz w:val="22"/>
                <w:szCs w:val="22"/>
                <w:u w:val="none"/>
                <w:lang w:val="en-US" w:eastAsia="zh-CN" w:bidi="ar"/>
              </w:rPr>
              <w:t>分值</w:t>
            </w:r>
          </w:p>
        </w:tc>
        <w:tc>
          <w:tcPr>
            <w:tcW w:w="900" w:type="dxa"/>
            <w:shd w:val="clear" w:color="auto" w:fill="BDD6EE"/>
            <w:vAlign w:val="center"/>
          </w:tcPr>
          <w:p w14:paraId="77D8D606">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自评</w:t>
            </w:r>
          </w:p>
          <w:p w14:paraId="796FDFF5">
            <w:pPr>
              <w:keepNext w:val="0"/>
              <w:keepLines w:val="0"/>
              <w:widowControl/>
              <w:suppressLineNumbers w:val="0"/>
              <w:ind w:left="0" w:leftChars="0" w:firstLine="0" w:firstLineChars="0"/>
              <w:jc w:val="both"/>
              <w:textAlignment w:val="center"/>
              <w:rPr>
                <w:rFonts w:ascii="宋体" w:hAnsi="宋体" w:cs="宋体"/>
                <w:b/>
                <w:color w:val="000000"/>
                <w:kern w:val="0"/>
                <w:sz w:val="22"/>
                <w:szCs w:val="22"/>
                <w:highlight w:val="none"/>
              </w:rPr>
            </w:pPr>
            <w:r>
              <w:rPr>
                <w:rFonts w:hint="eastAsia" w:ascii="仿宋_GB2312" w:hAnsi="宋体" w:eastAsia="仿宋_GB2312" w:cs="仿宋_GB2312"/>
                <w:b/>
                <w:bCs/>
                <w:i w:val="0"/>
                <w:iCs w:val="0"/>
                <w:color w:val="000000"/>
                <w:kern w:val="0"/>
                <w:sz w:val="22"/>
                <w:szCs w:val="22"/>
                <w:u w:val="none"/>
                <w:lang w:val="en-US" w:eastAsia="zh-CN" w:bidi="ar"/>
              </w:rPr>
              <w:t>得分</w:t>
            </w:r>
          </w:p>
        </w:tc>
        <w:tc>
          <w:tcPr>
            <w:tcW w:w="1046" w:type="dxa"/>
            <w:shd w:val="clear" w:color="auto" w:fill="BDD6EE"/>
            <w:vAlign w:val="center"/>
          </w:tcPr>
          <w:p w14:paraId="7808E0B7">
            <w:pPr>
              <w:keepNext w:val="0"/>
              <w:keepLines w:val="0"/>
              <w:widowControl/>
              <w:suppressLineNumbers w:val="0"/>
              <w:ind w:left="0" w:leftChars="0" w:firstLine="0" w:firstLineChars="0"/>
              <w:jc w:val="center"/>
              <w:textAlignment w:val="center"/>
              <w:rPr>
                <w:rFonts w:ascii="宋体" w:hAnsi="宋体" w:cs="宋体"/>
                <w:b/>
                <w:color w:val="000000"/>
                <w:kern w:val="0"/>
                <w:sz w:val="22"/>
                <w:szCs w:val="22"/>
                <w:highlight w:val="none"/>
              </w:rPr>
            </w:pPr>
            <w:r>
              <w:rPr>
                <w:rFonts w:hint="eastAsia" w:ascii="仿宋_GB2312" w:hAnsi="宋体" w:eastAsia="仿宋_GB2312" w:cs="仿宋_GB2312"/>
                <w:b/>
                <w:bCs/>
                <w:i w:val="0"/>
                <w:iCs w:val="0"/>
                <w:color w:val="000000"/>
                <w:kern w:val="0"/>
                <w:sz w:val="22"/>
                <w:szCs w:val="22"/>
                <w:u w:val="none"/>
                <w:lang w:val="en-US" w:eastAsia="zh-CN" w:bidi="ar"/>
              </w:rPr>
              <w:t>得分率</w:t>
            </w:r>
          </w:p>
        </w:tc>
      </w:tr>
      <w:tr w14:paraId="5AD2973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restart"/>
            <w:vAlign w:val="center"/>
          </w:tcPr>
          <w:p w14:paraId="195B4DEE">
            <w:pPr>
              <w:keepNext w:val="0"/>
              <w:keepLines w:val="0"/>
              <w:widowControl/>
              <w:suppressLineNumbers w:val="0"/>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经济成本指标</w:t>
            </w:r>
          </w:p>
        </w:tc>
        <w:tc>
          <w:tcPr>
            <w:tcW w:w="1465" w:type="dxa"/>
            <w:vAlign w:val="center"/>
          </w:tcPr>
          <w:p w14:paraId="1599139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成本控制情况</w:t>
            </w:r>
          </w:p>
        </w:tc>
        <w:tc>
          <w:tcPr>
            <w:tcW w:w="1800" w:type="dxa"/>
            <w:vAlign w:val="center"/>
          </w:tcPr>
          <w:p w14:paraId="7C4B7C1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定额标准内</w:t>
            </w:r>
          </w:p>
        </w:tc>
        <w:tc>
          <w:tcPr>
            <w:tcW w:w="1095" w:type="dxa"/>
            <w:vAlign w:val="center"/>
          </w:tcPr>
          <w:p w14:paraId="1EE7E20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915" w:type="dxa"/>
            <w:vAlign w:val="center"/>
          </w:tcPr>
          <w:p w14:paraId="38AD2D5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900" w:type="dxa"/>
            <w:vAlign w:val="center"/>
          </w:tcPr>
          <w:p w14:paraId="6587B453">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46" w:type="dxa"/>
            <w:vAlign w:val="center"/>
          </w:tcPr>
          <w:p w14:paraId="231E063F">
            <w:pPr>
              <w:keepNext w:val="0"/>
              <w:keepLines w:val="0"/>
              <w:widowControl/>
              <w:suppressLineNumbers w:val="0"/>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2942DF0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cantSplit/>
          <w:trHeight w:val="397" w:hRule="atLeast"/>
          <w:tblHeader/>
          <w:jc w:val="center"/>
        </w:trPr>
        <w:tc>
          <w:tcPr>
            <w:tcW w:w="1848" w:type="dxa"/>
            <w:vMerge w:val="continue"/>
            <w:vAlign w:val="center"/>
          </w:tcPr>
          <w:p w14:paraId="589456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p>
        </w:tc>
        <w:tc>
          <w:tcPr>
            <w:tcW w:w="1465" w:type="dxa"/>
            <w:vAlign w:val="center"/>
          </w:tcPr>
          <w:p w14:paraId="75AD93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业务费总额控制率</w:t>
            </w:r>
          </w:p>
        </w:tc>
        <w:tc>
          <w:tcPr>
            <w:tcW w:w="1800" w:type="dxa"/>
            <w:vAlign w:val="center"/>
          </w:tcPr>
          <w:p w14:paraId="7E50450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095" w:type="dxa"/>
            <w:vAlign w:val="center"/>
          </w:tcPr>
          <w:p w14:paraId="78B5C58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915" w:type="dxa"/>
            <w:vAlign w:val="center"/>
          </w:tcPr>
          <w:p w14:paraId="21C4BF8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900" w:type="dxa"/>
            <w:vAlign w:val="center"/>
          </w:tcPr>
          <w:p w14:paraId="2A7266F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46" w:type="dxa"/>
            <w:vAlign w:val="center"/>
          </w:tcPr>
          <w:p w14:paraId="7656D46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4B209F3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7AB84511">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465" w:type="dxa"/>
            <w:shd w:val="clear" w:color="auto" w:fill="BDD6EE"/>
            <w:vAlign w:val="center"/>
          </w:tcPr>
          <w:p w14:paraId="20C32EC0">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800" w:type="dxa"/>
            <w:shd w:val="clear" w:color="auto" w:fill="BDD6EE"/>
            <w:vAlign w:val="center"/>
          </w:tcPr>
          <w:p w14:paraId="7C877BAD">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95" w:type="dxa"/>
            <w:shd w:val="clear" w:color="auto" w:fill="BDD6EE"/>
            <w:vAlign w:val="center"/>
          </w:tcPr>
          <w:p w14:paraId="5DFD5DD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15" w:type="dxa"/>
            <w:shd w:val="clear" w:color="auto" w:fill="BDD6EE"/>
            <w:vAlign w:val="center"/>
          </w:tcPr>
          <w:p w14:paraId="2373E76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900" w:type="dxa"/>
            <w:shd w:val="clear" w:color="auto" w:fill="BDD6EE"/>
            <w:vAlign w:val="center"/>
          </w:tcPr>
          <w:p w14:paraId="49C1A0A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46" w:type="dxa"/>
            <w:shd w:val="clear" w:color="auto" w:fill="BDD6EE"/>
            <w:vAlign w:val="center"/>
          </w:tcPr>
          <w:p w14:paraId="7851265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3069E5FC">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成本控制情况：</w:t>
      </w:r>
      <w:r>
        <w:rPr>
          <w:rFonts w:hint="eastAsia" w:hAnsi="宋体"/>
          <w:b w:val="0"/>
          <w:bCs w:val="0"/>
          <w:szCs w:val="28"/>
          <w:lang w:val="en-US" w:eastAsia="zh-CN"/>
        </w:rPr>
        <w:t>我院2023年全省法院业务费成本控制在全年预算数以内，节约经济增长成本，符合年度指标值的要求。该指标分值10分，自评得分为10分，得分率为100.00%。</w:t>
      </w:r>
    </w:p>
    <w:p w14:paraId="4FE16B97">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b/>
          <w:bCs/>
          <w:lang w:val="en-US" w:eastAsia="zh-CN"/>
        </w:rPr>
        <w:t>业务费总额控制率：</w:t>
      </w:r>
      <w:r>
        <w:rPr>
          <w:rFonts w:hint="eastAsia" w:hAnsi="宋体"/>
          <w:b w:val="0"/>
          <w:bCs w:val="0"/>
          <w:szCs w:val="28"/>
          <w:lang w:val="en-US" w:eastAsia="zh-CN"/>
        </w:rPr>
        <w:t>我院2023年全省法院业务费总额控制率符合年度指标值的要求。该指标分值10分，自评得分为10分，得分率为100.00%。</w:t>
      </w:r>
    </w:p>
    <w:p w14:paraId="1FD2B7D2">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val="en-US" w:eastAsia="zh-CN"/>
        </w:rPr>
        <w:t>（2）产出</w:t>
      </w:r>
      <w:r>
        <w:rPr>
          <w:rFonts w:hint="eastAsia" w:ascii="仿宋_GB2312" w:hAnsi="仿宋_GB2312" w:eastAsia="仿宋_GB2312" w:cs="仿宋_GB2312"/>
          <w:szCs w:val="28"/>
          <w:lang w:eastAsia="zh-CN"/>
        </w:rPr>
        <w:t>指标</w:t>
      </w:r>
    </w:p>
    <w:p w14:paraId="4F342D45">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highlight w:val="none"/>
          <w:lang w:val="en-US" w:eastAsia="zh-CN"/>
        </w:rPr>
      </w:pPr>
      <w:r>
        <w:rPr>
          <w:rFonts w:hint="eastAsia" w:hAnsi="宋体"/>
          <w:b w:val="0"/>
          <w:bCs w:val="0"/>
          <w:szCs w:val="28"/>
          <w:lang w:val="en-US" w:eastAsia="zh-CN"/>
        </w:rPr>
        <w:t>产</w:t>
      </w:r>
      <w:r>
        <w:rPr>
          <w:rFonts w:hint="eastAsia" w:hAnsi="宋体"/>
          <w:b w:val="0"/>
          <w:bCs w:val="0"/>
          <w:szCs w:val="28"/>
          <w:highlight w:val="none"/>
          <w:lang w:val="en-US" w:eastAsia="zh-CN"/>
        </w:rPr>
        <w:t>出指标下设数量、质量、时效3个二级指标。总分值40分，得分37.8分，得分率94.5%。</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104"/>
        <w:gridCol w:w="2659"/>
        <w:gridCol w:w="1424"/>
        <w:gridCol w:w="1292"/>
        <w:gridCol w:w="750"/>
        <w:gridCol w:w="794"/>
        <w:gridCol w:w="1046"/>
      </w:tblGrid>
      <w:tr w14:paraId="4149C84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4" w:type="dxa"/>
            <w:shd w:val="clear" w:color="auto" w:fill="BDD6EE"/>
            <w:vAlign w:val="center"/>
          </w:tcPr>
          <w:p w14:paraId="61824A8B">
            <w:pPr>
              <w:keepNext w:val="0"/>
              <w:keepLines w:val="0"/>
              <w:widowControl/>
              <w:suppressLineNumbers w:val="0"/>
              <w:ind w:left="0" w:leftChars="0" w:firstLine="0" w:firstLineChars="0"/>
              <w:jc w:val="center"/>
              <w:textAlignment w:val="center"/>
              <w:rPr>
                <w:rFonts w:ascii="宋体" w:hAnsi="宋体" w:cs="宋体"/>
                <w:b/>
                <w:color w:val="000000"/>
                <w:kern w:val="0"/>
                <w:sz w:val="22"/>
                <w:szCs w:val="22"/>
                <w:highlight w:val="none"/>
              </w:rPr>
            </w:pPr>
            <w:r>
              <w:rPr>
                <w:rFonts w:hint="eastAsia" w:ascii="仿宋_GB2312" w:hAnsi="宋体" w:eastAsia="仿宋_GB2312" w:cs="仿宋_GB2312"/>
                <w:b/>
                <w:bCs/>
                <w:i w:val="0"/>
                <w:iCs w:val="0"/>
                <w:color w:val="000000"/>
                <w:kern w:val="0"/>
                <w:sz w:val="22"/>
                <w:szCs w:val="22"/>
                <w:u w:val="none"/>
                <w:lang w:val="en-US" w:eastAsia="zh-CN" w:bidi="ar"/>
              </w:rPr>
              <w:t>二级指标</w:t>
            </w:r>
          </w:p>
        </w:tc>
        <w:tc>
          <w:tcPr>
            <w:tcW w:w="2659" w:type="dxa"/>
            <w:shd w:val="clear" w:color="auto" w:fill="BDD6EE"/>
            <w:vAlign w:val="center"/>
          </w:tcPr>
          <w:p w14:paraId="1D4E2AB7">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hAnsi="宋体" w:cs="仿宋_GB2312"/>
                <w:b/>
                <w:bCs/>
                <w:i w:val="0"/>
                <w:iCs w:val="0"/>
                <w:color w:val="000000"/>
                <w:kern w:val="0"/>
                <w:sz w:val="22"/>
                <w:szCs w:val="22"/>
                <w:u w:val="none"/>
                <w:lang w:val="en-US" w:eastAsia="zh-CN" w:bidi="ar"/>
              </w:rPr>
              <w:t>三级指标</w:t>
            </w:r>
          </w:p>
        </w:tc>
        <w:tc>
          <w:tcPr>
            <w:tcW w:w="1424" w:type="dxa"/>
            <w:shd w:val="clear" w:color="auto" w:fill="BDD6EE"/>
            <w:vAlign w:val="center"/>
          </w:tcPr>
          <w:p w14:paraId="1482AF69">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hAnsi="宋体" w:cs="仿宋_GB2312"/>
                <w:b/>
                <w:bCs/>
                <w:i w:val="0"/>
                <w:iCs w:val="0"/>
                <w:color w:val="000000"/>
                <w:kern w:val="0"/>
                <w:sz w:val="22"/>
                <w:szCs w:val="22"/>
                <w:u w:val="none"/>
                <w:lang w:val="en-US" w:eastAsia="zh-CN" w:bidi="ar"/>
              </w:rPr>
              <w:t>年度指标值</w:t>
            </w:r>
          </w:p>
        </w:tc>
        <w:tc>
          <w:tcPr>
            <w:tcW w:w="1292" w:type="dxa"/>
            <w:shd w:val="clear" w:color="auto" w:fill="BDD6EE"/>
            <w:vAlign w:val="center"/>
          </w:tcPr>
          <w:p w14:paraId="0E349F8D">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hAnsi="宋体" w:cs="仿宋_GB2312"/>
                <w:b/>
                <w:bCs/>
                <w:i w:val="0"/>
                <w:iCs w:val="0"/>
                <w:color w:val="000000"/>
                <w:kern w:val="0"/>
                <w:sz w:val="22"/>
                <w:szCs w:val="22"/>
                <w:u w:val="none"/>
                <w:lang w:val="en-US" w:eastAsia="zh-CN" w:bidi="ar"/>
              </w:rPr>
              <w:t>实际完成值</w:t>
            </w:r>
          </w:p>
        </w:tc>
        <w:tc>
          <w:tcPr>
            <w:tcW w:w="750" w:type="dxa"/>
            <w:shd w:val="clear" w:color="auto" w:fill="BDD6EE"/>
            <w:vAlign w:val="center"/>
          </w:tcPr>
          <w:p w14:paraId="28D7679D">
            <w:pPr>
              <w:keepNext w:val="0"/>
              <w:keepLines w:val="0"/>
              <w:widowControl/>
              <w:suppressLineNumbers w:val="0"/>
              <w:ind w:left="0" w:leftChars="0" w:firstLine="0" w:firstLineChars="0"/>
              <w:jc w:val="center"/>
              <w:textAlignment w:val="center"/>
              <w:rPr>
                <w:rFonts w:ascii="宋体" w:hAnsi="宋体" w:cs="宋体"/>
                <w:b/>
                <w:color w:val="000000"/>
                <w:kern w:val="0"/>
                <w:sz w:val="22"/>
                <w:szCs w:val="22"/>
                <w:highlight w:val="none"/>
              </w:rPr>
            </w:pPr>
            <w:r>
              <w:rPr>
                <w:rFonts w:hint="eastAsia" w:ascii="仿宋_GB2312" w:hAnsi="宋体" w:eastAsia="仿宋_GB2312" w:cs="仿宋_GB2312"/>
                <w:b/>
                <w:bCs/>
                <w:i w:val="0"/>
                <w:iCs w:val="0"/>
                <w:color w:val="000000"/>
                <w:kern w:val="0"/>
                <w:sz w:val="22"/>
                <w:szCs w:val="22"/>
                <w:u w:val="none"/>
                <w:lang w:val="en-US" w:eastAsia="zh-CN" w:bidi="ar"/>
              </w:rPr>
              <w:t>分值</w:t>
            </w:r>
          </w:p>
        </w:tc>
        <w:tc>
          <w:tcPr>
            <w:tcW w:w="794" w:type="dxa"/>
            <w:shd w:val="clear" w:color="auto" w:fill="BDD6EE"/>
            <w:vAlign w:val="center"/>
          </w:tcPr>
          <w:p w14:paraId="14FA2288">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自评</w:t>
            </w:r>
          </w:p>
          <w:p w14:paraId="66D5D421">
            <w:pPr>
              <w:keepNext w:val="0"/>
              <w:keepLines w:val="0"/>
              <w:widowControl/>
              <w:suppressLineNumbers w:val="0"/>
              <w:ind w:left="0" w:leftChars="0" w:firstLine="0" w:firstLineChars="0"/>
              <w:jc w:val="center"/>
              <w:textAlignment w:val="center"/>
              <w:rPr>
                <w:rFonts w:ascii="宋体" w:hAnsi="宋体" w:cs="宋体"/>
                <w:b/>
                <w:color w:val="000000"/>
                <w:kern w:val="0"/>
                <w:sz w:val="22"/>
                <w:szCs w:val="22"/>
                <w:highlight w:val="none"/>
              </w:rPr>
            </w:pPr>
            <w:r>
              <w:rPr>
                <w:rFonts w:hint="eastAsia" w:ascii="仿宋_GB2312" w:hAnsi="宋体" w:eastAsia="仿宋_GB2312" w:cs="仿宋_GB2312"/>
                <w:b/>
                <w:bCs/>
                <w:i w:val="0"/>
                <w:iCs w:val="0"/>
                <w:color w:val="000000"/>
                <w:kern w:val="0"/>
                <w:sz w:val="22"/>
                <w:szCs w:val="22"/>
                <w:u w:val="none"/>
                <w:lang w:val="en-US" w:eastAsia="zh-CN" w:bidi="ar"/>
              </w:rPr>
              <w:t>得分</w:t>
            </w:r>
          </w:p>
        </w:tc>
        <w:tc>
          <w:tcPr>
            <w:tcW w:w="1046" w:type="dxa"/>
            <w:shd w:val="clear" w:color="auto" w:fill="BDD6EE"/>
            <w:vAlign w:val="center"/>
          </w:tcPr>
          <w:p w14:paraId="141358FF">
            <w:pPr>
              <w:keepNext w:val="0"/>
              <w:keepLines w:val="0"/>
              <w:widowControl/>
              <w:suppressLineNumbers w:val="0"/>
              <w:ind w:left="0" w:leftChars="0" w:firstLine="0" w:firstLineChars="0"/>
              <w:jc w:val="center"/>
              <w:textAlignment w:val="center"/>
              <w:rPr>
                <w:rFonts w:ascii="宋体" w:hAnsi="宋体" w:cs="宋体"/>
                <w:b/>
                <w:color w:val="000000"/>
                <w:kern w:val="0"/>
                <w:sz w:val="22"/>
                <w:szCs w:val="22"/>
                <w:highlight w:val="none"/>
              </w:rPr>
            </w:pPr>
            <w:r>
              <w:rPr>
                <w:rFonts w:hint="eastAsia" w:ascii="仿宋_GB2312" w:hAnsi="宋体" w:eastAsia="仿宋_GB2312" w:cs="仿宋_GB2312"/>
                <w:b/>
                <w:bCs/>
                <w:i w:val="0"/>
                <w:iCs w:val="0"/>
                <w:color w:val="000000"/>
                <w:kern w:val="0"/>
                <w:sz w:val="22"/>
                <w:szCs w:val="22"/>
                <w:u w:val="none"/>
                <w:lang w:val="en-US" w:eastAsia="zh-CN" w:bidi="ar"/>
              </w:rPr>
              <w:t>得分率</w:t>
            </w:r>
          </w:p>
        </w:tc>
      </w:tr>
      <w:tr w14:paraId="1847AF8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4" w:type="dxa"/>
            <w:vMerge w:val="restart"/>
            <w:vAlign w:val="center"/>
          </w:tcPr>
          <w:p w14:paraId="2BC19B7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数量指标</w:t>
            </w:r>
          </w:p>
        </w:tc>
        <w:tc>
          <w:tcPr>
            <w:tcW w:w="2659" w:type="dxa"/>
            <w:vAlign w:val="center"/>
          </w:tcPr>
          <w:p w14:paraId="20783DC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采购装备数量</w:t>
            </w:r>
          </w:p>
        </w:tc>
        <w:tc>
          <w:tcPr>
            <w:tcW w:w="1424" w:type="dxa"/>
            <w:vAlign w:val="center"/>
          </w:tcPr>
          <w:p w14:paraId="3662310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1台（套）</w:t>
            </w:r>
          </w:p>
        </w:tc>
        <w:tc>
          <w:tcPr>
            <w:tcW w:w="1292" w:type="dxa"/>
            <w:vAlign w:val="center"/>
          </w:tcPr>
          <w:p w14:paraId="680A514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3台（套）</w:t>
            </w:r>
          </w:p>
        </w:tc>
        <w:tc>
          <w:tcPr>
            <w:tcW w:w="750" w:type="dxa"/>
            <w:vAlign w:val="center"/>
          </w:tcPr>
          <w:p w14:paraId="6B88875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794" w:type="dxa"/>
            <w:vAlign w:val="center"/>
          </w:tcPr>
          <w:p w14:paraId="147CDE6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1.44</w:t>
            </w:r>
          </w:p>
        </w:tc>
        <w:tc>
          <w:tcPr>
            <w:tcW w:w="1046" w:type="dxa"/>
            <w:vAlign w:val="center"/>
          </w:tcPr>
          <w:p w14:paraId="2199573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54.14%</w:t>
            </w:r>
          </w:p>
        </w:tc>
      </w:tr>
      <w:tr w14:paraId="4FB4D0F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4" w:type="dxa"/>
            <w:vMerge w:val="continue"/>
            <w:vAlign w:val="center"/>
          </w:tcPr>
          <w:p w14:paraId="64758165">
            <w:pPr>
              <w:jc w:val="center"/>
              <w:rPr>
                <w:rFonts w:hint="eastAsia" w:ascii="宋体" w:hAnsi="宋体" w:eastAsia="宋体" w:cs="宋体"/>
                <w:i w:val="0"/>
                <w:iCs w:val="0"/>
                <w:color w:val="333333"/>
                <w:kern w:val="0"/>
                <w:sz w:val="22"/>
                <w:szCs w:val="22"/>
                <w:u w:val="none"/>
                <w:lang w:val="en-US" w:eastAsia="zh-CN" w:bidi="ar"/>
              </w:rPr>
            </w:pPr>
          </w:p>
        </w:tc>
        <w:tc>
          <w:tcPr>
            <w:tcW w:w="2659" w:type="dxa"/>
            <w:vAlign w:val="center"/>
          </w:tcPr>
          <w:p w14:paraId="78D8EDF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结案率</w:t>
            </w:r>
          </w:p>
        </w:tc>
        <w:tc>
          <w:tcPr>
            <w:tcW w:w="1424" w:type="dxa"/>
            <w:vAlign w:val="center"/>
          </w:tcPr>
          <w:p w14:paraId="4506370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292" w:type="dxa"/>
            <w:vAlign w:val="center"/>
          </w:tcPr>
          <w:p w14:paraId="4FEE6F1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95.61%</w:t>
            </w:r>
          </w:p>
        </w:tc>
        <w:tc>
          <w:tcPr>
            <w:tcW w:w="750" w:type="dxa"/>
            <w:vAlign w:val="center"/>
          </w:tcPr>
          <w:p w14:paraId="7A537F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2.76</w:t>
            </w:r>
          </w:p>
        </w:tc>
        <w:tc>
          <w:tcPr>
            <w:tcW w:w="794" w:type="dxa"/>
            <w:vAlign w:val="center"/>
          </w:tcPr>
          <w:p w14:paraId="2A11478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2.76</w:t>
            </w:r>
          </w:p>
        </w:tc>
        <w:tc>
          <w:tcPr>
            <w:tcW w:w="1046" w:type="dxa"/>
            <w:vAlign w:val="center"/>
          </w:tcPr>
          <w:p w14:paraId="4B7757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288808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4" w:type="dxa"/>
            <w:vMerge w:val="continue"/>
            <w:vAlign w:val="center"/>
          </w:tcPr>
          <w:p w14:paraId="390B19DE">
            <w:pPr>
              <w:jc w:val="center"/>
              <w:rPr>
                <w:rFonts w:hAnsi="宋体" w:cs="宋体"/>
                <w:color w:val="000000"/>
                <w:kern w:val="0"/>
                <w:sz w:val="22"/>
                <w:szCs w:val="22"/>
                <w:highlight w:val="none"/>
              </w:rPr>
            </w:pPr>
          </w:p>
        </w:tc>
        <w:tc>
          <w:tcPr>
            <w:tcW w:w="2659" w:type="dxa"/>
            <w:vAlign w:val="center"/>
          </w:tcPr>
          <w:p w14:paraId="6837298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维修维护项目数</w:t>
            </w:r>
          </w:p>
        </w:tc>
        <w:tc>
          <w:tcPr>
            <w:tcW w:w="1424" w:type="dxa"/>
            <w:vAlign w:val="center"/>
          </w:tcPr>
          <w:p w14:paraId="5EBBFC3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3项</w:t>
            </w:r>
          </w:p>
        </w:tc>
        <w:tc>
          <w:tcPr>
            <w:tcW w:w="1292" w:type="dxa"/>
            <w:vAlign w:val="center"/>
          </w:tcPr>
          <w:p w14:paraId="43F82C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3项</w:t>
            </w:r>
          </w:p>
        </w:tc>
        <w:tc>
          <w:tcPr>
            <w:tcW w:w="750" w:type="dxa"/>
            <w:vAlign w:val="center"/>
          </w:tcPr>
          <w:p w14:paraId="62B9113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794" w:type="dxa"/>
            <w:vAlign w:val="center"/>
          </w:tcPr>
          <w:p w14:paraId="57786E1C">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46" w:type="dxa"/>
            <w:vAlign w:val="center"/>
          </w:tcPr>
          <w:p w14:paraId="06D9FF3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49B0D45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4" w:type="dxa"/>
            <w:vMerge w:val="continue"/>
            <w:vAlign w:val="center"/>
          </w:tcPr>
          <w:p w14:paraId="47DC5ACF">
            <w:pPr>
              <w:jc w:val="center"/>
              <w:rPr>
                <w:rFonts w:hAnsi="宋体" w:cs="宋体"/>
                <w:color w:val="000000"/>
                <w:kern w:val="0"/>
                <w:sz w:val="22"/>
                <w:szCs w:val="22"/>
                <w:highlight w:val="none"/>
              </w:rPr>
            </w:pPr>
          </w:p>
        </w:tc>
        <w:tc>
          <w:tcPr>
            <w:tcW w:w="2659" w:type="dxa"/>
            <w:vAlign w:val="center"/>
          </w:tcPr>
          <w:p w14:paraId="1A4AEAB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物业管理面积</w:t>
            </w:r>
          </w:p>
        </w:tc>
        <w:tc>
          <w:tcPr>
            <w:tcW w:w="1424" w:type="dxa"/>
            <w:vAlign w:val="center"/>
          </w:tcPr>
          <w:p w14:paraId="501893D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13563.65㎡</w:t>
            </w:r>
          </w:p>
        </w:tc>
        <w:tc>
          <w:tcPr>
            <w:tcW w:w="1292" w:type="dxa"/>
            <w:vAlign w:val="center"/>
          </w:tcPr>
          <w:p w14:paraId="47E5EC5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13563.65㎡</w:t>
            </w:r>
          </w:p>
        </w:tc>
        <w:tc>
          <w:tcPr>
            <w:tcW w:w="750" w:type="dxa"/>
            <w:vAlign w:val="center"/>
          </w:tcPr>
          <w:p w14:paraId="6DEE502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794" w:type="dxa"/>
            <w:vAlign w:val="center"/>
          </w:tcPr>
          <w:p w14:paraId="4E194D2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46" w:type="dxa"/>
            <w:vAlign w:val="center"/>
          </w:tcPr>
          <w:p w14:paraId="4321ACF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CD1DD0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4" w:type="dxa"/>
            <w:vMerge w:val="continue"/>
            <w:vAlign w:val="center"/>
          </w:tcPr>
          <w:p w14:paraId="594E1610">
            <w:pPr>
              <w:jc w:val="center"/>
              <w:rPr>
                <w:rFonts w:hAnsi="宋体" w:cs="宋体"/>
                <w:color w:val="000000"/>
                <w:kern w:val="0"/>
                <w:sz w:val="22"/>
                <w:szCs w:val="22"/>
                <w:highlight w:val="none"/>
              </w:rPr>
            </w:pPr>
          </w:p>
        </w:tc>
        <w:tc>
          <w:tcPr>
            <w:tcW w:w="2659" w:type="dxa"/>
            <w:vAlign w:val="center"/>
          </w:tcPr>
          <w:p w14:paraId="5A601B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信息化运维服务完成率</w:t>
            </w:r>
          </w:p>
        </w:tc>
        <w:tc>
          <w:tcPr>
            <w:tcW w:w="1424" w:type="dxa"/>
            <w:vAlign w:val="center"/>
          </w:tcPr>
          <w:p w14:paraId="2CD16D7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292" w:type="dxa"/>
            <w:vAlign w:val="center"/>
          </w:tcPr>
          <w:p w14:paraId="63DA8CE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50" w:type="dxa"/>
            <w:vAlign w:val="center"/>
          </w:tcPr>
          <w:p w14:paraId="72A3844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794" w:type="dxa"/>
            <w:vAlign w:val="center"/>
          </w:tcPr>
          <w:p w14:paraId="7CC84A5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46" w:type="dxa"/>
            <w:vAlign w:val="center"/>
          </w:tcPr>
          <w:p w14:paraId="6185EAE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12C2FA8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4" w:type="dxa"/>
            <w:vMerge w:val="restart"/>
            <w:vAlign w:val="center"/>
          </w:tcPr>
          <w:p w14:paraId="1B02824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质量指标</w:t>
            </w:r>
          </w:p>
        </w:tc>
        <w:tc>
          <w:tcPr>
            <w:tcW w:w="2659" w:type="dxa"/>
            <w:vAlign w:val="center"/>
          </w:tcPr>
          <w:p w14:paraId="1E5D77B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购置装备验收合格率</w:t>
            </w:r>
          </w:p>
        </w:tc>
        <w:tc>
          <w:tcPr>
            <w:tcW w:w="1424" w:type="dxa"/>
            <w:vAlign w:val="center"/>
          </w:tcPr>
          <w:p w14:paraId="3E372BB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292" w:type="dxa"/>
            <w:vAlign w:val="center"/>
          </w:tcPr>
          <w:p w14:paraId="0550671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50" w:type="dxa"/>
            <w:vAlign w:val="center"/>
          </w:tcPr>
          <w:p w14:paraId="55AAF99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794" w:type="dxa"/>
            <w:vAlign w:val="center"/>
          </w:tcPr>
          <w:p w14:paraId="4667A35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46" w:type="dxa"/>
            <w:vAlign w:val="center"/>
          </w:tcPr>
          <w:p w14:paraId="293773F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61E16A8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4" w:type="dxa"/>
            <w:vMerge w:val="continue"/>
            <w:vAlign w:val="center"/>
          </w:tcPr>
          <w:p w14:paraId="6541AC85">
            <w:pPr>
              <w:jc w:val="center"/>
              <w:rPr>
                <w:rFonts w:hint="eastAsia" w:ascii="宋体" w:hAnsi="宋体" w:eastAsia="宋体" w:cs="宋体"/>
                <w:i w:val="0"/>
                <w:iCs w:val="0"/>
                <w:color w:val="333333"/>
                <w:kern w:val="0"/>
                <w:sz w:val="22"/>
                <w:szCs w:val="22"/>
                <w:u w:val="none"/>
                <w:lang w:val="en-US" w:eastAsia="zh-CN" w:bidi="ar"/>
              </w:rPr>
            </w:pPr>
          </w:p>
        </w:tc>
        <w:tc>
          <w:tcPr>
            <w:tcW w:w="2659" w:type="dxa"/>
            <w:vAlign w:val="center"/>
          </w:tcPr>
          <w:p w14:paraId="0FFD4C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维修维护项目验收合格率</w:t>
            </w:r>
          </w:p>
        </w:tc>
        <w:tc>
          <w:tcPr>
            <w:tcW w:w="1424" w:type="dxa"/>
            <w:vAlign w:val="center"/>
          </w:tcPr>
          <w:p w14:paraId="269265A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292" w:type="dxa"/>
            <w:vAlign w:val="center"/>
          </w:tcPr>
          <w:p w14:paraId="334A8DB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50" w:type="dxa"/>
            <w:vAlign w:val="center"/>
          </w:tcPr>
          <w:p w14:paraId="4F9405F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794" w:type="dxa"/>
            <w:vAlign w:val="center"/>
          </w:tcPr>
          <w:p w14:paraId="2EB0ED6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46" w:type="dxa"/>
            <w:vAlign w:val="center"/>
          </w:tcPr>
          <w:p w14:paraId="49FE824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CCB8BF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4" w:type="dxa"/>
            <w:vMerge w:val="continue"/>
            <w:vAlign w:val="center"/>
          </w:tcPr>
          <w:p w14:paraId="1CDDC03C">
            <w:pPr>
              <w:jc w:val="center"/>
              <w:rPr>
                <w:rFonts w:hint="eastAsia" w:ascii="宋体" w:hAnsi="宋体" w:eastAsia="宋体" w:cs="宋体"/>
                <w:i w:val="0"/>
                <w:iCs w:val="0"/>
                <w:color w:val="333333"/>
                <w:kern w:val="0"/>
                <w:sz w:val="22"/>
                <w:szCs w:val="22"/>
                <w:u w:val="none"/>
                <w:lang w:val="en-US" w:eastAsia="zh-CN" w:bidi="ar"/>
              </w:rPr>
            </w:pPr>
          </w:p>
        </w:tc>
        <w:tc>
          <w:tcPr>
            <w:tcW w:w="2659" w:type="dxa"/>
            <w:vAlign w:val="center"/>
          </w:tcPr>
          <w:p w14:paraId="0E9B563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物业管理合格率</w:t>
            </w:r>
          </w:p>
        </w:tc>
        <w:tc>
          <w:tcPr>
            <w:tcW w:w="1424" w:type="dxa"/>
            <w:vAlign w:val="center"/>
          </w:tcPr>
          <w:p w14:paraId="0903FCD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292" w:type="dxa"/>
            <w:vAlign w:val="center"/>
          </w:tcPr>
          <w:p w14:paraId="67F5388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50" w:type="dxa"/>
            <w:vAlign w:val="center"/>
          </w:tcPr>
          <w:p w14:paraId="429A601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794" w:type="dxa"/>
            <w:vAlign w:val="center"/>
          </w:tcPr>
          <w:p w14:paraId="24B3A2D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46" w:type="dxa"/>
            <w:vAlign w:val="center"/>
          </w:tcPr>
          <w:p w14:paraId="5F13B08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14C0058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4" w:type="dxa"/>
            <w:vMerge w:val="continue"/>
            <w:vAlign w:val="center"/>
          </w:tcPr>
          <w:p w14:paraId="2EF5024C">
            <w:pPr>
              <w:jc w:val="center"/>
              <w:rPr>
                <w:rFonts w:hint="eastAsia" w:ascii="宋体" w:hAnsi="宋体" w:eastAsia="宋体" w:cs="宋体"/>
                <w:i w:val="0"/>
                <w:iCs w:val="0"/>
                <w:color w:val="333333"/>
                <w:kern w:val="0"/>
                <w:sz w:val="22"/>
                <w:szCs w:val="22"/>
                <w:u w:val="none"/>
                <w:lang w:val="en-US" w:eastAsia="zh-CN" w:bidi="ar"/>
              </w:rPr>
            </w:pPr>
          </w:p>
        </w:tc>
        <w:tc>
          <w:tcPr>
            <w:tcW w:w="2659" w:type="dxa"/>
            <w:vAlign w:val="center"/>
          </w:tcPr>
          <w:p w14:paraId="5AECBF2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信息化运维服务验收合格率</w:t>
            </w:r>
          </w:p>
        </w:tc>
        <w:tc>
          <w:tcPr>
            <w:tcW w:w="1424" w:type="dxa"/>
            <w:vAlign w:val="center"/>
          </w:tcPr>
          <w:p w14:paraId="764E6A6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292" w:type="dxa"/>
            <w:vAlign w:val="center"/>
          </w:tcPr>
          <w:p w14:paraId="7FCE587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50" w:type="dxa"/>
            <w:vAlign w:val="center"/>
          </w:tcPr>
          <w:p w14:paraId="5F4B05B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794" w:type="dxa"/>
            <w:vAlign w:val="center"/>
          </w:tcPr>
          <w:p w14:paraId="3ED8E4A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46" w:type="dxa"/>
            <w:vAlign w:val="center"/>
          </w:tcPr>
          <w:p w14:paraId="3F8E148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0335AF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4" w:type="dxa"/>
            <w:vMerge w:val="continue"/>
            <w:vAlign w:val="center"/>
          </w:tcPr>
          <w:p w14:paraId="2C4F8C25">
            <w:pPr>
              <w:jc w:val="center"/>
              <w:rPr>
                <w:rFonts w:hint="eastAsia" w:ascii="宋体" w:hAnsi="宋体" w:eastAsia="宋体" w:cs="宋体"/>
                <w:i w:val="0"/>
                <w:iCs w:val="0"/>
                <w:color w:val="333333"/>
                <w:kern w:val="0"/>
                <w:sz w:val="22"/>
                <w:szCs w:val="22"/>
                <w:u w:val="none"/>
                <w:lang w:val="en-US" w:eastAsia="zh-CN" w:bidi="ar"/>
              </w:rPr>
            </w:pPr>
          </w:p>
        </w:tc>
        <w:tc>
          <w:tcPr>
            <w:tcW w:w="2659" w:type="dxa"/>
            <w:vAlign w:val="center"/>
          </w:tcPr>
          <w:p w14:paraId="24B7267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一审服判息诉率</w:t>
            </w:r>
          </w:p>
        </w:tc>
        <w:tc>
          <w:tcPr>
            <w:tcW w:w="1424" w:type="dxa"/>
            <w:vAlign w:val="center"/>
          </w:tcPr>
          <w:p w14:paraId="7BD928E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292" w:type="dxa"/>
            <w:vAlign w:val="center"/>
          </w:tcPr>
          <w:p w14:paraId="56D02A6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57.01%</w:t>
            </w:r>
          </w:p>
        </w:tc>
        <w:tc>
          <w:tcPr>
            <w:tcW w:w="750" w:type="dxa"/>
            <w:vAlign w:val="center"/>
          </w:tcPr>
          <w:p w14:paraId="13848AA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794" w:type="dxa"/>
            <w:vAlign w:val="center"/>
          </w:tcPr>
          <w:p w14:paraId="76C6202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1.68</w:t>
            </w:r>
          </w:p>
        </w:tc>
        <w:tc>
          <w:tcPr>
            <w:tcW w:w="1046" w:type="dxa"/>
            <w:vAlign w:val="center"/>
          </w:tcPr>
          <w:p w14:paraId="19B310D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63.16%</w:t>
            </w:r>
          </w:p>
        </w:tc>
      </w:tr>
      <w:tr w14:paraId="7405136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4" w:type="dxa"/>
            <w:vMerge w:val="restart"/>
            <w:vAlign w:val="center"/>
          </w:tcPr>
          <w:p w14:paraId="715E058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时效指标</w:t>
            </w:r>
          </w:p>
        </w:tc>
        <w:tc>
          <w:tcPr>
            <w:tcW w:w="2659" w:type="dxa"/>
            <w:vAlign w:val="center"/>
          </w:tcPr>
          <w:p w14:paraId="260631F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办案经费支付及时率</w:t>
            </w:r>
          </w:p>
        </w:tc>
        <w:tc>
          <w:tcPr>
            <w:tcW w:w="1424" w:type="dxa"/>
            <w:vAlign w:val="center"/>
          </w:tcPr>
          <w:p w14:paraId="55BEE54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292" w:type="dxa"/>
            <w:vAlign w:val="center"/>
          </w:tcPr>
          <w:p w14:paraId="3914F28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50" w:type="dxa"/>
            <w:vAlign w:val="center"/>
          </w:tcPr>
          <w:p w14:paraId="704AEA5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794" w:type="dxa"/>
            <w:vAlign w:val="center"/>
          </w:tcPr>
          <w:p w14:paraId="51B10C8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46" w:type="dxa"/>
            <w:vAlign w:val="center"/>
          </w:tcPr>
          <w:p w14:paraId="5BD5057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7349E2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4" w:type="dxa"/>
            <w:vMerge w:val="continue"/>
            <w:vAlign w:val="center"/>
          </w:tcPr>
          <w:p w14:paraId="122072EA">
            <w:pPr>
              <w:jc w:val="center"/>
              <w:rPr>
                <w:rFonts w:hint="eastAsia" w:ascii="宋体" w:hAnsi="宋体" w:eastAsia="宋体" w:cs="宋体"/>
                <w:i w:val="0"/>
                <w:iCs w:val="0"/>
                <w:color w:val="333333"/>
                <w:kern w:val="0"/>
                <w:sz w:val="22"/>
                <w:szCs w:val="22"/>
                <w:u w:val="none"/>
                <w:lang w:val="en-US" w:eastAsia="zh-CN" w:bidi="ar"/>
              </w:rPr>
            </w:pPr>
          </w:p>
        </w:tc>
        <w:tc>
          <w:tcPr>
            <w:tcW w:w="2659" w:type="dxa"/>
            <w:vAlign w:val="center"/>
          </w:tcPr>
          <w:p w14:paraId="2284435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法定审限内结案率</w:t>
            </w:r>
          </w:p>
        </w:tc>
        <w:tc>
          <w:tcPr>
            <w:tcW w:w="1424" w:type="dxa"/>
            <w:vAlign w:val="center"/>
          </w:tcPr>
          <w:p w14:paraId="4CC4FB1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292" w:type="dxa"/>
            <w:vAlign w:val="center"/>
          </w:tcPr>
          <w:p w14:paraId="663A0D8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99.62%</w:t>
            </w:r>
          </w:p>
        </w:tc>
        <w:tc>
          <w:tcPr>
            <w:tcW w:w="750" w:type="dxa"/>
            <w:vAlign w:val="center"/>
          </w:tcPr>
          <w:p w14:paraId="035844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794" w:type="dxa"/>
            <w:vAlign w:val="center"/>
          </w:tcPr>
          <w:p w14:paraId="513C916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46" w:type="dxa"/>
            <w:vAlign w:val="center"/>
          </w:tcPr>
          <w:p w14:paraId="0E6313B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92AE0C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4" w:type="dxa"/>
            <w:vMerge w:val="continue"/>
            <w:vAlign w:val="center"/>
          </w:tcPr>
          <w:p w14:paraId="76F2D14B">
            <w:pPr>
              <w:jc w:val="center"/>
              <w:rPr>
                <w:rFonts w:hint="eastAsia" w:ascii="宋体" w:hAnsi="宋体" w:eastAsia="宋体" w:cs="宋体"/>
                <w:i w:val="0"/>
                <w:iCs w:val="0"/>
                <w:color w:val="333333"/>
                <w:kern w:val="0"/>
                <w:sz w:val="22"/>
                <w:szCs w:val="22"/>
                <w:u w:val="none"/>
                <w:lang w:val="en-US" w:eastAsia="zh-CN" w:bidi="ar"/>
              </w:rPr>
            </w:pPr>
          </w:p>
        </w:tc>
        <w:tc>
          <w:tcPr>
            <w:tcW w:w="2659" w:type="dxa"/>
            <w:vAlign w:val="center"/>
          </w:tcPr>
          <w:p w14:paraId="421AC93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维修修护及时性</w:t>
            </w:r>
          </w:p>
        </w:tc>
        <w:tc>
          <w:tcPr>
            <w:tcW w:w="1424" w:type="dxa"/>
            <w:vAlign w:val="center"/>
          </w:tcPr>
          <w:p w14:paraId="066865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292" w:type="dxa"/>
            <w:vAlign w:val="center"/>
          </w:tcPr>
          <w:p w14:paraId="6F9ED79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50" w:type="dxa"/>
            <w:vAlign w:val="center"/>
          </w:tcPr>
          <w:p w14:paraId="2048CF9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794" w:type="dxa"/>
            <w:vAlign w:val="center"/>
          </w:tcPr>
          <w:p w14:paraId="78C5217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46" w:type="dxa"/>
            <w:vAlign w:val="center"/>
          </w:tcPr>
          <w:p w14:paraId="517D79F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0BD6F2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4" w:type="dxa"/>
            <w:vMerge w:val="continue"/>
            <w:vAlign w:val="center"/>
          </w:tcPr>
          <w:p w14:paraId="1BDA2A48">
            <w:pPr>
              <w:jc w:val="center"/>
              <w:rPr>
                <w:rFonts w:hint="eastAsia" w:ascii="宋体" w:hAnsi="宋体" w:eastAsia="宋体" w:cs="宋体"/>
                <w:i w:val="0"/>
                <w:iCs w:val="0"/>
                <w:color w:val="333333"/>
                <w:kern w:val="0"/>
                <w:sz w:val="22"/>
                <w:szCs w:val="22"/>
                <w:u w:val="none"/>
                <w:lang w:val="en-US" w:eastAsia="zh-CN" w:bidi="ar"/>
              </w:rPr>
            </w:pPr>
          </w:p>
        </w:tc>
        <w:tc>
          <w:tcPr>
            <w:tcW w:w="2659" w:type="dxa"/>
            <w:vAlign w:val="center"/>
          </w:tcPr>
          <w:p w14:paraId="5F5A109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信息化运维工作及时性</w:t>
            </w:r>
          </w:p>
        </w:tc>
        <w:tc>
          <w:tcPr>
            <w:tcW w:w="1424" w:type="dxa"/>
            <w:vAlign w:val="center"/>
          </w:tcPr>
          <w:p w14:paraId="71C5A2E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292" w:type="dxa"/>
            <w:vAlign w:val="center"/>
          </w:tcPr>
          <w:p w14:paraId="0B2C617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50" w:type="dxa"/>
            <w:vAlign w:val="center"/>
          </w:tcPr>
          <w:p w14:paraId="192D9A1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794" w:type="dxa"/>
            <w:vAlign w:val="center"/>
          </w:tcPr>
          <w:p w14:paraId="327E1C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46" w:type="dxa"/>
            <w:vAlign w:val="center"/>
          </w:tcPr>
          <w:p w14:paraId="2B2F84D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7EC6C5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4" w:type="dxa"/>
            <w:vMerge w:val="continue"/>
            <w:vAlign w:val="center"/>
          </w:tcPr>
          <w:p w14:paraId="2D5E963E">
            <w:pPr>
              <w:jc w:val="center"/>
              <w:rPr>
                <w:rFonts w:hint="eastAsia" w:ascii="宋体" w:hAnsi="宋体" w:eastAsia="宋体" w:cs="宋体"/>
                <w:i w:val="0"/>
                <w:iCs w:val="0"/>
                <w:color w:val="333333"/>
                <w:kern w:val="0"/>
                <w:sz w:val="22"/>
                <w:szCs w:val="22"/>
                <w:u w:val="none"/>
                <w:lang w:val="en-US" w:eastAsia="zh-CN" w:bidi="ar"/>
              </w:rPr>
            </w:pPr>
          </w:p>
        </w:tc>
        <w:tc>
          <w:tcPr>
            <w:tcW w:w="2659" w:type="dxa"/>
            <w:vAlign w:val="center"/>
          </w:tcPr>
          <w:p w14:paraId="3711EF4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装备购置及时性</w:t>
            </w:r>
          </w:p>
        </w:tc>
        <w:tc>
          <w:tcPr>
            <w:tcW w:w="1424" w:type="dxa"/>
            <w:vAlign w:val="center"/>
          </w:tcPr>
          <w:p w14:paraId="76D398A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292" w:type="dxa"/>
            <w:vAlign w:val="center"/>
          </w:tcPr>
          <w:p w14:paraId="7E4AB0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50" w:type="dxa"/>
            <w:vAlign w:val="center"/>
          </w:tcPr>
          <w:p w14:paraId="4F56647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794" w:type="dxa"/>
            <w:vAlign w:val="center"/>
          </w:tcPr>
          <w:p w14:paraId="25043FF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2.66</w:t>
            </w:r>
          </w:p>
        </w:tc>
        <w:tc>
          <w:tcPr>
            <w:tcW w:w="1046" w:type="dxa"/>
            <w:vAlign w:val="center"/>
          </w:tcPr>
          <w:p w14:paraId="303D16A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B40571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04" w:type="dxa"/>
            <w:shd w:val="clear" w:color="auto" w:fill="BDD6EE"/>
            <w:vAlign w:val="center"/>
          </w:tcPr>
          <w:p w14:paraId="0946B088">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659" w:type="dxa"/>
            <w:shd w:val="clear" w:color="auto" w:fill="BDD6EE"/>
            <w:vAlign w:val="center"/>
          </w:tcPr>
          <w:p w14:paraId="0132882D">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4" w:type="dxa"/>
            <w:shd w:val="clear" w:color="auto" w:fill="BDD6EE"/>
            <w:vAlign w:val="center"/>
          </w:tcPr>
          <w:p w14:paraId="7F47B08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292" w:type="dxa"/>
            <w:shd w:val="clear" w:color="auto" w:fill="BDD6EE"/>
            <w:vAlign w:val="center"/>
          </w:tcPr>
          <w:p w14:paraId="0B2F753E">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50" w:type="dxa"/>
            <w:shd w:val="clear" w:color="auto" w:fill="BDD6EE"/>
            <w:vAlign w:val="center"/>
          </w:tcPr>
          <w:p w14:paraId="71B706E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794" w:type="dxa"/>
            <w:shd w:val="clear" w:color="auto" w:fill="BDD6EE"/>
            <w:vAlign w:val="center"/>
          </w:tcPr>
          <w:p w14:paraId="79C3007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37.8</w:t>
            </w:r>
          </w:p>
        </w:tc>
        <w:tc>
          <w:tcPr>
            <w:tcW w:w="1046" w:type="dxa"/>
            <w:shd w:val="clear" w:color="auto" w:fill="BDD6EE"/>
            <w:vAlign w:val="center"/>
          </w:tcPr>
          <w:p w14:paraId="2EE3A52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94.5%</w:t>
            </w:r>
          </w:p>
        </w:tc>
      </w:tr>
    </w:tbl>
    <w:p w14:paraId="6C1C0205">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b/>
          <w:bCs/>
          <w:lang w:val="en-US" w:eastAsia="zh-CN"/>
        </w:rPr>
        <w:t>采购装备数量:</w:t>
      </w:r>
      <w:r>
        <w:rPr>
          <w:rFonts w:hint="eastAsia"/>
          <w:b w:val="0"/>
          <w:bCs w:val="0"/>
          <w:lang w:val="en-US" w:eastAsia="zh-CN"/>
        </w:rPr>
        <w:t>2023年我院采购装备数量3台（套），年度目标值2台（套），</w:t>
      </w:r>
      <w:r>
        <w:rPr>
          <w:rFonts w:hint="eastAsia"/>
        </w:rPr>
        <w:t>该指标分值</w:t>
      </w:r>
      <w:r>
        <w:rPr>
          <w:rFonts w:hint="eastAsia"/>
          <w:lang w:val="en-US" w:eastAsia="zh-CN"/>
        </w:rPr>
        <w:t>2.66</w:t>
      </w:r>
      <w:r>
        <w:rPr>
          <w:rFonts w:hint="eastAsia"/>
        </w:rPr>
        <w:t>分，自评得分</w:t>
      </w:r>
      <w:r>
        <w:rPr>
          <w:rFonts w:hint="eastAsia"/>
          <w:lang w:val="en-US" w:eastAsia="zh-CN"/>
        </w:rPr>
        <w:t>1.44</w:t>
      </w:r>
      <w:r>
        <w:rPr>
          <w:rFonts w:hint="eastAsia"/>
        </w:rPr>
        <w:t>分，得分率为</w:t>
      </w:r>
      <w:r>
        <w:rPr>
          <w:rFonts w:hint="eastAsia"/>
          <w:lang w:val="en-US" w:eastAsia="zh-CN"/>
        </w:rPr>
        <w:t>54.14</w:t>
      </w:r>
      <w:r>
        <w:rPr>
          <w:rFonts w:hint="eastAsia"/>
          <w:lang w:eastAsia="zh-CN"/>
        </w:rPr>
        <w:t>%</w:t>
      </w:r>
      <w:r>
        <w:rPr>
          <w:rFonts w:hint="eastAsia"/>
        </w:rPr>
        <w:t>。</w:t>
      </w:r>
    </w:p>
    <w:p w14:paraId="087DE88C">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b/>
          <w:bCs/>
          <w:lang w:val="en-US" w:eastAsia="zh-CN"/>
        </w:rPr>
        <w:t>结案率：</w:t>
      </w:r>
      <w:r>
        <w:rPr>
          <w:rFonts w:hint="eastAsia"/>
          <w:b w:val="0"/>
          <w:bCs w:val="0"/>
          <w:lang w:val="en-US" w:eastAsia="zh-CN"/>
        </w:rPr>
        <w:t>2023年</w:t>
      </w:r>
      <w:r>
        <w:rPr>
          <w:rFonts w:hint="eastAsia"/>
          <w:lang w:val="en-US" w:eastAsia="zh-CN"/>
        </w:rPr>
        <w:t>结案率95.61%</w:t>
      </w:r>
      <w:r>
        <w:rPr>
          <w:rFonts w:hint="eastAsia"/>
          <w:lang w:eastAsia="zh-CN"/>
        </w:rPr>
        <w:t>，</w:t>
      </w:r>
      <w:r>
        <w:rPr>
          <w:rFonts w:hint="eastAsia"/>
          <w:lang w:val="en-US" w:eastAsia="zh-CN"/>
        </w:rPr>
        <w:t>年度目标值大于等于90%</w:t>
      </w:r>
      <w:r>
        <w:t>。</w:t>
      </w:r>
      <w:r>
        <w:rPr>
          <w:rFonts w:hint="eastAsia"/>
        </w:rPr>
        <w:t>该指标分值</w:t>
      </w:r>
      <w:r>
        <w:rPr>
          <w:rFonts w:hint="eastAsia"/>
          <w:lang w:val="en-US" w:eastAsia="zh-CN"/>
        </w:rPr>
        <w:t>2.76</w:t>
      </w:r>
      <w:r>
        <w:rPr>
          <w:rFonts w:hint="eastAsia"/>
        </w:rPr>
        <w:t>分，自评得分</w:t>
      </w:r>
      <w:r>
        <w:rPr>
          <w:rFonts w:hint="eastAsia"/>
          <w:lang w:val="en-US" w:eastAsia="zh-CN"/>
        </w:rPr>
        <w:t>2.76</w:t>
      </w:r>
      <w:r>
        <w:rPr>
          <w:rFonts w:hint="eastAsia"/>
        </w:rPr>
        <w:t>分，得分率为</w:t>
      </w:r>
      <w:r>
        <w:rPr>
          <w:rFonts w:ascii="仿宋" w:hAnsi="仿宋" w:eastAsia="仿宋" w:cs="仿宋"/>
          <w:b w:val="0"/>
          <w:bCs w:val="0"/>
          <w:spacing w:val="-49"/>
          <w:sz w:val="28"/>
          <w:szCs w:val="28"/>
        </w:rPr>
        <w:t xml:space="preserve"> </w:t>
      </w:r>
      <w:r>
        <w:rPr>
          <w:rFonts w:hint="eastAsia" w:ascii="仿宋" w:hAnsi="仿宋" w:eastAsia="仿宋" w:cs="仿宋"/>
          <w:b w:val="0"/>
          <w:bCs w:val="0"/>
          <w:spacing w:val="-7"/>
          <w:sz w:val="28"/>
          <w:szCs w:val="28"/>
          <w:lang w:val="en-US" w:eastAsia="zh-CN"/>
        </w:rPr>
        <w:t>100.00%</w:t>
      </w:r>
      <w:r>
        <w:rPr>
          <w:rFonts w:hint="eastAsia"/>
        </w:rPr>
        <w:t>。</w:t>
      </w:r>
    </w:p>
    <w:p w14:paraId="5DB0F442">
      <w:pPr>
        <w:keepNext w:val="0"/>
        <w:keepLines w:val="0"/>
        <w:pageBreakBefore w:val="0"/>
        <w:widowControl w:val="0"/>
        <w:kinsoku/>
        <w:wordWrap/>
        <w:overflowPunct/>
        <w:topLinePunct w:val="0"/>
        <w:autoSpaceDE/>
        <w:autoSpaceDN/>
        <w:bidi w:val="0"/>
        <w:adjustRightInd/>
        <w:snapToGrid/>
        <w:ind w:firstLine="560"/>
        <w:jc w:val="both"/>
        <w:textAlignment w:val="auto"/>
        <w:rPr>
          <w:rFonts w:ascii="仿宋" w:hAnsi="仿宋" w:eastAsia="仿宋" w:cs="仿宋"/>
          <w:b w:val="0"/>
          <w:bCs w:val="0"/>
          <w:sz w:val="28"/>
          <w:szCs w:val="28"/>
        </w:rPr>
      </w:pPr>
      <w:r>
        <w:rPr>
          <w:rFonts w:hint="eastAsia"/>
          <w:b/>
          <w:bCs/>
          <w:lang w:val="en-US" w:eastAsia="zh-CN"/>
        </w:rPr>
        <w:t>维修维护项目数：</w:t>
      </w:r>
      <w:r>
        <w:rPr>
          <w:rFonts w:hint="eastAsia"/>
          <w:b w:val="0"/>
          <w:bCs w:val="0"/>
          <w:lang w:val="en-US" w:eastAsia="zh-CN"/>
        </w:rPr>
        <w:t>2023年我院开展维修维护项目数3项次，达到年度指标值。</w:t>
      </w:r>
      <w:r>
        <w:rPr>
          <w:rFonts w:ascii="仿宋" w:hAnsi="仿宋" w:eastAsia="仿宋" w:cs="仿宋"/>
          <w:b w:val="0"/>
          <w:bCs w:val="0"/>
          <w:spacing w:val="-6"/>
          <w:sz w:val="28"/>
          <w:szCs w:val="28"/>
        </w:rPr>
        <w:t>按指标分值</w:t>
      </w:r>
      <w:r>
        <w:rPr>
          <w:rFonts w:ascii="仿宋" w:hAnsi="仿宋" w:eastAsia="仿宋" w:cs="仿宋"/>
          <w:b w:val="0"/>
          <w:bCs w:val="0"/>
          <w:spacing w:val="-52"/>
          <w:sz w:val="28"/>
          <w:szCs w:val="28"/>
        </w:rPr>
        <w:t xml:space="preserve"> </w:t>
      </w:r>
      <w:r>
        <w:rPr>
          <w:rFonts w:hint="eastAsia" w:ascii="仿宋" w:hAnsi="仿宋" w:eastAsia="仿宋" w:cs="仿宋"/>
          <w:b w:val="0"/>
          <w:bCs w:val="0"/>
          <w:spacing w:val="-6"/>
          <w:sz w:val="28"/>
          <w:szCs w:val="28"/>
          <w:lang w:val="en-US" w:eastAsia="zh-CN"/>
        </w:rPr>
        <w:t>2.66</w:t>
      </w:r>
      <w:r>
        <w:rPr>
          <w:rFonts w:ascii="仿宋" w:hAnsi="仿宋" w:eastAsia="仿宋" w:cs="仿宋"/>
          <w:b w:val="0"/>
          <w:bCs w:val="0"/>
          <w:spacing w:val="-6"/>
          <w:sz w:val="28"/>
          <w:szCs w:val="28"/>
        </w:rPr>
        <w:t>分，</w:t>
      </w:r>
      <w:r>
        <w:rPr>
          <w:rFonts w:ascii="仿宋" w:hAnsi="仿宋" w:eastAsia="仿宋" w:cs="仿宋"/>
          <w:b w:val="0"/>
          <w:bCs w:val="0"/>
          <w:spacing w:val="-75"/>
          <w:sz w:val="28"/>
          <w:szCs w:val="28"/>
        </w:rPr>
        <w:t xml:space="preserve"> </w:t>
      </w:r>
      <w:r>
        <w:rPr>
          <w:rFonts w:ascii="仿宋" w:hAnsi="仿宋" w:eastAsia="仿宋" w:cs="仿宋"/>
          <w:b w:val="0"/>
          <w:bCs w:val="0"/>
          <w:spacing w:val="-6"/>
          <w:sz w:val="28"/>
          <w:szCs w:val="28"/>
        </w:rPr>
        <w:t>自评得分</w:t>
      </w:r>
      <w:r>
        <w:rPr>
          <w:rFonts w:hint="eastAsia" w:ascii="仿宋" w:hAnsi="仿宋" w:eastAsia="仿宋" w:cs="仿宋"/>
          <w:b w:val="0"/>
          <w:bCs w:val="0"/>
          <w:spacing w:val="-6"/>
          <w:sz w:val="28"/>
          <w:szCs w:val="28"/>
        </w:rPr>
        <w:t>2.66</w:t>
      </w:r>
      <w:r>
        <w:rPr>
          <w:rFonts w:ascii="仿宋" w:hAnsi="仿宋" w:eastAsia="仿宋" w:cs="仿宋"/>
          <w:b w:val="0"/>
          <w:bCs w:val="0"/>
          <w:spacing w:val="-7"/>
          <w:sz w:val="28"/>
          <w:szCs w:val="28"/>
        </w:rPr>
        <w:t>分，得分率</w:t>
      </w:r>
      <w:r>
        <w:rPr>
          <w:rFonts w:ascii="仿宋" w:hAnsi="仿宋" w:eastAsia="仿宋" w:cs="仿宋"/>
          <w:b w:val="0"/>
          <w:bCs w:val="0"/>
          <w:spacing w:val="-49"/>
          <w:sz w:val="28"/>
          <w:szCs w:val="28"/>
        </w:rPr>
        <w:t xml:space="preserve"> </w:t>
      </w:r>
      <w:r>
        <w:rPr>
          <w:rFonts w:hint="eastAsia" w:ascii="仿宋" w:hAnsi="仿宋" w:eastAsia="仿宋" w:cs="仿宋"/>
          <w:b w:val="0"/>
          <w:bCs w:val="0"/>
          <w:spacing w:val="-7"/>
          <w:sz w:val="28"/>
          <w:szCs w:val="28"/>
          <w:lang w:val="en-US" w:eastAsia="zh-CN"/>
        </w:rPr>
        <w:t>100.00%</w:t>
      </w:r>
      <w:r>
        <w:rPr>
          <w:rFonts w:ascii="仿宋" w:hAnsi="仿宋" w:eastAsia="仿宋" w:cs="仿宋"/>
          <w:b w:val="0"/>
          <w:bCs w:val="0"/>
          <w:spacing w:val="-7"/>
          <w:sz w:val="28"/>
          <w:szCs w:val="28"/>
        </w:rPr>
        <w:t>。</w:t>
      </w:r>
    </w:p>
    <w:p w14:paraId="31FD452D">
      <w:pPr>
        <w:ind w:firstLine="562"/>
        <w:rPr>
          <w:rFonts w:hint="eastAsia"/>
        </w:rPr>
      </w:pPr>
      <w:r>
        <w:rPr>
          <w:rFonts w:hint="eastAsia"/>
          <w:b/>
          <w:bCs/>
          <w:lang w:val="en-US" w:eastAsia="zh-CN"/>
        </w:rPr>
        <w:t>物业管理面积：</w:t>
      </w:r>
      <w:r>
        <w:rPr>
          <w:rFonts w:hint="eastAsia"/>
          <w:b w:val="0"/>
          <w:bCs w:val="0"/>
          <w:lang w:val="en-US" w:eastAsia="zh-CN"/>
        </w:rPr>
        <w:t>我院2023年物业管理面积13563.65㎡</w:t>
      </w:r>
      <w:r>
        <w:rPr>
          <w:rFonts w:hint="eastAsia"/>
          <w:lang w:val="en-US" w:eastAsia="zh-CN"/>
        </w:rPr>
        <w:t>，</w:t>
      </w:r>
      <w:r>
        <w:rPr>
          <w:rFonts w:hint="eastAsia"/>
        </w:rPr>
        <w:t>该指标分值2.66分，自评得分2.66分，得分率为</w:t>
      </w:r>
      <w:r>
        <w:rPr>
          <w:rFonts w:hint="eastAsia"/>
          <w:lang w:eastAsia="zh-CN"/>
        </w:rPr>
        <w:t>100.00%</w:t>
      </w:r>
      <w:r>
        <w:rPr>
          <w:rFonts w:hint="eastAsia"/>
        </w:rPr>
        <w:t>。</w:t>
      </w:r>
    </w:p>
    <w:p w14:paraId="37BDE509">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b/>
          <w:bCs/>
        </w:rPr>
        <w:t>信息化运维服务完成率</w:t>
      </w:r>
      <w:r>
        <w:rPr>
          <w:rFonts w:hint="eastAsia"/>
          <w:b/>
          <w:bCs/>
          <w:lang w:eastAsia="zh-CN"/>
        </w:rPr>
        <w:t>：</w:t>
      </w:r>
      <w:r>
        <w:rPr>
          <w:rFonts w:hint="eastAsia"/>
          <w:b w:val="0"/>
          <w:bCs w:val="0"/>
          <w:lang w:val="en-US" w:eastAsia="zh-CN"/>
        </w:rPr>
        <w:t>2023年我院信息化运维服务完成率100%，</w:t>
      </w:r>
      <w:r>
        <w:rPr>
          <w:rFonts w:hint="eastAsia"/>
        </w:rPr>
        <w:t>该指标分值</w:t>
      </w:r>
      <w:r>
        <w:rPr>
          <w:rFonts w:hint="eastAsia"/>
          <w:lang w:val="en-US" w:eastAsia="zh-CN"/>
        </w:rPr>
        <w:t>2.66</w:t>
      </w:r>
      <w:r>
        <w:rPr>
          <w:rFonts w:hint="eastAsia"/>
        </w:rPr>
        <w:t>分，自评得分</w:t>
      </w:r>
      <w:r>
        <w:rPr>
          <w:rFonts w:hint="eastAsia"/>
          <w:lang w:val="en-US" w:eastAsia="zh-CN"/>
        </w:rPr>
        <w:t>2.66</w:t>
      </w:r>
      <w:r>
        <w:rPr>
          <w:rFonts w:hint="eastAsia"/>
        </w:rPr>
        <w:t>分，得分率为</w:t>
      </w:r>
      <w:r>
        <w:rPr>
          <w:rFonts w:hint="eastAsia"/>
          <w:lang w:eastAsia="zh-CN"/>
        </w:rPr>
        <w:t>100.00%</w:t>
      </w:r>
      <w:r>
        <w:rPr>
          <w:rFonts w:hint="eastAsia"/>
        </w:rPr>
        <w:t>。</w:t>
      </w:r>
    </w:p>
    <w:p w14:paraId="36FDDB90">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b/>
          <w:bCs/>
        </w:rPr>
        <w:t>购置装备验收合格率</w:t>
      </w:r>
      <w:r>
        <w:rPr>
          <w:rFonts w:hint="eastAsia"/>
          <w:b/>
          <w:bCs/>
          <w:lang w:eastAsia="zh-CN"/>
        </w:rPr>
        <w:t>：</w:t>
      </w:r>
      <w:r>
        <w:rPr>
          <w:rFonts w:hint="eastAsia"/>
          <w:b w:val="0"/>
          <w:bCs w:val="0"/>
          <w:lang w:val="en-US" w:eastAsia="zh-CN"/>
        </w:rPr>
        <w:t>2023年我院购置的装备均通过验收，验收合格，合格率为100%，</w:t>
      </w:r>
      <w:r>
        <w:rPr>
          <w:rFonts w:hint="eastAsia"/>
        </w:rPr>
        <w:t>该指标分值</w:t>
      </w:r>
      <w:r>
        <w:rPr>
          <w:rFonts w:hint="eastAsia"/>
          <w:lang w:val="en-US" w:eastAsia="zh-CN"/>
        </w:rPr>
        <w:t>2.66</w:t>
      </w:r>
      <w:r>
        <w:rPr>
          <w:rFonts w:hint="eastAsia"/>
        </w:rPr>
        <w:t>分，自评得分</w:t>
      </w:r>
      <w:r>
        <w:rPr>
          <w:rFonts w:hint="eastAsia"/>
          <w:lang w:val="en-US" w:eastAsia="zh-CN"/>
        </w:rPr>
        <w:t>2.66</w:t>
      </w:r>
      <w:r>
        <w:rPr>
          <w:rFonts w:hint="eastAsia"/>
        </w:rPr>
        <w:t>分，得分率为</w:t>
      </w:r>
      <w:r>
        <w:rPr>
          <w:rFonts w:hint="eastAsia"/>
          <w:lang w:eastAsia="zh-CN"/>
        </w:rPr>
        <w:t>100.00%</w:t>
      </w:r>
      <w:r>
        <w:rPr>
          <w:rFonts w:hint="eastAsia"/>
        </w:rPr>
        <w:t>。</w:t>
      </w:r>
    </w:p>
    <w:p w14:paraId="448B700F">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hAnsi="宋体" w:cstheme="minorBidi"/>
          <w:b w:val="0"/>
          <w:bCs w:val="0"/>
          <w:kern w:val="2"/>
          <w:sz w:val="28"/>
          <w:szCs w:val="28"/>
          <w:lang w:val="en-US" w:eastAsia="zh-CN" w:bidi="ar-SA"/>
        </w:rPr>
      </w:pPr>
      <w:r>
        <w:rPr>
          <w:rFonts w:hint="eastAsia" w:hAnsi="宋体"/>
          <w:b/>
          <w:bCs/>
          <w:szCs w:val="28"/>
          <w:lang w:val="en-US" w:eastAsia="zh-CN"/>
        </w:rPr>
        <w:t>维修维护项目验收合格率：</w:t>
      </w:r>
      <w:r>
        <w:rPr>
          <w:rFonts w:hint="eastAsia" w:ascii="仿宋_GB2312" w:hAnsi="宋体" w:eastAsia="仿宋_GB2312" w:cstheme="minorBidi"/>
          <w:b w:val="0"/>
          <w:bCs w:val="0"/>
          <w:kern w:val="2"/>
          <w:sz w:val="28"/>
          <w:szCs w:val="28"/>
          <w:lang w:val="en-US" w:eastAsia="zh-CN" w:bidi="ar-SA"/>
        </w:rPr>
        <w:t>本年度我院</w:t>
      </w:r>
      <w:r>
        <w:rPr>
          <w:rFonts w:hint="eastAsia" w:hAnsi="宋体" w:cstheme="minorBidi"/>
          <w:b w:val="0"/>
          <w:bCs w:val="0"/>
          <w:kern w:val="2"/>
          <w:sz w:val="28"/>
          <w:szCs w:val="28"/>
          <w:lang w:val="en-US" w:eastAsia="zh-CN" w:bidi="ar-SA"/>
        </w:rPr>
        <w:t>维修维护项目</w:t>
      </w:r>
      <w:r>
        <w:rPr>
          <w:rFonts w:hint="eastAsia" w:ascii="仿宋_GB2312" w:hAnsi="宋体" w:eastAsia="仿宋_GB2312" w:cstheme="minorBidi"/>
          <w:b w:val="0"/>
          <w:bCs w:val="0"/>
          <w:kern w:val="2"/>
          <w:sz w:val="28"/>
          <w:szCs w:val="28"/>
          <w:lang w:val="en-US" w:eastAsia="zh-CN" w:bidi="ar-SA"/>
        </w:rPr>
        <w:t>已全部通过验收，合格率为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，达到年度指标值。该指标分值</w:t>
      </w:r>
      <w:r>
        <w:rPr>
          <w:rFonts w:hint="eastAsia"/>
          <w:lang w:val="en-US" w:eastAsia="zh-CN"/>
        </w:rPr>
        <w:t>2.66</w:t>
      </w:r>
      <w:r>
        <w:rPr>
          <w:rFonts w:hint="eastAsia" w:ascii="仿宋_GB2312" w:hAnsi="宋体" w:eastAsia="仿宋_GB2312" w:cstheme="minorBidi"/>
          <w:b w:val="0"/>
          <w:bCs w:val="0"/>
          <w:kern w:val="2"/>
          <w:sz w:val="28"/>
          <w:szCs w:val="28"/>
          <w:lang w:val="en-US" w:eastAsia="zh-CN" w:bidi="ar-SA"/>
        </w:rPr>
        <w:t>分，自评得分为</w:t>
      </w:r>
      <w:r>
        <w:rPr>
          <w:rFonts w:hint="eastAsia"/>
          <w:lang w:val="en-US" w:eastAsia="zh-CN"/>
        </w:rPr>
        <w:t>2.66</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p>
    <w:p w14:paraId="088423B6">
      <w:pPr>
        <w:pStyle w:val="10"/>
        <w:rPr>
          <w:rFonts w:hint="eastAsia" w:ascii="仿宋_GB2312" w:hAnsi="宋体" w:eastAsia="仿宋_GB2312" w:cstheme="minorBidi"/>
          <w:b w:val="0"/>
          <w:bCs w:val="0"/>
          <w:color w:val="auto"/>
          <w:kern w:val="2"/>
          <w:sz w:val="28"/>
          <w:szCs w:val="28"/>
          <w:lang w:val="en-US" w:eastAsia="zh-CN" w:bidi="ar-SA"/>
        </w:rPr>
      </w:pPr>
      <w:r>
        <w:rPr>
          <w:rFonts w:hint="eastAsia" w:ascii="仿宋_GB2312" w:hAnsi="宋体" w:eastAsia="仿宋_GB2312" w:cstheme="minorBidi"/>
          <w:b/>
          <w:bCs/>
          <w:color w:val="auto"/>
          <w:kern w:val="2"/>
          <w:sz w:val="28"/>
          <w:szCs w:val="28"/>
          <w:lang w:val="en-US" w:eastAsia="zh-CN" w:bidi="ar-SA"/>
        </w:rPr>
        <w:t>物业管理合格率：</w:t>
      </w:r>
      <w:r>
        <w:rPr>
          <w:rFonts w:hint="eastAsia" w:ascii="仿宋_GB2312" w:hAnsi="宋体" w:eastAsia="仿宋_GB2312" w:cstheme="minorBidi"/>
          <w:b w:val="0"/>
          <w:bCs w:val="0"/>
          <w:color w:val="auto"/>
          <w:kern w:val="2"/>
          <w:sz w:val="28"/>
          <w:szCs w:val="28"/>
          <w:lang w:val="en-US" w:eastAsia="zh-CN" w:bidi="ar-SA"/>
        </w:rPr>
        <w:t>本年度我院物业管理已全部通过验收，合格率为100.00%，达到年度指标值。该指标分值2.66分，自评得分为2.66分，得分率为100.00%。</w:t>
      </w:r>
    </w:p>
    <w:p w14:paraId="7B9E66EE">
      <w:pPr>
        <w:rPr>
          <w:rFonts w:hint="eastAsia" w:hAnsi="宋体"/>
          <w:b w:val="0"/>
          <w:bCs w:val="0"/>
          <w:szCs w:val="28"/>
          <w:lang w:val="en-US" w:eastAsia="zh-CN"/>
        </w:rPr>
      </w:pPr>
      <w:r>
        <w:rPr>
          <w:rFonts w:hint="eastAsia" w:hAnsi="宋体"/>
          <w:b/>
          <w:bCs/>
          <w:szCs w:val="28"/>
          <w:lang w:val="en-US" w:eastAsia="zh-CN"/>
        </w:rPr>
        <w:t>信息化运维服务验收合格率：</w:t>
      </w:r>
      <w:r>
        <w:rPr>
          <w:rFonts w:hint="eastAsia" w:hAnsi="宋体"/>
          <w:b w:val="0"/>
          <w:bCs w:val="0"/>
          <w:szCs w:val="28"/>
          <w:lang w:val="en-US" w:eastAsia="zh-CN"/>
        </w:rPr>
        <w:t>我院本年度的信息化软件运行维护工作均达到办公质量要求，通过验收，验收合格率为100.00%，达到年度指标值。该指标分值</w:t>
      </w:r>
      <w:r>
        <w:rPr>
          <w:rFonts w:hint="eastAsia" w:hAnsi="宋体" w:cstheme="minorBidi"/>
          <w:b w:val="0"/>
          <w:bCs w:val="0"/>
          <w:color w:val="auto"/>
          <w:kern w:val="2"/>
          <w:sz w:val="28"/>
          <w:szCs w:val="28"/>
          <w:lang w:val="en-US" w:eastAsia="zh-CN" w:bidi="ar-SA"/>
        </w:rPr>
        <w:t>2.66</w:t>
      </w:r>
      <w:r>
        <w:rPr>
          <w:rFonts w:hint="eastAsia" w:hAnsi="宋体"/>
          <w:b w:val="0"/>
          <w:bCs w:val="0"/>
          <w:szCs w:val="28"/>
          <w:lang w:val="en-US" w:eastAsia="zh-CN"/>
        </w:rPr>
        <w:t>分，自评得分为</w:t>
      </w:r>
      <w:r>
        <w:rPr>
          <w:rFonts w:hint="eastAsia" w:hAnsi="宋体" w:cstheme="minorBidi"/>
          <w:b w:val="0"/>
          <w:bCs w:val="0"/>
          <w:color w:val="auto"/>
          <w:kern w:val="2"/>
          <w:sz w:val="28"/>
          <w:szCs w:val="28"/>
          <w:lang w:val="en-US" w:eastAsia="zh-CN" w:bidi="ar-SA"/>
        </w:rPr>
        <w:t>2.66</w:t>
      </w:r>
      <w:r>
        <w:rPr>
          <w:rFonts w:hint="eastAsia" w:hAnsi="宋体"/>
          <w:b w:val="0"/>
          <w:bCs w:val="0"/>
          <w:szCs w:val="28"/>
          <w:lang w:val="en-US" w:eastAsia="zh-CN"/>
        </w:rPr>
        <w:t>分，得分率100.00%。</w:t>
      </w:r>
    </w:p>
    <w:p w14:paraId="562741EF">
      <w:pPr>
        <w:ind w:firstLine="562"/>
        <w:rPr>
          <w:rFonts w:hint="eastAsia"/>
        </w:rPr>
      </w:pPr>
      <w:r>
        <w:rPr>
          <w:rFonts w:hint="eastAsia" w:hAnsi="宋体"/>
          <w:b/>
          <w:bCs/>
          <w:szCs w:val="28"/>
          <w:lang w:val="en-US" w:eastAsia="zh-CN"/>
        </w:rPr>
        <w:t>一审服判息诉率：</w:t>
      </w:r>
      <w:r>
        <w:rPr>
          <w:rFonts w:hint="eastAsia" w:hAnsi="宋体"/>
          <w:b w:val="0"/>
          <w:bCs w:val="0"/>
          <w:szCs w:val="28"/>
          <w:lang w:val="en-US" w:eastAsia="zh-CN"/>
        </w:rPr>
        <w:t>我院2023年度</w:t>
      </w:r>
      <w:r>
        <w:rPr>
          <w:rFonts w:hint="eastAsia"/>
        </w:rPr>
        <w:t>一审服判息诉</w:t>
      </w:r>
      <w:r>
        <w:rPr>
          <w:rFonts w:hint="eastAsia"/>
          <w:lang w:val="en-US" w:eastAsia="zh-CN"/>
        </w:rPr>
        <w:t>率</w:t>
      </w:r>
      <w:r>
        <w:rPr>
          <w:rFonts w:hint="eastAsia"/>
        </w:rPr>
        <w:t>57.01%</w:t>
      </w:r>
      <w:r>
        <w:rPr>
          <w:rFonts w:hint="eastAsia"/>
          <w:lang w:eastAsia="zh-CN"/>
        </w:rPr>
        <w:t>，年度目标值大于等于</w:t>
      </w:r>
      <w:r>
        <w:rPr>
          <w:rFonts w:hint="eastAsia"/>
          <w:lang w:val="en-US" w:eastAsia="zh-CN"/>
        </w:rPr>
        <w:t>90%</w:t>
      </w:r>
      <w:r>
        <w:rPr>
          <w:rFonts w:hint="eastAsia"/>
        </w:rPr>
        <w:t>。该指标分值</w:t>
      </w:r>
      <w:r>
        <w:rPr>
          <w:rFonts w:hint="eastAsia"/>
          <w:lang w:val="en-US" w:eastAsia="zh-CN"/>
        </w:rPr>
        <w:t>2.66</w:t>
      </w:r>
      <w:r>
        <w:rPr>
          <w:rFonts w:hint="eastAsia"/>
        </w:rPr>
        <w:t>分，自评得分</w:t>
      </w:r>
      <w:r>
        <w:rPr>
          <w:rFonts w:hint="eastAsia"/>
          <w:lang w:val="en-US" w:eastAsia="zh-CN"/>
        </w:rPr>
        <w:t>1.68</w:t>
      </w:r>
      <w:r>
        <w:rPr>
          <w:rFonts w:hint="eastAsia"/>
        </w:rPr>
        <w:t>分，得分率为</w:t>
      </w:r>
      <w:r>
        <w:rPr>
          <w:rFonts w:hint="eastAsia"/>
          <w:lang w:val="en-US" w:eastAsia="zh-CN"/>
        </w:rPr>
        <w:t>63.16</w:t>
      </w:r>
      <w:r>
        <w:t>%</w:t>
      </w:r>
      <w:r>
        <w:rPr>
          <w:rFonts w:hint="eastAsia"/>
        </w:rPr>
        <w:t>。</w:t>
      </w:r>
    </w:p>
    <w:p w14:paraId="13645220">
      <w:pPr>
        <w:ind w:firstLine="562"/>
        <w:rPr>
          <w:rFonts w:hint="eastAsia" w:ascii="仿宋_GB2312" w:hAnsi="仿宋_GB2312" w:eastAsia="仿宋_GB2312" w:cstheme="minorBidi"/>
          <w:b w:val="0"/>
          <w:bCs w:val="0"/>
          <w:kern w:val="2"/>
          <w:sz w:val="28"/>
          <w:szCs w:val="32"/>
          <w:lang w:val="en-US" w:eastAsia="zh-CN" w:bidi="ar-SA"/>
        </w:rPr>
      </w:pPr>
      <w:r>
        <w:rPr>
          <w:rFonts w:hint="eastAsia" w:ascii="仿宋_GB2312" w:hAnsi="仿宋_GB2312" w:eastAsia="仿宋_GB2312" w:cstheme="minorBidi"/>
          <w:b/>
          <w:bCs/>
          <w:kern w:val="2"/>
          <w:sz w:val="28"/>
          <w:szCs w:val="32"/>
          <w:lang w:val="en-US" w:eastAsia="zh-CN" w:bidi="ar-SA"/>
        </w:rPr>
        <w:t>办案经费支付及时率：</w:t>
      </w:r>
      <w:r>
        <w:rPr>
          <w:rFonts w:hint="eastAsia" w:ascii="仿宋_GB2312" w:hAnsi="仿宋_GB2312" w:eastAsia="仿宋_GB2312" w:cstheme="minorBidi"/>
          <w:b w:val="0"/>
          <w:bCs w:val="0"/>
          <w:kern w:val="2"/>
          <w:sz w:val="28"/>
          <w:szCs w:val="32"/>
          <w:lang w:val="en-US" w:eastAsia="zh-CN" w:bidi="ar-SA"/>
        </w:rPr>
        <w:t>我院受理案件</w:t>
      </w:r>
      <w:r>
        <w:rPr>
          <w:rFonts w:hint="eastAsia" w:cstheme="minorBidi"/>
          <w:b w:val="0"/>
          <w:bCs w:val="0"/>
          <w:kern w:val="2"/>
          <w:sz w:val="28"/>
          <w:szCs w:val="32"/>
          <w:lang w:val="en-US" w:eastAsia="zh-CN" w:bidi="ar-SA"/>
        </w:rPr>
        <w:t>时所需办案经费下达及时、支付及时，符合项目资金使用规则，</w:t>
      </w:r>
      <w:r>
        <w:rPr>
          <w:rFonts w:hint="eastAsia" w:hAnsi="宋体"/>
          <w:b w:val="0"/>
          <w:bCs w:val="0"/>
          <w:szCs w:val="28"/>
          <w:lang w:val="en-US" w:eastAsia="zh-CN"/>
        </w:rPr>
        <w:t>达到年度指标值。</w:t>
      </w:r>
      <w:r>
        <w:rPr>
          <w:rFonts w:hint="eastAsia" w:ascii="仿宋_GB2312" w:hAnsi="仿宋_GB2312" w:eastAsia="仿宋_GB2312" w:cstheme="minorBidi"/>
          <w:b w:val="0"/>
          <w:bCs w:val="0"/>
          <w:kern w:val="2"/>
          <w:sz w:val="28"/>
          <w:szCs w:val="32"/>
          <w:lang w:val="en-US" w:eastAsia="zh-CN" w:bidi="ar-SA"/>
        </w:rPr>
        <w:t>该指标分值</w:t>
      </w:r>
      <w:r>
        <w:rPr>
          <w:rFonts w:hint="eastAsia" w:hAnsi="宋体" w:cstheme="minorBidi"/>
          <w:b w:val="0"/>
          <w:bCs w:val="0"/>
          <w:color w:val="auto"/>
          <w:kern w:val="2"/>
          <w:sz w:val="28"/>
          <w:szCs w:val="28"/>
          <w:lang w:val="en-US" w:eastAsia="zh-CN" w:bidi="ar-SA"/>
        </w:rPr>
        <w:t>2.66</w:t>
      </w:r>
      <w:r>
        <w:rPr>
          <w:rFonts w:hint="eastAsia" w:ascii="仿宋_GB2312" w:hAnsi="仿宋_GB2312" w:eastAsia="仿宋_GB2312" w:cstheme="minorBidi"/>
          <w:b w:val="0"/>
          <w:bCs w:val="0"/>
          <w:kern w:val="2"/>
          <w:sz w:val="28"/>
          <w:szCs w:val="32"/>
          <w:lang w:val="en-US" w:eastAsia="zh-CN" w:bidi="ar-SA"/>
        </w:rPr>
        <w:t>分，自评得分为</w:t>
      </w:r>
      <w:r>
        <w:rPr>
          <w:rFonts w:hint="eastAsia" w:hAnsi="宋体" w:cstheme="minorBidi"/>
          <w:b w:val="0"/>
          <w:bCs w:val="0"/>
          <w:color w:val="auto"/>
          <w:kern w:val="2"/>
          <w:sz w:val="28"/>
          <w:szCs w:val="28"/>
          <w:lang w:val="en-US" w:eastAsia="zh-CN" w:bidi="ar-SA"/>
        </w:rPr>
        <w:t>2.66</w:t>
      </w:r>
      <w:r>
        <w:rPr>
          <w:rFonts w:hint="eastAsia" w:ascii="仿宋_GB2312" w:hAnsi="仿宋_GB2312" w:eastAsia="仿宋_GB2312" w:cstheme="minorBidi"/>
          <w:b w:val="0"/>
          <w:bCs w:val="0"/>
          <w:kern w:val="2"/>
          <w:sz w:val="28"/>
          <w:szCs w:val="32"/>
          <w:lang w:val="en-US" w:eastAsia="zh-CN" w:bidi="ar-SA"/>
        </w:rPr>
        <w:t>分，得分率为</w:t>
      </w:r>
      <w:r>
        <w:rPr>
          <w:rFonts w:hint="eastAsia" w:cstheme="minorBidi"/>
          <w:b w:val="0"/>
          <w:bCs w:val="0"/>
          <w:kern w:val="2"/>
          <w:sz w:val="28"/>
          <w:szCs w:val="32"/>
          <w:lang w:val="en-US" w:eastAsia="zh-CN" w:bidi="ar-SA"/>
        </w:rPr>
        <w:t>100.00%</w:t>
      </w:r>
      <w:r>
        <w:rPr>
          <w:rFonts w:hint="eastAsia" w:ascii="仿宋_GB2312" w:hAnsi="仿宋_GB2312" w:eastAsia="仿宋_GB2312" w:cstheme="minorBidi"/>
          <w:b w:val="0"/>
          <w:bCs w:val="0"/>
          <w:kern w:val="2"/>
          <w:sz w:val="28"/>
          <w:szCs w:val="32"/>
          <w:lang w:val="en-US" w:eastAsia="zh-CN" w:bidi="ar-SA"/>
        </w:rPr>
        <w:t>。</w:t>
      </w:r>
    </w:p>
    <w:p w14:paraId="03659C2B">
      <w:pPr>
        <w:ind w:firstLine="562"/>
        <w:rPr>
          <w:rFonts w:hint="eastAsia" w:ascii="仿宋_GB2312" w:hAnsi="仿宋_GB2312" w:eastAsia="仿宋_GB2312" w:cstheme="minorBidi"/>
          <w:b w:val="0"/>
          <w:bCs w:val="0"/>
          <w:kern w:val="2"/>
          <w:sz w:val="28"/>
          <w:szCs w:val="32"/>
          <w:lang w:val="en-US" w:eastAsia="zh-CN" w:bidi="ar-SA"/>
        </w:rPr>
      </w:pPr>
      <w:r>
        <w:rPr>
          <w:rFonts w:hint="eastAsia" w:hAnsi="宋体"/>
          <w:b/>
          <w:bCs/>
          <w:color w:val="000000" w:themeColor="text1"/>
          <w:szCs w:val="28"/>
          <w:lang w:val="en-US" w:eastAsia="zh-CN"/>
          <w14:textFill>
            <w14:solidFill>
              <w14:schemeClr w14:val="tx1"/>
            </w14:solidFill>
          </w14:textFill>
        </w:rPr>
        <w:t>法定审限内结案率：</w:t>
      </w:r>
      <w:r>
        <w:rPr>
          <w:rFonts w:hint="eastAsia" w:hAnsi="宋体"/>
          <w:b w:val="0"/>
          <w:bCs w:val="0"/>
          <w:color w:val="000000" w:themeColor="text1"/>
          <w:szCs w:val="28"/>
          <w:lang w:val="en-US" w:eastAsia="zh-CN"/>
          <w14:textFill>
            <w14:solidFill>
              <w14:schemeClr w14:val="tx1"/>
            </w14:solidFill>
          </w14:textFill>
        </w:rPr>
        <w:t>对符合法律规定条件的案件，我院均在法律规定的审限内进行了立案，并在法律规定的期限内进行开庭审理结案，做到了有案必立、有诉必理。该指标分值2.66分，自评得分为2.66分，得分率为100.00%。</w:t>
      </w:r>
    </w:p>
    <w:p w14:paraId="0B4DE529">
      <w:pPr>
        <w:ind w:firstLine="562"/>
        <w:rPr>
          <w:rFonts w:hint="eastAsia" w:hAnsi="宋体"/>
          <w:b w:val="0"/>
          <w:bCs w:val="0"/>
          <w:color w:val="000000" w:themeColor="text1"/>
          <w:szCs w:val="28"/>
          <w:lang w:val="en-US" w:eastAsia="zh-CN"/>
          <w14:textFill>
            <w14:solidFill>
              <w14:schemeClr w14:val="tx1"/>
            </w14:solidFill>
          </w14:textFill>
        </w:rPr>
      </w:pPr>
      <w:r>
        <w:rPr>
          <w:rFonts w:hint="eastAsia" w:hAnsi="宋体"/>
          <w:b/>
          <w:bCs/>
          <w:color w:val="000000" w:themeColor="text1"/>
          <w:szCs w:val="28"/>
          <w:lang w:val="en-US" w:eastAsia="zh-CN"/>
          <w14:textFill>
            <w14:solidFill>
              <w14:schemeClr w14:val="tx1"/>
            </w14:solidFill>
          </w14:textFill>
        </w:rPr>
        <w:t>维修修护及时性：</w:t>
      </w:r>
      <w:r>
        <w:rPr>
          <w:rFonts w:hint="eastAsia" w:hAnsi="宋体"/>
          <w:b w:val="0"/>
          <w:bCs w:val="0"/>
          <w:color w:val="000000" w:themeColor="text1"/>
          <w:szCs w:val="28"/>
          <w:lang w:val="en-US" w:eastAsia="zh-CN"/>
          <w14:textFill>
            <w14:solidFill>
              <w14:schemeClr w14:val="tx1"/>
            </w14:solidFill>
          </w14:textFill>
        </w:rPr>
        <w:t>我院维修维护工作开展及时，均在响应时间内进行维护工作，达到年度指标值。该指标分值2.66分，自评得分为2.66分，得分率为100.00%。</w:t>
      </w:r>
    </w:p>
    <w:p w14:paraId="0411F650">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ascii="仿宋_GB2312" w:hAnsi="宋体" w:eastAsia="仿宋_GB2312" w:cstheme="minorBidi"/>
          <w:b/>
          <w:bCs/>
          <w:color w:val="000000" w:themeColor="text1"/>
          <w:kern w:val="2"/>
          <w:sz w:val="28"/>
          <w:szCs w:val="28"/>
          <w:lang w:val="en-US" w:eastAsia="zh-CN" w:bidi="ar-SA"/>
          <w14:textFill>
            <w14:solidFill>
              <w14:schemeClr w14:val="tx1"/>
            </w14:solidFill>
          </w14:textFill>
        </w:rPr>
        <w:t>信息化运维工作及时性</w:t>
      </w:r>
      <w:r>
        <w:rPr>
          <w:rFonts w:hint="eastAsia" w:hAnsi="宋体" w:cstheme="minorBidi"/>
          <w:b/>
          <w:bCs/>
          <w:color w:val="000000" w:themeColor="text1"/>
          <w:kern w:val="2"/>
          <w:sz w:val="28"/>
          <w:szCs w:val="28"/>
          <w:lang w:val="en-US" w:eastAsia="zh-CN" w:bidi="ar-SA"/>
          <w14:textFill>
            <w14:solidFill>
              <w14:schemeClr w14:val="tx1"/>
            </w14:solidFill>
          </w14:textFill>
        </w:rPr>
        <w:t>：</w:t>
      </w:r>
      <w:r>
        <w:rPr>
          <w:rFonts w:hint="eastAsia" w:hAnsi="宋体"/>
          <w:b w:val="0"/>
          <w:bCs w:val="0"/>
          <w:color w:val="000000" w:themeColor="text1"/>
          <w:szCs w:val="28"/>
          <w:lang w:val="en-US" w:eastAsia="zh-CN"/>
          <w14:textFill>
            <w14:solidFill>
              <w14:schemeClr w14:val="tx1"/>
            </w14:solidFill>
          </w14:textFill>
        </w:rPr>
        <w:t>我院信息化运维工作开展及时，均在响应时间内进行维护工作，达到年度指标值。该指标分值2.66分，自评得分为2.66分，得分率为100.00%。</w:t>
      </w:r>
    </w:p>
    <w:p w14:paraId="4BF2EAD7">
      <w:pPr>
        <w:ind w:firstLine="562"/>
      </w:pPr>
      <w:r>
        <w:rPr>
          <w:rFonts w:hint="eastAsia"/>
          <w:b/>
          <w:bCs/>
          <w:lang w:eastAsia="zh-CN"/>
        </w:rPr>
        <w:t>装备购置及时性：</w:t>
      </w:r>
      <w:r>
        <w:rPr>
          <w:rFonts w:hint="eastAsia"/>
          <w:b w:val="0"/>
          <w:bCs w:val="0"/>
          <w:lang w:val="en-US" w:eastAsia="zh-CN"/>
        </w:rPr>
        <w:t>2023年我院对于审判执行工作所需的装备及时购置，符合年度指标值</w:t>
      </w:r>
      <w:r>
        <w:rPr>
          <w:rFonts w:hint="eastAsia"/>
        </w:rPr>
        <w:t>。</w:t>
      </w:r>
      <w:r>
        <w:rPr>
          <w:rFonts w:hint="eastAsia"/>
          <w:lang w:eastAsia="zh-CN"/>
        </w:rPr>
        <w:t>该</w:t>
      </w:r>
      <w:r>
        <w:rPr>
          <w:rFonts w:hint="eastAsia"/>
        </w:rPr>
        <w:t>指标分值</w:t>
      </w:r>
      <w:r>
        <w:rPr>
          <w:rFonts w:hint="eastAsia" w:hAnsi="宋体"/>
          <w:b w:val="0"/>
          <w:bCs w:val="0"/>
          <w:color w:val="000000" w:themeColor="text1"/>
          <w:szCs w:val="28"/>
          <w:lang w:val="en-US" w:eastAsia="zh-CN"/>
          <w14:textFill>
            <w14:solidFill>
              <w14:schemeClr w14:val="tx1"/>
            </w14:solidFill>
          </w14:textFill>
        </w:rPr>
        <w:t>2.66</w:t>
      </w:r>
      <w:r>
        <w:rPr>
          <w:rFonts w:hint="eastAsia"/>
        </w:rPr>
        <w:t>分，自评得分</w:t>
      </w:r>
      <w:r>
        <w:rPr>
          <w:rFonts w:hint="eastAsia" w:hAnsi="宋体"/>
          <w:b w:val="0"/>
          <w:bCs w:val="0"/>
          <w:color w:val="000000" w:themeColor="text1"/>
          <w:szCs w:val="28"/>
          <w:lang w:val="en-US" w:eastAsia="zh-CN"/>
          <w14:textFill>
            <w14:solidFill>
              <w14:schemeClr w14:val="tx1"/>
            </w14:solidFill>
          </w14:textFill>
        </w:rPr>
        <w:t>2.66</w:t>
      </w:r>
      <w:r>
        <w:rPr>
          <w:rFonts w:hint="eastAsia"/>
        </w:rPr>
        <w:t>分，得分率为</w:t>
      </w:r>
      <w:r>
        <w:rPr>
          <w:rFonts w:hint="eastAsia"/>
          <w:lang w:eastAsia="zh-CN"/>
        </w:rPr>
        <w:t>100.00%</w:t>
      </w:r>
      <w:r>
        <w:rPr>
          <w:rFonts w:hint="eastAsia"/>
        </w:rPr>
        <w:t>。</w:t>
      </w:r>
    </w:p>
    <w:p w14:paraId="1EC30650">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（3）效益指标</w:t>
      </w:r>
    </w:p>
    <w:p w14:paraId="4271FCB7">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产出指标下设经济效益、社会效益指标、生态效益指标3个二级指标。总分值20分，得分20分，得分率100.00%。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44"/>
        <w:gridCol w:w="2348"/>
        <w:gridCol w:w="1200"/>
        <w:gridCol w:w="1102"/>
        <w:gridCol w:w="951"/>
        <w:gridCol w:w="831"/>
        <w:gridCol w:w="1093"/>
      </w:tblGrid>
      <w:tr w14:paraId="3974ED3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shd w:val="clear" w:color="auto" w:fill="BDD6EE"/>
            <w:vAlign w:val="center"/>
          </w:tcPr>
          <w:p w14:paraId="39311DC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348" w:type="dxa"/>
            <w:shd w:val="clear" w:color="auto" w:fill="BDD6EE"/>
            <w:vAlign w:val="center"/>
          </w:tcPr>
          <w:p w14:paraId="4409A14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1200" w:type="dxa"/>
            <w:shd w:val="clear" w:color="auto" w:fill="BDD6EE"/>
            <w:vAlign w:val="center"/>
          </w:tcPr>
          <w:p w14:paraId="6CC36B1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w:t>
            </w:r>
          </w:p>
          <w:p w14:paraId="5039789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指标值</w:t>
            </w:r>
          </w:p>
        </w:tc>
        <w:tc>
          <w:tcPr>
            <w:tcW w:w="1102" w:type="dxa"/>
            <w:shd w:val="clear" w:color="auto" w:fill="BDD6EE"/>
            <w:vAlign w:val="center"/>
          </w:tcPr>
          <w:p w14:paraId="72AD4EC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实际</w:t>
            </w:r>
          </w:p>
          <w:p w14:paraId="3FE3773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完成值</w:t>
            </w:r>
          </w:p>
        </w:tc>
        <w:tc>
          <w:tcPr>
            <w:tcW w:w="951" w:type="dxa"/>
            <w:shd w:val="clear" w:color="auto" w:fill="BDD6EE"/>
            <w:vAlign w:val="center"/>
          </w:tcPr>
          <w:p w14:paraId="674F826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831" w:type="dxa"/>
            <w:shd w:val="clear" w:color="auto" w:fill="BDD6EE"/>
            <w:vAlign w:val="center"/>
          </w:tcPr>
          <w:p w14:paraId="492319CD">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自评</w:t>
            </w:r>
          </w:p>
          <w:p w14:paraId="3A12333F">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w:t>
            </w:r>
          </w:p>
        </w:tc>
        <w:tc>
          <w:tcPr>
            <w:tcW w:w="1093" w:type="dxa"/>
            <w:shd w:val="clear" w:color="auto" w:fill="BDD6EE"/>
            <w:vAlign w:val="center"/>
          </w:tcPr>
          <w:p w14:paraId="30D8CFE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459D8F4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vAlign w:val="center"/>
          </w:tcPr>
          <w:p w14:paraId="0B35C24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经济效益指标</w:t>
            </w:r>
          </w:p>
        </w:tc>
        <w:tc>
          <w:tcPr>
            <w:tcW w:w="2348" w:type="dxa"/>
            <w:vAlign w:val="center"/>
          </w:tcPr>
          <w:p w14:paraId="6BC9A3D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挽回经济损失效果</w:t>
            </w:r>
          </w:p>
        </w:tc>
        <w:tc>
          <w:tcPr>
            <w:tcW w:w="1200" w:type="dxa"/>
            <w:vAlign w:val="center"/>
          </w:tcPr>
          <w:p w14:paraId="5A5AFB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显著</w:t>
            </w:r>
          </w:p>
        </w:tc>
        <w:tc>
          <w:tcPr>
            <w:tcW w:w="1102" w:type="dxa"/>
            <w:vAlign w:val="center"/>
          </w:tcPr>
          <w:p w14:paraId="01D97D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951" w:type="dxa"/>
            <w:vAlign w:val="center"/>
          </w:tcPr>
          <w:p w14:paraId="06CCF8F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831" w:type="dxa"/>
            <w:vAlign w:val="center"/>
          </w:tcPr>
          <w:p w14:paraId="0382C44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284580C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C1F936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vMerge w:val="restart"/>
            <w:vAlign w:val="center"/>
          </w:tcPr>
          <w:p w14:paraId="3C6BB24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社会效益指标</w:t>
            </w:r>
          </w:p>
        </w:tc>
        <w:tc>
          <w:tcPr>
            <w:tcW w:w="2348" w:type="dxa"/>
            <w:vAlign w:val="center"/>
          </w:tcPr>
          <w:p w14:paraId="4716A85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维护社会稳定</w:t>
            </w:r>
          </w:p>
        </w:tc>
        <w:tc>
          <w:tcPr>
            <w:tcW w:w="1200" w:type="dxa"/>
            <w:vAlign w:val="center"/>
          </w:tcPr>
          <w:p w14:paraId="6F6B55F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良好</w:t>
            </w:r>
          </w:p>
        </w:tc>
        <w:tc>
          <w:tcPr>
            <w:tcW w:w="1102" w:type="dxa"/>
            <w:vAlign w:val="center"/>
          </w:tcPr>
          <w:p w14:paraId="02930CE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95%</w:t>
            </w:r>
          </w:p>
        </w:tc>
        <w:tc>
          <w:tcPr>
            <w:tcW w:w="951" w:type="dxa"/>
            <w:vAlign w:val="center"/>
          </w:tcPr>
          <w:p w14:paraId="628A775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831" w:type="dxa"/>
            <w:vAlign w:val="center"/>
          </w:tcPr>
          <w:p w14:paraId="03E8F57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156BFBF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2E4ADC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vMerge w:val="continue"/>
            <w:vAlign w:val="center"/>
          </w:tcPr>
          <w:p w14:paraId="40D368B4">
            <w:pPr>
              <w:jc w:val="center"/>
              <w:rPr>
                <w:rFonts w:hint="eastAsia" w:ascii="宋体" w:hAnsi="宋体" w:eastAsia="宋体" w:cs="宋体"/>
                <w:i w:val="0"/>
                <w:iCs w:val="0"/>
                <w:color w:val="000000"/>
                <w:kern w:val="0"/>
                <w:sz w:val="22"/>
                <w:szCs w:val="22"/>
                <w:u w:val="none"/>
                <w:lang w:val="en-US" w:eastAsia="zh-CN" w:bidi="ar"/>
              </w:rPr>
            </w:pPr>
          </w:p>
        </w:tc>
        <w:tc>
          <w:tcPr>
            <w:tcW w:w="2348" w:type="dxa"/>
            <w:vAlign w:val="center"/>
          </w:tcPr>
          <w:p w14:paraId="04010D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有效保障审判服务</w:t>
            </w:r>
          </w:p>
        </w:tc>
        <w:tc>
          <w:tcPr>
            <w:tcW w:w="1200" w:type="dxa"/>
            <w:vAlign w:val="center"/>
          </w:tcPr>
          <w:p w14:paraId="5B73F72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102" w:type="dxa"/>
            <w:vAlign w:val="center"/>
          </w:tcPr>
          <w:p w14:paraId="73D4239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951" w:type="dxa"/>
            <w:vAlign w:val="center"/>
          </w:tcPr>
          <w:p w14:paraId="3BF18F2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831" w:type="dxa"/>
            <w:vAlign w:val="center"/>
          </w:tcPr>
          <w:p w14:paraId="486D767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3BED455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9D5334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88" w:hRule="atLeast"/>
          <w:tblHeader/>
          <w:jc w:val="center"/>
        </w:trPr>
        <w:tc>
          <w:tcPr>
            <w:tcW w:w="1544" w:type="dxa"/>
            <w:vAlign w:val="center"/>
          </w:tcPr>
          <w:p w14:paraId="219BDE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生态效益指标</w:t>
            </w:r>
          </w:p>
        </w:tc>
        <w:tc>
          <w:tcPr>
            <w:tcW w:w="2348" w:type="dxa"/>
            <w:vAlign w:val="center"/>
          </w:tcPr>
          <w:p w14:paraId="54EEAE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打击生态犯罪，维护生态秩序</w:t>
            </w:r>
          </w:p>
        </w:tc>
        <w:tc>
          <w:tcPr>
            <w:tcW w:w="1200" w:type="dxa"/>
            <w:vAlign w:val="center"/>
          </w:tcPr>
          <w:p w14:paraId="2579958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有效维护</w:t>
            </w:r>
          </w:p>
        </w:tc>
        <w:tc>
          <w:tcPr>
            <w:tcW w:w="1102" w:type="dxa"/>
            <w:vAlign w:val="center"/>
          </w:tcPr>
          <w:p w14:paraId="436E31F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95%</w:t>
            </w:r>
          </w:p>
        </w:tc>
        <w:tc>
          <w:tcPr>
            <w:tcW w:w="951" w:type="dxa"/>
            <w:vAlign w:val="center"/>
          </w:tcPr>
          <w:p w14:paraId="41E741F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831" w:type="dxa"/>
            <w:vAlign w:val="center"/>
          </w:tcPr>
          <w:p w14:paraId="01320FB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5C3BADD1">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68DA571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shd w:val="clear" w:color="auto" w:fill="BDD6EE"/>
            <w:vAlign w:val="center"/>
          </w:tcPr>
          <w:p w14:paraId="6CC26141">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348" w:type="dxa"/>
            <w:shd w:val="clear" w:color="auto" w:fill="BDD6EE"/>
            <w:vAlign w:val="center"/>
          </w:tcPr>
          <w:p w14:paraId="78CBEB6A">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200" w:type="dxa"/>
            <w:shd w:val="clear" w:color="auto" w:fill="BDD6EE"/>
            <w:vAlign w:val="center"/>
          </w:tcPr>
          <w:p w14:paraId="55C97B3B">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02" w:type="dxa"/>
            <w:shd w:val="clear" w:color="auto" w:fill="BDD6EE"/>
            <w:vAlign w:val="center"/>
          </w:tcPr>
          <w:p w14:paraId="47CA09E9">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51" w:type="dxa"/>
            <w:shd w:val="clear" w:color="auto" w:fill="BDD6EE"/>
            <w:vAlign w:val="center"/>
          </w:tcPr>
          <w:p w14:paraId="4DBC0F7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831" w:type="dxa"/>
            <w:shd w:val="clear" w:color="auto" w:fill="BDD6EE"/>
            <w:vAlign w:val="center"/>
          </w:tcPr>
          <w:p w14:paraId="3071C33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14:paraId="14B6653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05A05E34">
      <w:pPr>
        <w:keepNext w:val="0"/>
        <w:keepLines w:val="0"/>
        <w:pageBreakBefore w:val="0"/>
        <w:widowControl w:val="0"/>
        <w:kinsoku/>
        <w:wordWrap/>
        <w:overflowPunct/>
        <w:topLinePunct w:val="0"/>
        <w:autoSpaceDE/>
        <w:autoSpaceDN/>
        <w:bidi w:val="0"/>
        <w:adjustRightInd/>
        <w:snapToGrid/>
        <w:ind w:firstLine="562"/>
        <w:textAlignment w:val="auto"/>
        <w:rPr>
          <w:rFonts w:hint="default" w:hAnsi="宋体"/>
          <w:szCs w:val="28"/>
          <w:lang w:val="en-US"/>
        </w:rPr>
      </w:pPr>
      <w:r>
        <w:rPr>
          <w:rFonts w:hint="eastAsia" w:hAnsi="宋体"/>
          <w:b/>
          <w:bCs/>
          <w:szCs w:val="28"/>
          <w:highlight w:val="none"/>
          <w:lang w:val="en-US" w:eastAsia="zh-CN"/>
        </w:rPr>
        <w:t>挽回经济损失效果</w:t>
      </w:r>
      <w:r>
        <w:rPr>
          <w:rFonts w:hint="eastAsia" w:hAnsi="宋体"/>
          <w:b/>
          <w:bCs/>
          <w:szCs w:val="28"/>
          <w:highlight w:val="none"/>
        </w:rPr>
        <w:t>：</w:t>
      </w:r>
      <w:r>
        <w:rPr>
          <w:rFonts w:hint="eastAsia" w:hAnsi="宋体"/>
        </w:rPr>
        <w:t>我院挽回经济损失效果</w:t>
      </w:r>
      <w:r>
        <w:rPr>
          <w:rFonts w:hint="eastAsia" w:hAnsi="宋体"/>
          <w:lang w:val="en-US" w:eastAsia="zh-CN"/>
        </w:rPr>
        <w:t>显著</w:t>
      </w:r>
      <w:r>
        <w:rPr>
          <w:rFonts w:hint="eastAsia" w:hAnsi="宋体" w:cs="宋体"/>
          <w:kern w:val="0"/>
        </w:rPr>
        <w:t>。</w:t>
      </w:r>
      <w:r>
        <w:rPr>
          <w:rFonts w:hint="eastAsia"/>
        </w:rPr>
        <w:t>该</w:t>
      </w:r>
      <w:r>
        <w:t>指标分值</w:t>
      </w:r>
      <w:r>
        <w:rPr>
          <w:rFonts w:hint="eastAsia"/>
          <w:lang w:val="en-US" w:eastAsia="zh-CN"/>
        </w:rPr>
        <w:t>5</w:t>
      </w:r>
      <w:r>
        <w:t>分，</w:t>
      </w:r>
      <w:r>
        <w:rPr>
          <w:rFonts w:hint="eastAsia"/>
        </w:rPr>
        <w:t>自评</w:t>
      </w:r>
      <w:r>
        <w:t>得分</w:t>
      </w:r>
      <w:r>
        <w:rPr>
          <w:rFonts w:hint="eastAsia"/>
          <w:lang w:val="en-US" w:eastAsia="zh-CN"/>
        </w:rPr>
        <w:t>5</w:t>
      </w:r>
      <w:r>
        <w:t>分，得分率为</w:t>
      </w:r>
      <w:r>
        <w:rPr>
          <w:rFonts w:hint="eastAsia"/>
          <w:lang w:val="en-US" w:eastAsia="zh-CN"/>
        </w:rPr>
        <w:t>100.00%。</w:t>
      </w:r>
    </w:p>
    <w:p w14:paraId="5E45334D">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维护社会稳定：</w:t>
      </w:r>
      <w:r>
        <w:rPr>
          <w:rFonts w:hint="eastAsia" w:hAnsi="宋体"/>
          <w:b w:val="0"/>
          <w:bCs w:val="0"/>
          <w:szCs w:val="28"/>
          <w:lang w:val="en-US" w:eastAsia="zh-CN"/>
        </w:rPr>
        <w:t>我院有效维护了社会稳定，效果良好，符合年度指标值。该指标分值5分，自评得分为5分，得分率为100.00%。</w:t>
      </w:r>
    </w:p>
    <w:p w14:paraId="49825E5F">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我院有效保障了审判服务的水平。该指标分值5分，自评得分为5分，得分率为100.00%。</w:t>
      </w:r>
    </w:p>
    <w:p w14:paraId="54BE5497">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打击生态犯罪，维护生态秩序：</w:t>
      </w:r>
      <w:r>
        <w:rPr>
          <w:rFonts w:hint="eastAsia" w:hAnsi="宋体"/>
          <w:b w:val="0"/>
          <w:bCs w:val="0"/>
          <w:szCs w:val="28"/>
          <w:lang w:val="en-US" w:eastAsia="zh-CN"/>
        </w:rPr>
        <w:t>我院打击生态犯罪，维护生态秩序，达到年度指标值。该指标分值5分，自评得分为5分，得分率为100.00%。</w:t>
      </w:r>
    </w:p>
    <w:p w14:paraId="0D632AE1">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（4）服务对象满意度</w:t>
      </w:r>
    </w:p>
    <w:p w14:paraId="11872967">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服务对象满意度指标指标根据我院向社会提供公共产品和服务的主要对象，服务对象满意度主要考察</w:t>
      </w:r>
      <w:r>
        <w:rPr>
          <w:rFonts w:hint="eastAsia" w:hAnsi="宋体" w:cstheme="minorBidi"/>
          <w:b w:val="0"/>
          <w:bCs w:val="0"/>
          <w:kern w:val="2"/>
          <w:sz w:val="28"/>
          <w:szCs w:val="28"/>
          <w:lang w:val="en-US" w:eastAsia="zh-CN" w:bidi="ar-SA"/>
        </w:rPr>
        <w:t>当事人、干警满意度。</w:t>
      </w:r>
      <w:r>
        <w:rPr>
          <w:rFonts w:hint="eastAsia" w:ascii="仿宋_GB2312" w:hAnsi="宋体" w:eastAsia="仿宋_GB2312" w:cstheme="minorBidi"/>
          <w:b w:val="0"/>
          <w:bCs w:val="0"/>
          <w:kern w:val="2"/>
          <w:sz w:val="28"/>
          <w:szCs w:val="28"/>
          <w:lang w:val="en-US" w:eastAsia="zh-CN" w:bidi="ar-SA"/>
        </w:rPr>
        <w:t>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061AFCE7">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42"/>
        <w:gridCol w:w="1887"/>
        <w:gridCol w:w="1056"/>
        <w:gridCol w:w="1035"/>
        <w:gridCol w:w="885"/>
        <w:gridCol w:w="857"/>
        <w:gridCol w:w="1007"/>
      </w:tblGrid>
      <w:tr w14:paraId="171EF6F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42" w:type="dxa"/>
            <w:shd w:val="clear" w:color="auto" w:fill="BDD6EE"/>
            <w:vAlign w:val="center"/>
          </w:tcPr>
          <w:p w14:paraId="21F3C4A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87" w:type="dxa"/>
            <w:shd w:val="clear" w:color="auto" w:fill="BDD6EE"/>
            <w:vAlign w:val="center"/>
          </w:tcPr>
          <w:p w14:paraId="57CF704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1056" w:type="dxa"/>
            <w:shd w:val="clear" w:color="auto" w:fill="BDD6EE"/>
            <w:vAlign w:val="center"/>
          </w:tcPr>
          <w:p w14:paraId="2AC979C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w:t>
            </w:r>
          </w:p>
          <w:p w14:paraId="0419EE1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指标值</w:t>
            </w:r>
          </w:p>
        </w:tc>
        <w:tc>
          <w:tcPr>
            <w:tcW w:w="1035" w:type="dxa"/>
            <w:shd w:val="clear" w:color="auto" w:fill="BDD6EE"/>
            <w:vAlign w:val="center"/>
          </w:tcPr>
          <w:p w14:paraId="197E46E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实际</w:t>
            </w:r>
          </w:p>
          <w:p w14:paraId="298AC96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完成值</w:t>
            </w:r>
          </w:p>
        </w:tc>
        <w:tc>
          <w:tcPr>
            <w:tcW w:w="885" w:type="dxa"/>
            <w:shd w:val="clear" w:color="auto" w:fill="BDD6EE"/>
            <w:vAlign w:val="center"/>
          </w:tcPr>
          <w:p w14:paraId="5940867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857" w:type="dxa"/>
            <w:shd w:val="clear" w:color="auto" w:fill="BDD6EE"/>
            <w:vAlign w:val="center"/>
          </w:tcPr>
          <w:p w14:paraId="2624F39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1007" w:type="dxa"/>
            <w:shd w:val="clear" w:color="auto" w:fill="BDD6EE"/>
            <w:vAlign w:val="center"/>
          </w:tcPr>
          <w:p w14:paraId="0DE63BDC">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2785725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cantSplit/>
          <w:trHeight w:val="397" w:hRule="atLeast"/>
          <w:tblHeader/>
          <w:jc w:val="center"/>
        </w:trPr>
        <w:tc>
          <w:tcPr>
            <w:tcW w:w="2342" w:type="dxa"/>
            <w:vMerge w:val="restart"/>
            <w:vAlign w:val="center"/>
          </w:tcPr>
          <w:p w14:paraId="16A9E8C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1887" w:type="dxa"/>
            <w:vAlign w:val="center"/>
          </w:tcPr>
          <w:p w14:paraId="457E2B6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当事人满意程度</w:t>
            </w:r>
          </w:p>
        </w:tc>
        <w:tc>
          <w:tcPr>
            <w:tcW w:w="1056" w:type="dxa"/>
            <w:vAlign w:val="center"/>
          </w:tcPr>
          <w:p w14:paraId="2B96CAF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满意</w:t>
            </w:r>
          </w:p>
        </w:tc>
        <w:tc>
          <w:tcPr>
            <w:tcW w:w="1035" w:type="dxa"/>
            <w:vAlign w:val="center"/>
          </w:tcPr>
          <w:p w14:paraId="3F60E39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95%</w:t>
            </w:r>
          </w:p>
        </w:tc>
        <w:tc>
          <w:tcPr>
            <w:tcW w:w="885" w:type="dxa"/>
            <w:vAlign w:val="center"/>
          </w:tcPr>
          <w:p w14:paraId="620DD57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857" w:type="dxa"/>
            <w:vAlign w:val="center"/>
          </w:tcPr>
          <w:p w14:paraId="5FC6E46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07" w:type="dxa"/>
            <w:vAlign w:val="center"/>
          </w:tcPr>
          <w:p w14:paraId="17C699DF">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762C40A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42" w:type="dxa"/>
            <w:vMerge w:val="continue"/>
            <w:vAlign w:val="center"/>
          </w:tcPr>
          <w:p w14:paraId="725F2255">
            <w:pPr>
              <w:jc w:val="center"/>
              <w:rPr>
                <w:rFonts w:hint="eastAsia" w:ascii="宋体" w:hAnsi="宋体" w:eastAsia="宋体" w:cs="宋体"/>
                <w:i w:val="0"/>
                <w:iCs w:val="0"/>
                <w:color w:val="000000"/>
                <w:kern w:val="0"/>
                <w:sz w:val="22"/>
                <w:szCs w:val="22"/>
                <w:u w:val="none"/>
                <w:lang w:val="en-US" w:eastAsia="zh-CN" w:bidi="ar"/>
              </w:rPr>
            </w:pPr>
          </w:p>
        </w:tc>
        <w:tc>
          <w:tcPr>
            <w:tcW w:w="1887" w:type="dxa"/>
            <w:vAlign w:val="center"/>
          </w:tcPr>
          <w:p w14:paraId="0ABD18B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干警满意程度</w:t>
            </w:r>
          </w:p>
        </w:tc>
        <w:tc>
          <w:tcPr>
            <w:tcW w:w="1056" w:type="dxa"/>
            <w:vAlign w:val="center"/>
          </w:tcPr>
          <w:p w14:paraId="1401DC3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满意</w:t>
            </w:r>
          </w:p>
        </w:tc>
        <w:tc>
          <w:tcPr>
            <w:tcW w:w="1035" w:type="dxa"/>
            <w:vAlign w:val="center"/>
          </w:tcPr>
          <w:p w14:paraId="7147276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95%</w:t>
            </w:r>
          </w:p>
        </w:tc>
        <w:tc>
          <w:tcPr>
            <w:tcW w:w="885" w:type="dxa"/>
            <w:vAlign w:val="center"/>
          </w:tcPr>
          <w:p w14:paraId="68EE082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857" w:type="dxa"/>
            <w:vAlign w:val="center"/>
          </w:tcPr>
          <w:p w14:paraId="598B0F6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07" w:type="dxa"/>
            <w:vAlign w:val="center"/>
          </w:tcPr>
          <w:p w14:paraId="177DBF1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527AB0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42" w:type="dxa"/>
            <w:shd w:val="clear" w:color="auto" w:fill="BDD6EE"/>
            <w:vAlign w:val="center"/>
          </w:tcPr>
          <w:p w14:paraId="76B21CC8">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87" w:type="dxa"/>
            <w:shd w:val="clear" w:color="auto" w:fill="BDD6EE"/>
            <w:vAlign w:val="center"/>
          </w:tcPr>
          <w:p w14:paraId="685470CE">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56" w:type="dxa"/>
            <w:shd w:val="clear" w:color="auto" w:fill="BDD6EE"/>
            <w:vAlign w:val="center"/>
          </w:tcPr>
          <w:p w14:paraId="2D178E65">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35" w:type="dxa"/>
            <w:shd w:val="clear" w:color="auto" w:fill="BDD6EE"/>
            <w:vAlign w:val="center"/>
          </w:tcPr>
          <w:p w14:paraId="7DA48BF0">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85" w:type="dxa"/>
            <w:shd w:val="clear" w:color="auto" w:fill="BDD6EE"/>
            <w:vAlign w:val="center"/>
          </w:tcPr>
          <w:p w14:paraId="73EC804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857" w:type="dxa"/>
            <w:shd w:val="clear" w:color="auto" w:fill="BDD6EE"/>
            <w:vAlign w:val="center"/>
          </w:tcPr>
          <w:p w14:paraId="553F640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07" w:type="dxa"/>
            <w:shd w:val="clear" w:color="auto" w:fill="BDD6EE"/>
            <w:vAlign w:val="center"/>
          </w:tcPr>
          <w:p w14:paraId="54CE331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1988B55D">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当事人满意程度</w:t>
      </w:r>
      <w:r>
        <w:rPr>
          <w:rFonts w:hint="eastAsia" w:ascii="仿宋_GB2312" w:hAnsi="仿宋_GB2312" w:eastAsia="仿宋_GB2312" w:cs="仿宋_GB2312"/>
          <w:b/>
          <w:bCs/>
          <w:sz w:val="28"/>
          <w:szCs w:val="28"/>
        </w:rPr>
        <w:t>：</w:t>
      </w:r>
      <w:r>
        <w:rPr>
          <w:rFonts w:hint="eastAsia"/>
        </w:rPr>
        <w:t>我院依法审理各类案件，妥善化解矛盾纠纷和行政争议，维护了法院审判工作的有序开展，积极保障人民群众生命财产安全，</w:t>
      </w:r>
      <w:r>
        <w:rPr>
          <w:rFonts w:hint="eastAsia"/>
          <w:lang w:val="en-US" w:eastAsia="zh-CN"/>
        </w:rPr>
        <w:t>当事人满意度达到95%，达到目标值。</w:t>
      </w:r>
      <w:r>
        <w:rPr>
          <w:rFonts w:hint="eastAsia"/>
        </w:rPr>
        <w:t>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p>
    <w:p w14:paraId="5744794C">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干警满意程度：</w:t>
      </w:r>
      <w:r>
        <w:t>我院在院党组的正确领导和</w:t>
      </w:r>
      <w:r>
        <w:rPr>
          <w:rFonts w:hint="eastAsia"/>
        </w:rPr>
        <w:t>分管院领导的悉心指导下，坚持以审判需求为导向、以司法能力建设为核心、以社会责任为目标，忠实履职尽责，主动担当作为，书写了本院工作高质量发展的新篇章，通过满意度调查，干警对单位工作满意，</w:t>
      </w:r>
      <w:r>
        <w:t>达到</w:t>
      </w:r>
      <w:r>
        <w:rPr>
          <w:rFonts w:hint="eastAsia"/>
        </w:rPr>
        <w:t>了</w:t>
      </w:r>
      <w:r>
        <w:t>目标值</w:t>
      </w:r>
      <w:r>
        <w:rPr>
          <w:rFonts w:hint="eastAsia"/>
        </w:rPr>
        <w:t>，该指标分值5分，自评得分5分，得分率</w:t>
      </w:r>
      <w:r>
        <w:rPr>
          <w:rFonts w:hint="eastAsia"/>
          <w:lang w:eastAsia="zh-CN"/>
        </w:rPr>
        <w:t>100.00%</w:t>
      </w:r>
      <w:r>
        <w:rPr>
          <w:rFonts w:hint="eastAsia" w:ascii="仿宋_GB2312" w:hAnsi="仿宋_GB2312" w:eastAsia="仿宋_GB2312" w:cs="仿宋_GB2312"/>
          <w:sz w:val="28"/>
          <w:szCs w:val="28"/>
        </w:rPr>
        <w:t>。</w:t>
      </w:r>
    </w:p>
    <w:p w14:paraId="1ED45A83">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4.偏离绩效目标的原因及下一步改进措施</w:t>
      </w:r>
    </w:p>
    <w:bookmarkEnd w:id="58"/>
    <w:bookmarkEnd w:id="59"/>
    <w:bookmarkEnd w:id="60"/>
    <w:bookmarkEnd w:id="61"/>
    <w:bookmarkEnd w:id="62"/>
    <w:p w14:paraId="37733C31">
      <w:pPr>
        <w:bidi w:val="0"/>
        <w:rPr>
          <w:rFonts w:hint="eastAsia" w:hAnsi="宋体"/>
          <w:szCs w:val="28"/>
          <w:lang w:eastAsia="zh-CN"/>
        </w:rPr>
      </w:pPr>
      <w:bookmarkStart w:id="65" w:name="_Toc12049"/>
      <w:bookmarkStart w:id="66" w:name="_Toc31056"/>
      <w:bookmarkStart w:id="67" w:name="_Toc6252"/>
      <w:bookmarkStart w:id="68" w:name="_Toc26665"/>
      <w:bookmarkStart w:id="69" w:name="_Toc32543"/>
      <w:r>
        <w:rPr>
          <w:rFonts w:hint="eastAsia" w:ascii="仿宋_GB2312" w:hAnsi="宋体" w:eastAsia="仿宋_GB2312" w:cstheme="minorBidi"/>
          <w:b w:val="0"/>
          <w:bCs w:val="0"/>
          <w:kern w:val="2"/>
          <w:sz w:val="28"/>
          <w:szCs w:val="28"/>
          <w:lang w:val="en-US" w:eastAsia="zh-CN" w:bidi="ar-SA"/>
        </w:rPr>
        <w:t>我院在上报2023年度</w:t>
      </w:r>
      <w:r>
        <w:rPr>
          <w:rFonts w:hint="eastAsia" w:hAnsi="宋体" w:cstheme="minorBidi"/>
          <w:b w:val="0"/>
          <w:bCs w:val="0"/>
          <w:kern w:val="2"/>
          <w:sz w:val="28"/>
          <w:szCs w:val="28"/>
          <w:lang w:val="en-US" w:eastAsia="zh-CN" w:bidi="ar-SA"/>
        </w:rPr>
        <w:t>全省法院业务费项目</w:t>
      </w:r>
      <w:r>
        <w:rPr>
          <w:rFonts w:hint="eastAsia" w:ascii="仿宋_GB2312" w:hAnsi="宋体" w:eastAsia="仿宋_GB2312" w:cstheme="minorBidi"/>
          <w:b w:val="0"/>
          <w:bCs w:val="0"/>
          <w:kern w:val="2"/>
          <w:sz w:val="28"/>
          <w:szCs w:val="28"/>
          <w:lang w:val="en-US" w:eastAsia="zh-CN" w:bidi="ar-SA"/>
        </w:rPr>
        <w:t>绩效目标时，</w:t>
      </w:r>
      <w:r>
        <w:rPr>
          <w:rFonts w:hint="eastAsia" w:hAnsi="宋体" w:cstheme="minorBidi"/>
          <w:b w:val="0"/>
          <w:bCs w:val="0"/>
          <w:kern w:val="2"/>
          <w:sz w:val="28"/>
          <w:szCs w:val="28"/>
          <w:lang w:val="en-US" w:eastAsia="zh-CN" w:bidi="ar-SA"/>
        </w:rPr>
        <w:t>个别</w:t>
      </w:r>
      <w:r>
        <w:rPr>
          <w:rFonts w:hint="eastAsia" w:ascii="仿宋_GB2312" w:hAnsi="宋体" w:eastAsia="仿宋_GB2312" w:cstheme="minorBidi"/>
          <w:b w:val="0"/>
          <w:bCs w:val="0"/>
          <w:kern w:val="2"/>
          <w:sz w:val="28"/>
          <w:szCs w:val="28"/>
          <w:lang w:val="en-US" w:eastAsia="zh-CN" w:bidi="ar-SA"/>
        </w:rPr>
        <w:t>指标设置不合理</w:t>
      </w:r>
      <w:r>
        <w:rPr>
          <w:rFonts w:hint="eastAsia" w:hAnsi="宋体" w:cstheme="minorBidi"/>
          <w:b w:val="0"/>
          <w:bCs w:val="0"/>
          <w:kern w:val="2"/>
          <w:sz w:val="28"/>
          <w:szCs w:val="28"/>
          <w:lang w:val="en-US" w:eastAsia="zh-CN" w:bidi="ar-SA"/>
        </w:rPr>
        <w:t>，采购装备数量指标值设置偏低、</w:t>
      </w:r>
      <w:r>
        <w:rPr>
          <w:rFonts w:hint="eastAsia" w:hAnsi="宋体"/>
          <w:szCs w:val="28"/>
        </w:rPr>
        <w:t>一审服判息诉率实际完成值</w:t>
      </w:r>
      <w:r>
        <w:rPr>
          <w:rFonts w:hint="eastAsia" w:hAnsi="宋体"/>
          <w:szCs w:val="28"/>
          <w:lang w:eastAsia="zh-CN"/>
        </w:rPr>
        <w:t>较目标值较低</w:t>
      </w:r>
      <w:r>
        <w:rPr>
          <w:rFonts w:hint="eastAsia" w:hAnsi="宋体"/>
          <w:szCs w:val="28"/>
        </w:rPr>
        <w:t>，我院将严格</w:t>
      </w:r>
      <w:r>
        <w:rPr>
          <w:rFonts w:hint="eastAsia" w:hAnsi="宋体"/>
          <w:szCs w:val="28"/>
          <w:lang w:eastAsia="zh-CN"/>
        </w:rPr>
        <w:t>参</w:t>
      </w:r>
      <w:r>
        <w:rPr>
          <w:rFonts w:hint="eastAsia" w:hAnsi="宋体"/>
          <w:szCs w:val="28"/>
        </w:rPr>
        <w:t>照</w:t>
      </w:r>
      <w:r>
        <w:rPr>
          <w:rFonts w:hint="eastAsia" w:hAnsi="宋体"/>
          <w:szCs w:val="28"/>
          <w:lang w:eastAsia="zh-CN"/>
        </w:rPr>
        <w:t>本年实际发生</w:t>
      </w:r>
      <w:r>
        <w:rPr>
          <w:rFonts w:hint="eastAsia" w:hAnsi="宋体"/>
          <w:szCs w:val="28"/>
        </w:rPr>
        <w:t>数，进一步精确年初绩效指标的设置</w:t>
      </w:r>
      <w:r>
        <w:rPr>
          <w:rFonts w:hint="eastAsia" w:hAnsi="宋体"/>
          <w:szCs w:val="28"/>
          <w:lang w:eastAsia="zh-CN"/>
        </w:rPr>
        <w:t>。</w:t>
      </w:r>
    </w:p>
    <w:p w14:paraId="60C03528">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r>
        <w:rPr>
          <w:rFonts w:hint="eastAsia"/>
          <w:lang w:val="en-US" w:eastAsia="zh-CN"/>
        </w:rPr>
        <w:t>五、部门管理的省对市县转移支付绩效自评情况分析</w:t>
      </w:r>
      <w:bookmarkEnd w:id="65"/>
      <w:bookmarkEnd w:id="66"/>
      <w:r>
        <w:rPr>
          <w:rFonts w:hint="eastAsia"/>
          <w:lang w:val="en-US" w:eastAsia="zh-CN"/>
        </w:rPr>
        <w:tab/>
      </w:r>
    </w:p>
    <w:p w14:paraId="697A173C">
      <w:pPr>
        <w:ind w:firstLine="560"/>
        <w:jc w:val="left"/>
        <w:rPr>
          <w:rFonts w:hAnsi="宋体"/>
          <w:szCs w:val="28"/>
        </w:rPr>
      </w:pPr>
      <w:r>
        <w:rPr>
          <w:rFonts w:hint="eastAsia" w:hAnsi="宋体"/>
          <w:szCs w:val="28"/>
          <w:lang w:eastAsia="zh-CN"/>
        </w:rPr>
        <w:t>2023年</w:t>
      </w:r>
      <w:r>
        <w:rPr>
          <w:rFonts w:hint="eastAsia" w:hAnsi="宋体"/>
          <w:szCs w:val="28"/>
        </w:rPr>
        <w:t>，我院转移支付自评项目为1个，通过自评，结果为“优”，自评情况分析如下：</w:t>
      </w:r>
    </w:p>
    <w:p w14:paraId="49386AB2">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lang w:eastAsia="zh-CN"/>
        </w:rPr>
      </w:pPr>
      <w:bookmarkStart w:id="70" w:name="_Toc6868"/>
      <w:bookmarkStart w:id="71" w:name="_Toc5896"/>
      <w:bookmarkStart w:id="72" w:name="_Toc12566"/>
      <w:bookmarkStart w:id="73" w:name="_Toc31419"/>
      <w:bookmarkStart w:id="74" w:name="_Toc32068"/>
      <w:r>
        <w:rPr>
          <w:rFonts w:hint="eastAsia"/>
          <w:lang w:eastAsia="zh-CN"/>
        </w:rPr>
        <w:t>（</w:t>
      </w:r>
      <w:r>
        <w:rPr>
          <w:rFonts w:hint="eastAsia"/>
          <w:lang w:val="en-US" w:eastAsia="zh-CN"/>
        </w:rPr>
        <w:t>一</w:t>
      </w:r>
      <w:r>
        <w:rPr>
          <w:rFonts w:hint="eastAsia"/>
          <w:lang w:eastAsia="zh-CN"/>
        </w:rPr>
        <w:t>）中央政法转移支付资金</w:t>
      </w:r>
      <w:bookmarkEnd w:id="70"/>
      <w:bookmarkEnd w:id="71"/>
      <w:bookmarkEnd w:id="72"/>
      <w:bookmarkEnd w:id="73"/>
      <w:bookmarkEnd w:id="74"/>
    </w:p>
    <w:p w14:paraId="5EEF7EC0">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本次绩效自评综合评定</w:t>
      </w:r>
      <w:r>
        <w:rPr>
          <w:rFonts w:hint="eastAsia"/>
          <w:lang w:eastAsia="zh-CN"/>
        </w:rPr>
        <w:t>2023年</w:t>
      </w:r>
      <w:r>
        <w:rPr>
          <w:rFonts w:hint="eastAsia"/>
        </w:rPr>
        <w:t>中央政法转移支付资金支出绩效得分为</w:t>
      </w:r>
      <w:r>
        <w:rPr>
          <w:rFonts w:hint="eastAsia"/>
          <w:lang w:val="en-US" w:eastAsia="zh-CN"/>
        </w:rPr>
        <w:t>96.55</w:t>
      </w:r>
      <w:r>
        <w:rPr>
          <w:rFonts w:hint="eastAsia"/>
        </w:rPr>
        <w:t>分，绩效等级为“优”。项目支出绩效评价包括</w:t>
      </w:r>
      <w:r>
        <w:rPr>
          <w:rFonts w:hint="eastAsia" w:cs="仿宋_GB2312"/>
          <w:lang w:val="en-US" w:eastAsia="zh-CN"/>
        </w:rPr>
        <w:t>成本</w:t>
      </w:r>
      <w:r>
        <w:rPr>
          <w:rFonts w:hint="eastAsia" w:cs="仿宋_GB2312"/>
        </w:rPr>
        <w:t>、</w:t>
      </w:r>
      <w:r>
        <w:rPr>
          <w:rFonts w:hint="eastAsia"/>
        </w:rPr>
        <w:t>产出、效益、满意度四个一级指标，下设</w:t>
      </w:r>
      <w:r>
        <w:rPr>
          <w:rFonts w:hint="eastAsia"/>
          <w:lang w:val="en-US" w:eastAsia="zh-CN"/>
        </w:rPr>
        <w:t>8</w:t>
      </w:r>
      <w:r>
        <w:rPr>
          <w:rFonts w:hint="eastAsia"/>
        </w:rPr>
        <w:t>个二级指标和</w:t>
      </w:r>
      <w:r>
        <w:rPr>
          <w:rFonts w:hint="eastAsia"/>
          <w:lang w:val="en-US" w:eastAsia="zh-CN"/>
        </w:rPr>
        <w:t>16</w:t>
      </w:r>
      <w:r>
        <w:rPr>
          <w:rFonts w:hint="eastAsia"/>
        </w:rPr>
        <w:t>个三级指标。一级指标得分情况详见下表：</w:t>
      </w:r>
    </w:p>
    <w:p w14:paraId="356239A8">
      <w:pPr>
        <w:jc w:val="center"/>
        <w:rPr>
          <w:rFonts w:ascii="宋体" w:hAnsi="宋体"/>
          <w:highlight w:val="none"/>
        </w:rPr>
      </w:pPr>
      <w:r>
        <w:rPr>
          <w:rFonts w:hint="eastAsia" w:ascii="宋体" w:hAnsi="宋体" w:cs="宋体"/>
          <w:b/>
          <w:bCs/>
          <w:kern w:val="0"/>
          <w:sz w:val="24"/>
          <w:highlight w:val="none"/>
          <w:lang w:eastAsia="zh-CN"/>
        </w:rPr>
        <w:t>2023年度项目</w:t>
      </w:r>
      <w:r>
        <w:rPr>
          <w:rFonts w:hint="eastAsia" w:ascii="宋体" w:hAnsi="宋体" w:cs="宋体"/>
          <w:b/>
          <w:bCs/>
          <w:kern w:val="0"/>
          <w:sz w:val="24"/>
          <w:highlight w:val="none"/>
        </w:rPr>
        <w:t>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47407A7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5C86E48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14:paraId="2E2E887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14:paraId="185B2A3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14:paraId="467E62D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得分率</w:t>
            </w:r>
          </w:p>
        </w:tc>
      </w:tr>
      <w:tr w14:paraId="1FED969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237DB7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预算执行率</w:t>
            </w:r>
          </w:p>
        </w:tc>
        <w:tc>
          <w:tcPr>
            <w:tcW w:w="1678" w:type="dxa"/>
            <w:vAlign w:val="center"/>
          </w:tcPr>
          <w:p w14:paraId="23A534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560" w:type="dxa"/>
            <w:vAlign w:val="center"/>
          </w:tcPr>
          <w:p w14:paraId="6BBDC0E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6.75</w:t>
            </w:r>
          </w:p>
        </w:tc>
        <w:tc>
          <w:tcPr>
            <w:tcW w:w="2268" w:type="dxa"/>
            <w:vAlign w:val="center"/>
          </w:tcPr>
          <w:p w14:paraId="3104CA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67.5%</w:t>
            </w:r>
          </w:p>
        </w:tc>
      </w:tr>
      <w:tr w14:paraId="2C3204A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66E960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成本指标</w:t>
            </w:r>
          </w:p>
        </w:tc>
        <w:tc>
          <w:tcPr>
            <w:tcW w:w="1678" w:type="dxa"/>
            <w:vAlign w:val="center"/>
          </w:tcPr>
          <w:p w14:paraId="75FF7B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20</w:t>
            </w:r>
          </w:p>
        </w:tc>
        <w:tc>
          <w:tcPr>
            <w:tcW w:w="1560" w:type="dxa"/>
            <w:vAlign w:val="center"/>
          </w:tcPr>
          <w:p w14:paraId="5E77E4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20</w:t>
            </w:r>
          </w:p>
        </w:tc>
        <w:tc>
          <w:tcPr>
            <w:tcW w:w="2268" w:type="dxa"/>
            <w:vAlign w:val="center"/>
          </w:tcPr>
          <w:p w14:paraId="596A17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82F891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00C9C6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产出指标</w:t>
            </w:r>
          </w:p>
        </w:tc>
        <w:tc>
          <w:tcPr>
            <w:tcW w:w="1678" w:type="dxa"/>
            <w:vAlign w:val="center"/>
          </w:tcPr>
          <w:p w14:paraId="023CAA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40</w:t>
            </w:r>
          </w:p>
        </w:tc>
        <w:tc>
          <w:tcPr>
            <w:tcW w:w="1560" w:type="dxa"/>
            <w:vAlign w:val="center"/>
          </w:tcPr>
          <w:p w14:paraId="3ED9997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39.9</w:t>
            </w:r>
          </w:p>
        </w:tc>
        <w:tc>
          <w:tcPr>
            <w:tcW w:w="2268" w:type="dxa"/>
            <w:vAlign w:val="center"/>
          </w:tcPr>
          <w:p w14:paraId="259DC1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99.75%</w:t>
            </w:r>
          </w:p>
        </w:tc>
      </w:tr>
      <w:tr w14:paraId="5100DC5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3B6F7A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效益指标</w:t>
            </w:r>
          </w:p>
        </w:tc>
        <w:tc>
          <w:tcPr>
            <w:tcW w:w="1678" w:type="dxa"/>
            <w:vAlign w:val="center"/>
          </w:tcPr>
          <w:p w14:paraId="653C56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20</w:t>
            </w:r>
          </w:p>
        </w:tc>
        <w:tc>
          <w:tcPr>
            <w:tcW w:w="1560" w:type="dxa"/>
            <w:vAlign w:val="center"/>
          </w:tcPr>
          <w:p w14:paraId="0DA2EC3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19.9</w:t>
            </w:r>
          </w:p>
        </w:tc>
        <w:tc>
          <w:tcPr>
            <w:tcW w:w="2268" w:type="dxa"/>
            <w:vAlign w:val="center"/>
          </w:tcPr>
          <w:p w14:paraId="1803CF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99.50%</w:t>
            </w:r>
          </w:p>
        </w:tc>
      </w:tr>
      <w:tr w14:paraId="3C4D8B9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4A0E67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满意度指标</w:t>
            </w:r>
          </w:p>
        </w:tc>
        <w:tc>
          <w:tcPr>
            <w:tcW w:w="1678" w:type="dxa"/>
            <w:vAlign w:val="center"/>
          </w:tcPr>
          <w:p w14:paraId="344030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560" w:type="dxa"/>
            <w:vAlign w:val="center"/>
          </w:tcPr>
          <w:p w14:paraId="7C79E5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2268" w:type="dxa"/>
            <w:vAlign w:val="center"/>
          </w:tcPr>
          <w:p w14:paraId="5B3C32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4A5BCE2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3BF3918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14:paraId="51005EB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14:paraId="30F88A68">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96.55</w:t>
            </w:r>
          </w:p>
        </w:tc>
        <w:tc>
          <w:tcPr>
            <w:tcW w:w="2268" w:type="dxa"/>
            <w:shd w:val="clear" w:color="auto" w:fill="BDD6EE"/>
            <w:vAlign w:val="center"/>
          </w:tcPr>
          <w:p w14:paraId="7078859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96.55%</w:t>
            </w:r>
          </w:p>
        </w:tc>
      </w:tr>
    </w:tbl>
    <w:p w14:paraId="6EE95821">
      <w:pPr>
        <w:pStyle w:val="4"/>
        <w:ind w:firstLine="560"/>
        <w:jc w:val="left"/>
        <w:rPr>
          <w:szCs w:val="28"/>
        </w:rPr>
      </w:pPr>
      <w:r>
        <w:rPr>
          <w:rFonts w:hint="eastAsia"/>
          <w:szCs w:val="28"/>
        </w:rPr>
        <w:t>1.项目支出预算执行情况</w:t>
      </w:r>
    </w:p>
    <w:p w14:paraId="2744A7BF">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szCs w:val="28"/>
        </w:rPr>
      </w:pPr>
      <w:r>
        <w:rPr>
          <w:rFonts w:hint="eastAsia"/>
        </w:rPr>
        <w:t>中央政法转移支付</w:t>
      </w:r>
      <w:r>
        <w:rPr>
          <w:rFonts w:hint="eastAsia"/>
          <w:szCs w:val="28"/>
        </w:rPr>
        <w:t>项目全年预算数为</w:t>
      </w:r>
      <w:r>
        <w:rPr>
          <w:rFonts w:hint="eastAsia"/>
          <w:szCs w:val="28"/>
          <w:lang w:val="en-US" w:eastAsia="zh-CN"/>
        </w:rPr>
        <w:t>760</w:t>
      </w:r>
      <w:r>
        <w:rPr>
          <w:rFonts w:hint="eastAsia"/>
          <w:szCs w:val="28"/>
        </w:rPr>
        <w:t>万元，全年执行数为</w:t>
      </w:r>
      <w:r>
        <w:rPr>
          <w:rFonts w:hint="eastAsia"/>
          <w:szCs w:val="28"/>
          <w:lang w:val="en-US" w:eastAsia="zh-CN"/>
        </w:rPr>
        <w:t>512.75</w:t>
      </w:r>
      <w:r>
        <w:rPr>
          <w:rFonts w:hint="eastAsia"/>
          <w:szCs w:val="28"/>
        </w:rPr>
        <w:t>万元，预算执行率</w:t>
      </w:r>
      <w:r>
        <w:rPr>
          <w:rFonts w:hint="eastAsia"/>
          <w:szCs w:val="28"/>
          <w:lang w:val="en-US" w:eastAsia="zh-CN"/>
        </w:rPr>
        <w:t>67.47%</w:t>
      </w:r>
      <w:r>
        <w:rPr>
          <w:rFonts w:hint="eastAsia"/>
          <w:szCs w:val="28"/>
        </w:rPr>
        <w:t>，满分10分，得分</w:t>
      </w:r>
      <w:r>
        <w:rPr>
          <w:rFonts w:hint="eastAsia"/>
          <w:szCs w:val="28"/>
          <w:lang w:val="en-US" w:eastAsia="zh-CN"/>
        </w:rPr>
        <w:t>6.75</w:t>
      </w:r>
      <w:r>
        <w:rPr>
          <w:rFonts w:hint="eastAsia"/>
          <w:szCs w:val="28"/>
        </w:rPr>
        <w:t>分</w:t>
      </w:r>
      <w:r>
        <w:rPr>
          <w:rFonts w:hint="eastAsia"/>
          <w:szCs w:val="28"/>
          <w:lang w:eastAsia="zh-CN"/>
        </w:rPr>
        <w:t>，</w:t>
      </w:r>
      <w:r>
        <w:rPr>
          <w:rFonts w:hint="eastAsia"/>
          <w:szCs w:val="28"/>
          <w:lang w:val="en-US" w:eastAsia="zh-CN"/>
        </w:rPr>
        <w:t>得分率67.47%</w:t>
      </w:r>
      <w:r>
        <w:rPr>
          <w:rFonts w:hint="eastAsia"/>
          <w:szCs w:val="28"/>
        </w:rPr>
        <w:t>。</w:t>
      </w:r>
    </w:p>
    <w:p w14:paraId="199F7B94">
      <w:pPr>
        <w:pStyle w:val="4"/>
        <w:ind w:firstLine="560"/>
        <w:jc w:val="left"/>
        <w:rPr>
          <w:rFonts w:hint="eastAsia"/>
          <w:szCs w:val="28"/>
        </w:rPr>
      </w:pPr>
      <w:r>
        <w:rPr>
          <w:rFonts w:hint="eastAsia"/>
          <w:szCs w:val="28"/>
          <w:lang w:val="en-US" w:eastAsia="zh-CN"/>
        </w:rPr>
        <w:t>2.</w:t>
      </w:r>
      <w:r>
        <w:rPr>
          <w:rFonts w:hint="eastAsia"/>
          <w:szCs w:val="28"/>
        </w:rPr>
        <w:t>总体绩效目标完成情况分析</w:t>
      </w:r>
    </w:p>
    <w:p w14:paraId="34D3711E">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仿宋_GB2312"/>
          <w:szCs w:val="28"/>
          <w:lang w:eastAsia="zh-CN"/>
        </w:rPr>
      </w:pPr>
      <w:r>
        <w:rPr>
          <w:rFonts w:hint="eastAsia"/>
          <w:szCs w:val="28"/>
          <w:lang w:eastAsia="zh-CN"/>
        </w:rPr>
        <w:t>通过2023年度中央政法转移支付资金的投入。我院积极发挥中央财政资金的政策扶持和引导作用，提高办公办案经费保障水平，及时有效的云桌面等装备购置采购工作，为单位履行审判职责奠定物质基础，提高司法公信力，推进法庭的信息化、现代化发展。为有效开展审判服务提供便利。提高办案水平和审判质效，化解社会矛盾，维护经济秩序，为辖区经济的发展提供有力的司法保障。</w:t>
      </w:r>
    </w:p>
    <w:p w14:paraId="79072E71">
      <w:pPr>
        <w:pStyle w:val="4"/>
        <w:ind w:firstLine="560"/>
        <w:jc w:val="left"/>
        <w:rPr>
          <w:rFonts w:hint="eastAsia"/>
          <w:szCs w:val="28"/>
          <w:lang w:val="en-US" w:eastAsia="zh-CN"/>
        </w:rPr>
      </w:pPr>
      <w:r>
        <w:rPr>
          <w:rFonts w:hint="eastAsia"/>
          <w:szCs w:val="28"/>
          <w:lang w:val="en-US" w:eastAsia="zh-CN"/>
        </w:rPr>
        <w:t>3.各项指标完成情况分析</w:t>
      </w:r>
    </w:p>
    <w:p w14:paraId="7A26DB31">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）成本指标</w:t>
      </w:r>
    </w:p>
    <w:p w14:paraId="3D24A96E">
      <w:pPr>
        <w:ind w:firstLine="560"/>
        <w:jc w:val="left"/>
        <w:rPr>
          <w:rFonts w:hint="eastAsia" w:cs="仿宋_GB2312"/>
          <w:szCs w:val="28"/>
        </w:rPr>
      </w:pPr>
      <w:r>
        <w:rPr>
          <w:rFonts w:hint="eastAsia" w:cs="仿宋_GB2312"/>
          <w:szCs w:val="28"/>
          <w:lang w:eastAsia="zh-CN"/>
        </w:rPr>
        <w:t>成本</w:t>
      </w:r>
      <w:r>
        <w:rPr>
          <w:rFonts w:hint="eastAsia" w:cs="仿宋_GB2312"/>
          <w:szCs w:val="28"/>
        </w:rPr>
        <w:t>指标下设</w:t>
      </w:r>
      <w:r>
        <w:rPr>
          <w:rFonts w:hint="eastAsia" w:cs="仿宋_GB2312"/>
          <w:szCs w:val="28"/>
          <w:lang w:eastAsia="zh-CN"/>
        </w:rPr>
        <w:t>经济</w:t>
      </w:r>
      <w:r>
        <w:rPr>
          <w:rFonts w:hint="eastAsia" w:cs="仿宋_GB2312"/>
          <w:szCs w:val="28"/>
          <w:lang w:val="en-US" w:eastAsia="zh-CN"/>
        </w:rPr>
        <w:t>成本1</w:t>
      </w:r>
      <w:r>
        <w:rPr>
          <w:rFonts w:hint="eastAsia" w:cs="仿宋_GB2312"/>
          <w:szCs w:val="28"/>
        </w:rPr>
        <w:t>个二级指标。指标分值</w:t>
      </w:r>
      <w:r>
        <w:rPr>
          <w:rFonts w:hint="eastAsia" w:cs="仿宋_GB2312"/>
          <w:szCs w:val="28"/>
          <w:lang w:val="en-US" w:eastAsia="zh-CN"/>
        </w:rPr>
        <w:t>2</w:t>
      </w:r>
      <w:r>
        <w:rPr>
          <w:rFonts w:hint="eastAsia" w:cs="仿宋_GB2312"/>
          <w:szCs w:val="28"/>
        </w:rPr>
        <w:t>0分，自评得分</w:t>
      </w:r>
      <w:r>
        <w:rPr>
          <w:rFonts w:hint="eastAsia" w:cs="仿宋_GB2312"/>
          <w:szCs w:val="28"/>
          <w:lang w:val="en-US" w:eastAsia="zh-CN"/>
        </w:rPr>
        <w:t>2</w:t>
      </w:r>
      <w:r>
        <w:rPr>
          <w:rFonts w:hint="eastAsia" w:cs="仿宋_GB2312"/>
          <w:szCs w:val="28"/>
        </w:rPr>
        <w:t>0分，得分率</w:t>
      </w:r>
      <w:r>
        <w:rPr>
          <w:rFonts w:hint="eastAsia" w:cs="仿宋_GB2312"/>
          <w:szCs w:val="28"/>
          <w:lang w:eastAsia="zh-CN"/>
        </w:rPr>
        <w:t>100.00%</w:t>
      </w:r>
      <w:r>
        <w:rPr>
          <w:rFonts w:hint="eastAsia" w:cs="仿宋_GB2312"/>
          <w:szCs w:val="28"/>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93"/>
        <w:gridCol w:w="1500"/>
        <w:gridCol w:w="1467"/>
        <w:gridCol w:w="1466"/>
        <w:gridCol w:w="717"/>
        <w:gridCol w:w="1233"/>
        <w:gridCol w:w="1093"/>
      </w:tblGrid>
      <w:tr w14:paraId="0624D9E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93" w:type="dxa"/>
            <w:shd w:val="clear" w:color="auto" w:fill="BDD6EE"/>
            <w:vAlign w:val="center"/>
          </w:tcPr>
          <w:p w14:paraId="4287FAEB">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500" w:type="dxa"/>
            <w:shd w:val="clear" w:color="auto" w:fill="BDD6EE"/>
            <w:vAlign w:val="center"/>
          </w:tcPr>
          <w:p w14:paraId="475E8BE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1467" w:type="dxa"/>
            <w:shd w:val="clear" w:color="auto" w:fill="BDD6EE"/>
            <w:vAlign w:val="center"/>
          </w:tcPr>
          <w:p w14:paraId="09B35E1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年度指标值</w:t>
            </w:r>
          </w:p>
        </w:tc>
        <w:tc>
          <w:tcPr>
            <w:tcW w:w="1466" w:type="dxa"/>
            <w:shd w:val="clear" w:color="auto" w:fill="BDD6EE"/>
            <w:vAlign w:val="center"/>
          </w:tcPr>
          <w:p w14:paraId="25B6FDF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实际完成值</w:t>
            </w:r>
          </w:p>
        </w:tc>
        <w:tc>
          <w:tcPr>
            <w:tcW w:w="717" w:type="dxa"/>
            <w:shd w:val="clear" w:color="auto" w:fill="BDD6EE"/>
            <w:vAlign w:val="center"/>
          </w:tcPr>
          <w:p w14:paraId="7AAAEC3C">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233" w:type="dxa"/>
            <w:shd w:val="clear" w:color="auto" w:fill="BDD6EE"/>
            <w:vAlign w:val="center"/>
          </w:tcPr>
          <w:p w14:paraId="63C818C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1093" w:type="dxa"/>
            <w:shd w:val="clear" w:color="auto" w:fill="BDD6EE"/>
            <w:vAlign w:val="center"/>
          </w:tcPr>
          <w:p w14:paraId="6E8A27B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3D0751F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93" w:type="dxa"/>
            <w:vAlign w:val="center"/>
          </w:tcPr>
          <w:p w14:paraId="0F60ECCE">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333333"/>
                <w:kern w:val="0"/>
                <w:sz w:val="22"/>
                <w:szCs w:val="22"/>
                <w:u w:val="none"/>
                <w:lang w:val="en-US" w:eastAsia="zh-CN" w:bidi="ar"/>
              </w:rPr>
              <w:t>经济成本指标</w:t>
            </w:r>
          </w:p>
        </w:tc>
        <w:tc>
          <w:tcPr>
            <w:tcW w:w="1500" w:type="dxa"/>
            <w:vAlign w:val="center"/>
          </w:tcPr>
          <w:p w14:paraId="6CD479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成本控制率</w:t>
            </w:r>
          </w:p>
        </w:tc>
        <w:tc>
          <w:tcPr>
            <w:tcW w:w="1467" w:type="dxa"/>
            <w:vAlign w:val="center"/>
          </w:tcPr>
          <w:p w14:paraId="55F50F0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66" w:type="dxa"/>
            <w:vAlign w:val="center"/>
          </w:tcPr>
          <w:p w14:paraId="07FF717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717" w:type="dxa"/>
            <w:vAlign w:val="center"/>
          </w:tcPr>
          <w:p w14:paraId="58F9C4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20</w:t>
            </w:r>
          </w:p>
        </w:tc>
        <w:tc>
          <w:tcPr>
            <w:tcW w:w="1233" w:type="dxa"/>
            <w:vAlign w:val="center"/>
          </w:tcPr>
          <w:p w14:paraId="1C6475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20.00</w:t>
            </w:r>
          </w:p>
        </w:tc>
        <w:tc>
          <w:tcPr>
            <w:tcW w:w="1093" w:type="dxa"/>
            <w:vAlign w:val="center"/>
          </w:tcPr>
          <w:p w14:paraId="7488A44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41698B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93" w:type="dxa"/>
            <w:shd w:val="clear" w:color="auto" w:fill="BDD6EE"/>
            <w:vAlign w:val="center"/>
          </w:tcPr>
          <w:p w14:paraId="32AC61CC">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500" w:type="dxa"/>
            <w:shd w:val="clear" w:color="auto" w:fill="BDD6EE"/>
            <w:vAlign w:val="center"/>
          </w:tcPr>
          <w:p w14:paraId="2C7CE54E">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238D60C0">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1890986E">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5E81082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14:paraId="5C4D655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14:paraId="7C1587E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41E3C9DA">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成本控制情况：</w:t>
      </w:r>
      <w:r>
        <w:rPr>
          <w:rFonts w:hint="eastAsia" w:hAnsi="宋体"/>
          <w:b w:val="0"/>
          <w:bCs w:val="0"/>
          <w:szCs w:val="28"/>
          <w:lang w:val="en-US" w:eastAsia="zh-CN"/>
        </w:rPr>
        <w:t>我院2023年中央政法转移支付资金成本控制在全年预算数以内，节约经济增长成本，符合年度指标值的要求。该指标分值20分，自评得分为20分，得分率为100.00%。</w:t>
      </w:r>
    </w:p>
    <w:p w14:paraId="48A2A515">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2</w:t>
      </w:r>
      <w:r>
        <w:rPr>
          <w:rFonts w:hint="eastAsia" w:ascii="仿宋_GB2312" w:hAnsi="仿宋_GB2312" w:eastAsia="仿宋_GB2312" w:cs="仿宋_GB2312"/>
          <w:szCs w:val="28"/>
          <w:lang w:eastAsia="zh-CN"/>
        </w:rPr>
        <w:t>）产出指标</w:t>
      </w:r>
    </w:p>
    <w:p w14:paraId="5ABB0F6E">
      <w:pPr>
        <w:ind w:firstLine="560"/>
        <w:jc w:val="left"/>
        <w:rPr>
          <w:rFonts w:hint="eastAsia" w:cs="仿宋_GB2312"/>
          <w:szCs w:val="28"/>
        </w:rPr>
      </w:pPr>
      <w:r>
        <w:rPr>
          <w:rFonts w:hint="eastAsia" w:cs="仿宋_GB2312"/>
          <w:szCs w:val="28"/>
        </w:rPr>
        <w:t>产出指标下设数量、质量、时效和</w:t>
      </w:r>
      <w:r>
        <w:rPr>
          <w:rFonts w:hint="eastAsia" w:cs="仿宋_GB2312"/>
          <w:szCs w:val="28"/>
          <w:lang w:val="en-US" w:eastAsia="zh-CN"/>
        </w:rPr>
        <w:t>3</w:t>
      </w:r>
      <w:r>
        <w:rPr>
          <w:rFonts w:hint="eastAsia" w:cs="仿宋_GB2312"/>
          <w:szCs w:val="28"/>
        </w:rPr>
        <w:t>个二级指标。指标分值</w:t>
      </w:r>
      <w:r>
        <w:rPr>
          <w:rFonts w:hint="eastAsia" w:cs="仿宋_GB2312"/>
          <w:szCs w:val="28"/>
          <w:lang w:val="en-US" w:eastAsia="zh-CN"/>
        </w:rPr>
        <w:t>4</w:t>
      </w:r>
      <w:r>
        <w:rPr>
          <w:rFonts w:hint="eastAsia" w:cs="仿宋_GB2312"/>
          <w:szCs w:val="28"/>
        </w:rPr>
        <w:t>0分，自评得分</w:t>
      </w:r>
      <w:r>
        <w:rPr>
          <w:rFonts w:hint="eastAsia" w:cs="仿宋_GB2312"/>
          <w:szCs w:val="28"/>
          <w:lang w:val="en-US" w:eastAsia="zh-CN"/>
        </w:rPr>
        <w:t>39.9</w:t>
      </w:r>
      <w:r>
        <w:rPr>
          <w:rFonts w:hint="eastAsia" w:cs="仿宋_GB2312"/>
          <w:szCs w:val="28"/>
        </w:rPr>
        <w:t>分，得分率</w:t>
      </w:r>
      <w:r>
        <w:rPr>
          <w:rFonts w:hint="eastAsia" w:cs="仿宋_GB2312"/>
          <w:szCs w:val="28"/>
          <w:lang w:val="en-US" w:eastAsia="zh-CN"/>
        </w:rPr>
        <w:t>99.75%</w:t>
      </w:r>
      <w:r>
        <w:rPr>
          <w:rFonts w:hint="eastAsia" w:cs="仿宋_GB2312"/>
          <w:szCs w:val="28"/>
        </w:rPr>
        <w:t>。</w:t>
      </w:r>
    </w:p>
    <w:tbl>
      <w:tblPr>
        <w:tblStyle w:val="24"/>
        <w:tblW w:w="906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818"/>
        <w:gridCol w:w="2925"/>
        <w:gridCol w:w="1375"/>
        <w:gridCol w:w="1375"/>
        <w:gridCol w:w="750"/>
        <w:gridCol w:w="812"/>
        <w:gridCol w:w="1014"/>
      </w:tblGrid>
      <w:tr w14:paraId="6DBDADE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818" w:type="dxa"/>
            <w:shd w:val="clear" w:color="auto" w:fill="BDD6EE"/>
            <w:vAlign w:val="center"/>
          </w:tcPr>
          <w:p w14:paraId="32CB163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925" w:type="dxa"/>
            <w:shd w:val="clear" w:color="auto" w:fill="BDD6EE"/>
            <w:vAlign w:val="center"/>
          </w:tcPr>
          <w:p w14:paraId="0748096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1375" w:type="dxa"/>
            <w:shd w:val="clear" w:color="auto" w:fill="BDD6EE"/>
            <w:vAlign w:val="center"/>
          </w:tcPr>
          <w:p w14:paraId="0002071F">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年度指标值</w:t>
            </w:r>
          </w:p>
        </w:tc>
        <w:tc>
          <w:tcPr>
            <w:tcW w:w="1375" w:type="dxa"/>
            <w:shd w:val="clear" w:color="auto" w:fill="BDD6EE"/>
            <w:vAlign w:val="center"/>
          </w:tcPr>
          <w:p w14:paraId="4B2AE05B">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实际完成值</w:t>
            </w:r>
          </w:p>
        </w:tc>
        <w:tc>
          <w:tcPr>
            <w:tcW w:w="750" w:type="dxa"/>
            <w:shd w:val="clear" w:color="auto" w:fill="BDD6EE"/>
            <w:vAlign w:val="center"/>
          </w:tcPr>
          <w:p w14:paraId="6E210797">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812" w:type="dxa"/>
            <w:shd w:val="clear" w:color="auto" w:fill="BDD6EE"/>
            <w:vAlign w:val="center"/>
          </w:tcPr>
          <w:p w14:paraId="34D3BFD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1014" w:type="dxa"/>
            <w:shd w:val="clear" w:color="auto" w:fill="BDD6EE"/>
            <w:vAlign w:val="center"/>
          </w:tcPr>
          <w:p w14:paraId="5D1C507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6F5B0F0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541" w:hRule="atLeast"/>
          <w:tblHeader/>
        </w:trPr>
        <w:tc>
          <w:tcPr>
            <w:tcW w:w="818" w:type="dxa"/>
            <w:vMerge w:val="restart"/>
            <w:vAlign w:val="center"/>
          </w:tcPr>
          <w:p w14:paraId="7AC1B18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数量</w:t>
            </w:r>
          </w:p>
          <w:p w14:paraId="3725610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指标</w:t>
            </w:r>
          </w:p>
        </w:tc>
        <w:tc>
          <w:tcPr>
            <w:tcW w:w="2925" w:type="dxa"/>
            <w:vAlign w:val="center"/>
          </w:tcPr>
          <w:p w14:paraId="7FBE8F6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购置设备数量</w:t>
            </w:r>
          </w:p>
        </w:tc>
        <w:tc>
          <w:tcPr>
            <w:tcW w:w="1375" w:type="dxa"/>
            <w:vAlign w:val="center"/>
          </w:tcPr>
          <w:p w14:paraId="7BF1BD6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402台（套）</w:t>
            </w:r>
          </w:p>
        </w:tc>
        <w:tc>
          <w:tcPr>
            <w:tcW w:w="1375" w:type="dxa"/>
            <w:vAlign w:val="center"/>
          </w:tcPr>
          <w:p w14:paraId="6CC77A2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400台（套）</w:t>
            </w:r>
          </w:p>
        </w:tc>
        <w:tc>
          <w:tcPr>
            <w:tcW w:w="750" w:type="dxa"/>
            <w:vAlign w:val="center"/>
          </w:tcPr>
          <w:p w14:paraId="5A45D5C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812" w:type="dxa"/>
            <w:vAlign w:val="center"/>
          </w:tcPr>
          <w:p w14:paraId="1344CEF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 xml:space="preserve">4.00 </w:t>
            </w:r>
          </w:p>
        </w:tc>
        <w:tc>
          <w:tcPr>
            <w:tcW w:w="1014" w:type="dxa"/>
            <w:vAlign w:val="center"/>
          </w:tcPr>
          <w:p w14:paraId="6647BDA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6341A73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541" w:hRule="atLeast"/>
          <w:tblHeader/>
        </w:trPr>
        <w:tc>
          <w:tcPr>
            <w:tcW w:w="818" w:type="dxa"/>
            <w:vMerge w:val="continue"/>
            <w:vAlign w:val="center"/>
          </w:tcPr>
          <w:p w14:paraId="5D3374A5">
            <w:pPr>
              <w:jc w:val="center"/>
              <w:rPr>
                <w:rFonts w:hint="eastAsia" w:ascii="宋体" w:hAnsi="宋体" w:eastAsia="宋体" w:cs="宋体"/>
                <w:i w:val="0"/>
                <w:iCs w:val="0"/>
                <w:color w:val="000000"/>
                <w:kern w:val="0"/>
                <w:sz w:val="22"/>
                <w:szCs w:val="22"/>
                <w:u w:val="none"/>
                <w:lang w:val="en-US" w:eastAsia="zh-CN" w:bidi="ar"/>
              </w:rPr>
            </w:pPr>
          </w:p>
        </w:tc>
        <w:tc>
          <w:tcPr>
            <w:tcW w:w="2925" w:type="dxa"/>
            <w:vAlign w:val="center"/>
          </w:tcPr>
          <w:p w14:paraId="32B15CE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民商事案件结案率</w:t>
            </w:r>
          </w:p>
        </w:tc>
        <w:tc>
          <w:tcPr>
            <w:tcW w:w="1375" w:type="dxa"/>
            <w:vAlign w:val="center"/>
          </w:tcPr>
          <w:p w14:paraId="3340480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375" w:type="dxa"/>
            <w:vAlign w:val="center"/>
          </w:tcPr>
          <w:p w14:paraId="0725A4A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95.51%</w:t>
            </w:r>
          </w:p>
        </w:tc>
        <w:tc>
          <w:tcPr>
            <w:tcW w:w="750" w:type="dxa"/>
            <w:vAlign w:val="center"/>
          </w:tcPr>
          <w:p w14:paraId="2ABDA96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812" w:type="dxa"/>
            <w:vAlign w:val="center"/>
          </w:tcPr>
          <w:p w14:paraId="189916A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 xml:space="preserve">4.00 </w:t>
            </w:r>
          </w:p>
        </w:tc>
        <w:tc>
          <w:tcPr>
            <w:tcW w:w="1014" w:type="dxa"/>
            <w:vAlign w:val="center"/>
          </w:tcPr>
          <w:p w14:paraId="36B6B7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7DFC0CD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541" w:hRule="atLeast"/>
          <w:tblHeader/>
        </w:trPr>
        <w:tc>
          <w:tcPr>
            <w:tcW w:w="818" w:type="dxa"/>
            <w:vMerge w:val="continue"/>
            <w:vAlign w:val="center"/>
          </w:tcPr>
          <w:p w14:paraId="7CB1DCA9">
            <w:pPr>
              <w:jc w:val="center"/>
              <w:rPr>
                <w:rFonts w:hint="eastAsia" w:ascii="宋体" w:hAnsi="宋体" w:eastAsia="宋体" w:cs="宋体"/>
                <w:i w:val="0"/>
                <w:iCs w:val="0"/>
                <w:color w:val="333333"/>
                <w:kern w:val="0"/>
                <w:sz w:val="22"/>
                <w:szCs w:val="22"/>
                <w:u w:val="none"/>
                <w:lang w:val="en-US" w:eastAsia="zh-CN" w:bidi="ar"/>
              </w:rPr>
            </w:pPr>
          </w:p>
        </w:tc>
        <w:tc>
          <w:tcPr>
            <w:tcW w:w="2925" w:type="dxa"/>
            <w:vAlign w:val="center"/>
          </w:tcPr>
          <w:p w14:paraId="7E8F147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刑事案件结案率</w:t>
            </w:r>
          </w:p>
        </w:tc>
        <w:tc>
          <w:tcPr>
            <w:tcW w:w="1375" w:type="dxa"/>
            <w:vAlign w:val="center"/>
          </w:tcPr>
          <w:p w14:paraId="3F184EE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375" w:type="dxa"/>
            <w:vAlign w:val="center"/>
          </w:tcPr>
          <w:p w14:paraId="09D7DE1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96.82%</w:t>
            </w:r>
          </w:p>
        </w:tc>
        <w:tc>
          <w:tcPr>
            <w:tcW w:w="750" w:type="dxa"/>
            <w:vAlign w:val="center"/>
          </w:tcPr>
          <w:p w14:paraId="06713BD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812" w:type="dxa"/>
            <w:vAlign w:val="center"/>
          </w:tcPr>
          <w:p w14:paraId="480B577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 xml:space="preserve">4.00 </w:t>
            </w:r>
          </w:p>
        </w:tc>
        <w:tc>
          <w:tcPr>
            <w:tcW w:w="1014" w:type="dxa"/>
            <w:vAlign w:val="center"/>
          </w:tcPr>
          <w:p w14:paraId="2047BA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F65EB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541" w:hRule="atLeast"/>
          <w:tblHeader/>
        </w:trPr>
        <w:tc>
          <w:tcPr>
            <w:tcW w:w="818" w:type="dxa"/>
            <w:vMerge w:val="continue"/>
            <w:vAlign w:val="center"/>
          </w:tcPr>
          <w:p w14:paraId="7930D8D4">
            <w:pPr>
              <w:jc w:val="center"/>
              <w:rPr>
                <w:rFonts w:hint="eastAsia" w:ascii="宋体" w:hAnsi="宋体" w:eastAsia="宋体" w:cs="宋体"/>
                <w:i w:val="0"/>
                <w:iCs w:val="0"/>
                <w:color w:val="333333"/>
                <w:kern w:val="0"/>
                <w:sz w:val="22"/>
                <w:szCs w:val="22"/>
                <w:u w:val="none"/>
                <w:lang w:val="en-US" w:eastAsia="zh-CN" w:bidi="ar"/>
              </w:rPr>
            </w:pPr>
          </w:p>
        </w:tc>
        <w:tc>
          <w:tcPr>
            <w:tcW w:w="2925" w:type="dxa"/>
            <w:vAlign w:val="center"/>
          </w:tcPr>
          <w:p w14:paraId="5A82EFE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行政案件结案率</w:t>
            </w:r>
          </w:p>
        </w:tc>
        <w:tc>
          <w:tcPr>
            <w:tcW w:w="1375" w:type="dxa"/>
            <w:vAlign w:val="center"/>
          </w:tcPr>
          <w:p w14:paraId="7DC8AAE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375" w:type="dxa"/>
            <w:vAlign w:val="center"/>
          </w:tcPr>
          <w:p w14:paraId="5A5F75A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95.45%</w:t>
            </w:r>
          </w:p>
        </w:tc>
        <w:tc>
          <w:tcPr>
            <w:tcW w:w="750" w:type="dxa"/>
            <w:vAlign w:val="center"/>
          </w:tcPr>
          <w:p w14:paraId="36BFDB1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812" w:type="dxa"/>
            <w:vAlign w:val="center"/>
          </w:tcPr>
          <w:p w14:paraId="7636DB7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 xml:space="preserve">4.00 </w:t>
            </w:r>
          </w:p>
        </w:tc>
        <w:tc>
          <w:tcPr>
            <w:tcW w:w="1014" w:type="dxa"/>
            <w:vAlign w:val="center"/>
          </w:tcPr>
          <w:p w14:paraId="76415C4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30F0EF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525" w:hRule="atLeast"/>
          <w:tblHeader/>
        </w:trPr>
        <w:tc>
          <w:tcPr>
            <w:tcW w:w="818" w:type="dxa"/>
            <w:vMerge w:val="continue"/>
            <w:vAlign w:val="center"/>
          </w:tcPr>
          <w:p w14:paraId="71638931">
            <w:pPr>
              <w:jc w:val="center"/>
              <w:rPr>
                <w:rFonts w:hint="eastAsia" w:ascii="宋体" w:hAnsi="宋体" w:eastAsia="宋体" w:cs="宋体"/>
                <w:i w:val="0"/>
                <w:iCs w:val="0"/>
                <w:color w:val="000000"/>
                <w:kern w:val="0"/>
                <w:sz w:val="22"/>
                <w:szCs w:val="22"/>
                <w:u w:val="none"/>
                <w:lang w:val="en-US" w:eastAsia="zh-CN" w:bidi="ar"/>
              </w:rPr>
            </w:pPr>
          </w:p>
        </w:tc>
        <w:tc>
          <w:tcPr>
            <w:tcW w:w="2925" w:type="dxa"/>
            <w:vAlign w:val="center"/>
          </w:tcPr>
          <w:p w14:paraId="1622F9A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执行案件结案率</w:t>
            </w:r>
          </w:p>
        </w:tc>
        <w:tc>
          <w:tcPr>
            <w:tcW w:w="1375" w:type="dxa"/>
            <w:vAlign w:val="center"/>
          </w:tcPr>
          <w:p w14:paraId="6D924C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&gt;=80%</w:t>
            </w:r>
          </w:p>
        </w:tc>
        <w:tc>
          <w:tcPr>
            <w:tcW w:w="1375" w:type="dxa"/>
            <w:vAlign w:val="center"/>
          </w:tcPr>
          <w:p w14:paraId="3E7F0A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98.29%</w:t>
            </w:r>
          </w:p>
        </w:tc>
        <w:tc>
          <w:tcPr>
            <w:tcW w:w="750" w:type="dxa"/>
            <w:vAlign w:val="center"/>
          </w:tcPr>
          <w:p w14:paraId="1C090B7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812" w:type="dxa"/>
            <w:vAlign w:val="center"/>
          </w:tcPr>
          <w:p w14:paraId="2CB5541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 xml:space="preserve">4.00 </w:t>
            </w:r>
          </w:p>
        </w:tc>
        <w:tc>
          <w:tcPr>
            <w:tcW w:w="1014" w:type="dxa"/>
            <w:vAlign w:val="center"/>
          </w:tcPr>
          <w:p w14:paraId="27D9794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0BE2BE7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818" w:type="dxa"/>
            <w:vMerge w:val="restart"/>
            <w:vAlign w:val="center"/>
          </w:tcPr>
          <w:p w14:paraId="0ECCF4D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质量指标</w:t>
            </w:r>
          </w:p>
        </w:tc>
        <w:tc>
          <w:tcPr>
            <w:tcW w:w="2925" w:type="dxa"/>
            <w:vAlign w:val="center"/>
          </w:tcPr>
          <w:p w14:paraId="4505B4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二审改判率</w:t>
            </w:r>
          </w:p>
        </w:tc>
        <w:tc>
          <w:tcPr>
            <w:tcW w:w="1375" w:type="dxa"/>
            <w:vAlign w:val="center"/>
          </w:tcPr>
          <w:p w14:paraId="6096AE6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&lt;=18%</w:t>
            </w:r>
          </w:p>
        </w:tc>
        <w:tc>
          <w:tcPr>
            <w:tcW w:w="1375" w:type="dxa"/>
            <w:vAlign w:val="center"/>
          </w:tcPr>
          <w:p w14:paraId="0DFCCEC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10.47%</w:t>
            </w:r>
          </w:p>
        </w:tc>
        <w:tc>
          <w:tcPr>
            <w:tcW w:w="750" w:type="dxa"/>
            <w:vAlign w:val="center"/>
          </w:tcPr>
          <w:p w14:paraId="4333AFE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812" w:type="dxa"/>
            <w:vAlign w:val="center"/>
          </w:tcPr>
          <w:p w14:paraId="001E8C7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 xml:space="preserve">3.90 </w:t>
            </w:r>
          </w:p>
        </w:tc>
        <w:tc>
          <w:tcPr>
            <w:tcW w:w="1014" w:type="dxa"/>
            <w:vAlign w:val="center"/>
          </w:tcPr>
          <w:p w14:paraId="6004655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97.5%</w:t>
            </w:r>
          </w:p>
        </w:tc>
      </w:tr>
      <w:tr w14:paraId="05A4993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818" w:type="dxa"/>
            <w:vMerge w:val="continue"/>
            <w:vAlign w:val="center"/>
          </w:tcPr>
          <w:p w14:paraId="18F06483">
            <w:pPr>
              <w:jc w:val="center"/>
              <w:rPr>
                <w:rFonts w:hint="eastAsia" w:ascii="宋体" w:hAnsi="宋体" w:eastAsia="宋体" w:cs="宋体"/>
                <w:i w:val="0"/>
                <w:iCs w:val="0"/>
                <w:color w:val="333333"/>
                <w:kern w:val="0"/>
                <w:sz w:val="22"/>
                <w:szCs w:val="22"/>
                <w:u w:val="none"/>
                <w:lang w:val="en-US" w:eastAsia="zh-CN" w:bidi="ar"/>
              </w:rPr>
            </w:pPr>
          </w:p>
        </w:tc>
        <w:tc>
          <w:tcPr>
            <w:tcW w:w="2925" w:type="dxa"/>
            <w:vAlign w:val="center"/>
          </w:tcPr>
          <w:p w14:paraId="5B40909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购置设备质量验收合格率</w:t>
            </w:r>
          </w:p>
        </w:tc>
        <w:tc>
          <w:tcPr>
            <w:tcW w:w="1375" w:type="dxa"/>
            <w:vAlign w:val="center"/>
          </w:tcPr>
          <w:p w14:paraId="579314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375" w:type="dxa"/>
            <w:vAlign w:val="center"/>
          </w:tcPr>
          <w:p w14:paraId="6BDA8C1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50" w:type="dxa"/>
            <w:vAlign w:val="center"/>
          </w:tcPr>
          <w:p w14:paraId="07DAE3C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812" w:type="dxa"/>
            <w:vAlign w:val="center"/>
          </w:tcPr>
          <w:p w14:paraId="3DC51AE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 xml:space="preserve">4.00 </w:t>
            </w:r>
          </w:p>
        </w:tc>
        <w:tc>
          <w:tcPr>
            <w:tcW w:w="1014" w:type="dxa"/>
            <w:vAlign w:val="center"/>
          </w:tcPr>
          <w:p w14:paraId="5983D4F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3BD6F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818" w:type="dxa"/>
            <w:vMerge w:val="restart"/>
            <w:vAlign w:val="center"/>
          </w:tcPr>
          <w:p w14:paraId="1929471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时效</w:t>
            </w:r>
          </w:p>
          <w:p w14:paraId="64CD00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指标</w:t>
            </w:r>
          </w:p>
        </w:tc>
        <w:tc>
          <w:tcPr>
            <w:tcW w:w="2925" w:type="dxa"/>
            <w:vAlign w:val="center"/>
          </w:tcPr>
          <w:p w14:paraId="7907A68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采购工作完成及时性</w:t>
            </w:r>
          </w:p>
        </w:tc>
        <w:tc>
          <w:tcPr>
            <w:tcW w:w="1375" w:type="dxa"/>
            <w:vAlign w:val="center"/>
          </w:tcPr>
          <w:p w14:paraId="384AEF3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375" w:type="dxa"/>
            <w:vAlign w:val="center"/>
          </w:tcPr>
          <w:p w14:paraId="3FB1A9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50" w:type="dxa"/>
            <w:vAlign w:val="center"/>
          </w:tcPr>
          <w:p w14:paraId="59C043B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812" w:type="dxa"/>
            <w:vAlign w:val="center"/>
          </w:tcPr>
          <w:p w14:paraId="34156E6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 xml:space="preserve">4.00 </w:t>
            </w:r>
          </w:p>
        </w:tc>
        <w:tc>
          <w:tcPr>
            <w:tcW w:w="1014" w:type="dxa"/>
            <w:vAlign w:val="center"/>
          </w:tcPr>
          <w:p w14:paraId="2C1E6D3D">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4A5C13C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818" w:type="dxa"/>
            <w:vMerge w:val="continue"/>
            <w:vAlign w:val="center"/>
          </w:tcPr>
          <w:p w14:paraId="6C15AC5E">
            <w:pPr>
              <w:jc w:val="center"/>
              <w:rPr>
                <w:rFonts w:hint="eastAsia" w:ascii="宋体" w:hAnsi="宋体" w:eastAsia="宋体" w:cs="宋体"/>
                <w:i w:val="0"/>
                <w:iCs w:val="0"/>
                <w:color w:val="333333"/>
                <w:kern w:val="0"/>
                <w:sz w:val="22"/>
                <w:szCs w:val="22"/>
                <w:u w:val="none"/>
                <w:lang w:val="en-US" w:eastAsia="zh-CN" w:bidi="ar"/>
              </w:rPr>
            </w:pPr>
          </w:p>
        </w:tc>
        <w:tc>
          <w:tcPr>
            <w:tcW w:w="2925" w:type="dxa"/>
            <w:vAlign w:val="center"/>
          </w:tcPr>
          <w:p w14:paraId="483E63B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法定审限内结案率</w:t>
            </w:r>
          </w:p>
        </w:tc>
        <w:tc>
          <w:tcPr>
            <w:tcW w:w="1375" w:type="dxa"/>
            <w:vAlign w:val="center"/>
          </w:tcPr>
          <w:p w14:paraId="3F42431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375" w:type="dxa"/>
            <w:vAlign w:val="center"/>
          </w:tcPr>
          <w:p w14:paraId="0EAA028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95.61%</w:t>
            </w:r>
          </w:p>
        </w:tc>
        <w:tc>
          <w:tcPr>
            <w:tcW w:w="750" w:type="dxa"/>
            <w:vAlign w:val="center"/>
          </w:tcPr>
          <w:p w14:paraId="664A724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812" w:type="dxa"/>
            <w:vAlign w:val="center"/>
          </w:tcPr>
          <w:p w14:paraId="53534B3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 xml:space="preserve">4.00 </w:t>
            </w:r>
          </w:p>
        </w:tc>
        <w:tc>
          <w:tcPr>
            <w:tcW w:w="1014" w:type="dxa"/>
            <w:vAlign w:val="center"/>
          </w:tcPr>
          <w:p w14:paraId="61F97AF2">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166744D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818" w:type="dxa"/>
            <w:vMerge w:val="continue"/>
            <w:vAlign w:val="center"/>
          </w:tcPr>
          <w:p w14:paraId="3555E4F3">
            <w:pPr>
              <w:jc w:val="center"/>
              <w:rPr>
                <w:rFonts w:hint="eastAsia" w:ascii="宋体" w:hAnsi="宋体" w:eastAsia="宋体" w:cs="宋体"/>
                <w:i w:val="0"/>
                <w:iCs w:val="0"/>
                <w:color w:val="000000"/>
                <w:kern w:val="0"/>
                <w:sz w:val="22"/>
                <w:szCs w:val="22"/>
                <w:u w:val="none"/>
                <w:lang w:val="en-US" w:eastAsia="zh-CN" w:bidi="ar"/>
              </w:rPr>
            </w:pPr>
          </w:p>
        </w:tc>
        <w:tc>
          <w:tcPr>
            <w:tcW w:w="2925" w:type="dxa"/>
            <w:vAlign w:val="center"/>
          </w:tcPr>
          <w:p w14:paraId="1E64113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项目资金下达及时性</w:t>
            </w:r>
          </w:p>
        </w:tc>
        <w:tc>
          <w:tcPr>
            <w:tcW w:w="1375" w:type="dxa"/>
            <w:vAlign w:val="center"/>
          </w:tcPr>
          <w:p w14:paraId="58ED68F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375" w:type="dxa"/>
            <w:vAlign w:val="center"/>
          </w:tcPr>
          <w:p w14:paraId="3C8E17A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50" w:type="dxa"/>
            <w:vAlign w:val="center"/>
          </w:tcPr>
          <w:p w14:paraId="0C381D7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812" w:type="dxa"/>
            <w:vAlign w:val="center"/>
          </w:tcPr>
          <w:p w14:paraId="695A306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 xml:space="preserve">4.00 </w:t>
            </w:r>
          </w:p>
        </w:tc>
        <w:tc>
          <w:tcPr>
            <w:tcW w:w="1014" w:type="dxa"/>
            <w:vAlign w:val="center"/>
          </w:tcPr>
          <w:p w14:paraId="01DF3547">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7E01B58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818" w:type="dxa"/>
            <w:shd w:val="clear" w:color="auto" w:fill="BDD6EE"/>
            <w:vAlign w:val="center"/>
          </w:tcPr>
          <w:p w14:paraId="100470F0">
            <w:pPr>
              <w:keepNext w:val="0"/>
              <w:keepLines w:val="0"/>
              <w:widowControl/>
              <w:suppressLineNumbers w:val="0"/>
              <w:ind w:left="0" w:leftChars="0" w:firstLine="0" w:firstLineChars="0"/>
              <w:jc w:val="both"/>
              <w:textAlignment w:val="center"/>
              <w:rPr>
                <w:rFonts w:hint="eastAsia" w:ascii="宋体" w:hAnsi="宋体" w:eastAsia="宋体" w:cs="宋体"/>
                <w:b/>
                <w:bCs/>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925" w:type="dxa"/>
            <w:shd w:val="clear" w:color="auto" w:fill="BDD6EE"/>
            <w:vAlign w:val="center"/>
          </w:tcPr>
          <w:p w14:paraId="794ED21A">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bCs/>
                <w:color w:val="000000"/>
                <w:kern w:val="0"/>
                <w:sz w:val="22"/>
                <w:szCs w:val="22"/>
                <w:highlight w:val="none"/>
                <w:lang w:val="en-US" w:eastAsia="zh-CN" w:bidi="ar-SA"/>
              </w:rPr>
            </w:pPr>
          </w:p>
        </w:tc>
        <w:tc>
          <w:tcPr>
            <w:tcW w:w="1375" w:type="dxa"/>
            <w:shd w:val="clear" w:color="auto" w:fill="BDD6EE"/>
            <w:vAlign w:val="center"/>
          </w:tcPr>
          <w:p w14:paraId="59B7BDA4">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bCs/>
                <w:color w:val="000000"/>
                <w:kern w:val="0"/>
                <w:sz w:val="22"/>
                <w:szCs w:val="22"/>
                <w:highlight w:val="none"/>
                <w:lang w:val="en-US" w:eastAsia="zh-CN" w:bidi="ar-SA"/>
              </w:rPr>
            </w:pPr>
          </w:p>
        </w:tc>
        <w:tc>
          <w:tcPr>
            <w:tcW w:w="1375" w:type="dxa"/>
            <w:shd w:val="clear" w:color="auto" w:fill="BDD6EE"/>
            <w:vAlign w:val="center"/>
          </w:tcPr>
          <w:p w14:paraId="6C12A088">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bCs/>
                <w:color w:val="000000"/>
                <w:kern w:val="0"/>
                <w:sz w:val="22"/>
                <w:szCs w:val="22"/>
                <w:highlight w:val="none"/>
                <w:lang w:val="en-US" w:eastAsia="zh-CN" w:bidi="ar-SA"/>
              </w:rPr>
            </w:pPr>
          </w:p>
        </w:tc>
        <w:tc>
          <w:tcPr>
            <w:tcW w:w="750" w:type="dxa"/>
            <w:shd w:val="clear" w:color="auto" w:fill="BDD6EE"/>
            <w:vAlign w:val="center"/>
          </w:tcPr>
          <w:p w14:paraId="139F287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bCs/>
                <w:color w:val="000000"/>
                <w:kern w:val="0"/>
                <w:sz w:val="22"/>
                <w:szCs w:val="22"/>
                <w:highlight w:val="none"/>
                <w:lang w:val="en-US" w:eastAsia="zh-CN" w:bidi="ar-SA"/>
              </w:rPr>
            </w:pPr>
            <w:r>
              <w:rPr>
                <w:rFonts w:hint="eastAsia" w:ascii="宋体" w:hAnsi="宋体" w:eastAsia="宋体" w:cs="宋体"/>
                <w:b/>
                <w:bCs/>
                <w:color w:val="000000"/>
                <w:kern w:val="0"/>
                <w:sz w:val="22"/>
                <w:szCs w:val="22"/>
                <w:highlight w:val="none"/>
                <w:lang w:val="en-US" w:eastAsia="zh-CN" w:bidi="ar-SA"/>
              </w:rPr>
              <w:t>40</w:t>
            </w:r>
          </w:p>
        </w:tc>
        <w:tc>
          <w:tcPr>
            <w:tcW w:w="812" w:type="dxa"/>
            <w:shd w:val="clear" w:color="auto" w:fill="BDD6EE"/>
            <w:vAlign w:val="center"/>
          </w:tcPr>
          <w:p w14:paraId="434E075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bCs/>
                <w:color w:val="000000"/>
                <w:kern w:val="0"/>
                <w:sz w:val="22"/>
                <w:szCs w:val="22"/>
                <w:highlight w:val="none"/>
                <w:lang w:val="en-US" w:eastAsia="zh-CN" w:bidi="ar-SA"/>
              </w:rPr>
            </w:pPr>
            <w:r>
              <w:rPr>
                <w:rFonts w:hint="eastAsia" w:ascii="宋体" w:hAnsi="宋体" w:eastAsia="宋体" w:cs="宋体"/>
                <w:b/>
                <w:bCs/>
                <w:color w:val="000000"/>
                <w:kern w:val="0"/>
                <w:sz w:val="22"/>
                <w:szCs w:val="22"/>
                <w:highlight w:val="none"/>
                <w:lang w:val="en-US" w:eastAsia="zh-CN" w:bidi="ar-SA"/>
              </w:rPr>
              <w:t>39.9</w:t>
            </w:r>
          </w:p>
        </w:tc>
        <w:tc>
          <w:tcPr>
            <w:tcW w:w="1014" w:type="dxa"/>
            <w:shd w:val="clear" w:color="auto" w:fill="BDD6EE"/>
            <w:vAlign w:val="center"/>
          </w:tcPr>
          <w:p w14:paraId="18B1230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bCs/>
                <w:kern w:val="0"/>
                <w:sz w:val="22"/>
                <w:szCs w:val="22"/>
                <w:highlight w:val="none"/>
                <w:lang w:val="en-US" w:eastAsia="zh-CN" w:bidi="ar-SA"/>
              </w:rPr>
            </w:pPr>
            <w:r>
              <w:rPr>
                <w:rFonts w:hint="eastAsia" w:ascii="宋体" w:hAnsi="宋体" w:eastAsia="宋体" w:cs="宋体"/>
                <w:b/>
                <w:bCs/>
                <w:kern w:val="0"/>
                <w:sz w:val="22"/>
                <w:szCs w:val="22"/>
                <w:highlight w:val="none"/>
                <w:lang w:val="en-US" w:eastAsia="zh-CN" w:bidi="ar-SA"/>
              </w:rPr>
              <w:t>99.75%</w:t>
            </w:r>
          </w:p>
        </w:tc>
      </w:tr>
    </w:tbl>
    <w:p w14:paraId="12A6D467">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rPr>
      </w:pPr>
      <w:r>
        <w:rPr>
          <w:rFonts w:hint="eastAsia" w:hAnsi="宋体"/>
          <w:b/>
          <w:bCs/>
          <w:szCs w:val="28"/>
          <w:lang w:val="en-US" w:eastAsia="zh-CN"/>
        </w:rPr>
        <w:t>购置设备数量</w:t>
      </w:r>
      <w:r>
        <w:rPr>
          <w:rFonts w:hint="eastAsia" w:hAnsi="宋体"/>
          <w:b/>
          <w:bCs/>
          <w:szCs w:val="28"/>
        </w:rPr>
        <w:t>：</w:t>
      </w:r>
      <w:r>
        <w:rPr>
          <w:rFonts w:hint="eastAsia" w:hAnsi="宋体"/>
          <w:b w:val="0"/>
          <w:bCs w:val="0"/>
          <w:szCs w:val="28"/>
        </w:rPr>
        <w:t>我院本年度共</w:t>
      </w:r>
      <w:r>
        <w:rPr>
          <w:rFonts w:hint="eastAsia" w:hAnsi="宋体"/>
          <w:b w:val="0"/>
          <w:bCs w:val="0"/>
          <w:szCs w:val="28"/>
          <w:lang w:val="en-US" w:eastAsia="zh-CN"/>
        </w:rPr>
        <w:t>购置设备400</w:t>
      </w:r>
      <w:r>
        <w:rPr>
          <w:rFonts w:hint="eastAsia" w:hAnsi="宋体"/>
          <w:b w:val="0"/>
          <w:bCs w:val="0"/>
          <w:szCs w:val="28"/>
        </w:rPr>
        <w:t>台（套），年度指标值</w:t>
      </w:r>
      <w:r>
        <w:rPr>
          <w:rFonts w:hint="eastAsia" w:hAnsi="宋体"/>
          <w:b w:val="0"/>
          <w:bCs w:val="0"/>
          <w:szCs w:val="28"/>
          <w:lang w:val="en-US" w:eastAsia="zh-CN"/>
        </w:rPr>
        <w:t>402</w:t>
      </w:r>
      <w:r>
        <w:rPr>
          <w:rFonts w:hint="eastAsia" w:hAnsi="宋体"/>
          <w:b w:val="0"/>
          <w:bCs w:val="0"/>
          <w:szCs w:val="28"/>
        </w:rPr>
        <w:t>台（套），该指标分值</w:t>
      </w:r>
      <w:r>
        <w:rPr>
          <w:rFonts w:hint="eastAsia" w:hAnsi="宋体"/>
          <w:b w:val="0"/>
          <w:bCs w:val="0"/>
          <w:szCs w:val="28"/>
          <w:lang w:val="en-US" w:eastAsia="zh-CN"/>
        </w:rPr>
        <w:t>4</w:t>
      </w:r>
      <w:r>
        <w:rPr>
          <w:rFonts w:hint="eastAsia" w:hAnsi="宋体"/>
          <w:b w:val="0"/>
          <w:bCs w:val="0"/>
          <w:szCs w:val="28"/>
        </w:rPr>
        <w:t>分，自评得分为</w:t>
      </w:r>
      <w:r>
        <w:rPr>
          <w:rFonts w:hint="eastAsia" w:hAnsi="宋体"/>
          <w:b w:val="0"/>
          <w:bCs w:val="0"/>
          <w:szCs w:val="28"/>
          <w:lang w:val="en-US" w:eastAsia="zh-CN"/>
        </w:rPr>
        <w:t>4</w:t>
      </w:r>
      <w:r>
        <w:rPr>
          <w:rFonts w:hint="eastAsia" w:hAnsi="宋体"/>
          <w:b w:val="0"/>
          <w:bCs w:val="0"/>
          <w:szCs w:val="28"/>
        </w:rPr>
        <w:t>分，得分率为</w:t>
      </w:r>
      <w:r>
        <w:rPr>
          <w:rFonts w:hint="eastAsia" w:hAnsi="宋体"/>
          <w:b w:val="0"/>
          <w:bCs w:val="0"/>
          <w:szCs w:val="28"/>
          <w:lang w:val="en-US" w:eastAsia="zh-CN"/>
        </w:rPr>
        <w:t>100.00%</w:t>
      </w:r>
      <w:r>
        <w:rPr>
          <w:rFonts w:hint="eastAsia" w:hAnsi="宋体"/>
          <w:b w:val="0"/>
          <w:bCs w:val="0"/>
          <w:szCs w:val="28"/>
        </w:rPr>
        <w:t>。</w:t>
      </w:r>
    </w:p>
    <w:p w14:paraId="45614B3D">
      <w:pPr>
        <w:ind w:firstLine="562"/>
      </w:pPr>
      <w:r>
        <w:rPr>
          <w:rFonts w:hint="eastAsia"/>
          <w:b/>
          <w:bCs/>
        </w:rPr>
        <w:t>民商事案件结案率：</w:t>
      </w:r>
      <w:r>
        <w:rPr>
          <w:rFonts w:hint="eastAsia"/>
        </w:rPr>
        <w:t>我院民商事案件</w:t>
      </w:r>
      <w:r>
        <w:rPr>
          <w:rFonts w:hint="eastAsia"/>
          <w:lang w:val="en-US" w:eastAsia="zh-CN"/>
        </w:rPr>
        <w:t>结案率为95.51%</w:t>
      </w:r>
      <w:r>
        <w:rPr>
          <w:rFonts w:hint="eastAsia"/>
        </w:rPr>
        <w:t>，年度指标值大于</w:t>
      </w:r>
      <w:r>
        <w:rPr>
          <w:rFonts w:hint="eastAsia"/>
          <w:lang w:val="en-US" w:eastAsia="zh-CN"/>
        </w:rPr>
        <w:t>90%</w:t>
      </w:r>
      <w:r>
        <w:rPr>
          <w:rFonts w:hint="eastAsia"/>
          <w:lang w:eastAsia="zh-CN"/>
        </w:rPr>
        <w:t>。</w:t>
      </w:r>
      <w:r>
        <w:rPr>
          <w:rFonts w:hint="eastAsia"/>
        </w:rPr>
        <w:t>该指标分值</w:t>
      </w:r>
      <w:r>
        <w:rPr>
          <w:rFonts w:hint="eastAsia"/>
          <w:lang w:val="en-US" w:eastAsia="zh-CN"/>
        </w:rPr>
        <w:t>4</w:t>
      </w:r>
      <w:r>
        <w:rPr>
          <w:rFonts w:hint="eastAsia"/>
        </w:rPr>
        <w:t>分，自评得分</w:t>
      </w:r>
      <w:r>
        <w:rPr>
          <w:rFonts w:hint="eastAsia"/>
          <w:lang w:val="en-US" w:eastAsia="zh-CN"/>
        </w:rPr>
        <w:t>4</w:t>
      </w:r>
      <w:r>
        <w:rPr>
          <w:rFonts w:hint="eastAsia"/>
        </w:rPr>
        <w:t>分，得分率为</w:t>
      </w:r>
      <w:r>
        <w:rPr>
          <w:rFonts w:hint="eastAsia"/>
          <w:lang w:eastAsia="zh-CN"/>
        </w:rPr>
        <w:t>100.00%</w:t>
      </w:r>
      <w:r>
        <w:rPr>
          <w:rFonts w:hint="eastAsia"/>
        </w:rPr>
        <w:t>。</w:t>
      </w:r>
    </w:p>
    <w:p w14:paraId="22FB9489">
      <w:pPr>
        <w:ind w:firstLine="562"/>
        <w:rPr>
          <w:rFonts w:hint="eastAsia"/>
        </w:rPr>
      </w:pPr>
      <w:r>
        <w:rPr>
          <w:rFonts w:hint="eastAsia"/>
          <w:b/>
          <w:bCs/>
        </w:rPr>
        <w:t>刑事案件结案率：</w:t>
      </w:r>
      <w:r>
        <w:rPr>
          <w:rFonts w:hint="eastAsia"/>
        </w:rPr>
        <w:t>我院刑事案件</w:t>
      </w:r>
      <w:r>
        <w:rPr>
          <w:rFonts w:hint="eastAsia"/>
          <w:lang w:val="en-US" w:eastAsia="zh-CN"/>
        </w:rPr>
        <w:t>结案率为96.82%</w:t>
      </w:r>
      <w:r>
        <w:rPr>
          <w:rFonts w:hint="eastAsia"/>
        </w:rPr>
        <w:t>，年度指标值大于9</w:t>
      </w:r>
      <w:r>
        <w:rPr>
          <w:rFonts w:hint="eastAsia"/>
          <w:lang w:val="en-US" w:eastAsia="zh-CN"/>
        </w:rPr>
        <w:t>0</w:t>
      </w:r>
      <w:r>
        <w:rPr>
          <w:rFonts w:hint="eastAsia"/>
        </w:rPr>
        <w:t>%</w:t>
      </w:r>
      <w:r>
        <w:rPr>
          <w:rFonts w:hint="eastAsia"/>
          <w:lang w:eastAsia="zh-CN"/>
        </w:rPr>
        <w:t>。</w:t>
      </w:r>
      <w:r>
        <w:rPr>
          <w:rFonts w:hint="eastAsia"/>
        </w:rPr>
        <w:t>该指标分值</w:t>
      </w:r>
      <w:r>
        <w:rPr>
          <w:rFonts w:hint="eastAsia"/>
          <w:lang w:val="en-US" w:eastAsia="zh-CN"/>
        </w:rPr>
        <w:t>4</w:t>
      </w:r>
      <w:r>
        <w:rPr>
          <w:rFonts w:hint="eastAsia"/>
        </w:rPr>
        <w:t>分，自评得分</w:t>
      </w:r>
      <w:r>
        <w:rPr>
          <w:rFonts w:hint="eastAsia"/>
          <w:lang w:val="en-US" w:eastAsia="zh-CN"/>
        </w:rPr>
        <w:t>4</w:t>
      </w:r>
      <w:r>
        <w:rPr>
          <w:rFonts w:hint="eastAsia"/>
        </w:rPr>
        <w:t>分，得分率为</w:t>
      </w:r>
      <w:r>
        <w:rPr>
          <w:rFonts w:hint="eastAsia"/>
          <w:lang w:eastAsia="zh-CN"/>
        </w:rPr>
        <w:t>100.00%</w:t>
      </w:r>
      <w:r>
        <w:rPr>
          <w:rFonts w:hint="eastAsia"/>
        </w:rPr>
        <w:t>。</w:t>
      </w:r>
    </w:p>
    <w:p w14:paraId="5664EBED">
      <w:pPr>
        <w:ind w:firstLine="562"/>
        <w:rPr>
          <w:rFonts w:hint="eastAsia" w:eastAsia="仿宋_GB2312"/>
          <w:lang w:val="en-US" w:eastAsia="zh-CN"/>
        </w:rPr>
      </w:pPr>
      <w:r>
        <w:rPr>
          <w:rFonts w:hint="eastAsia"/>
          <w:b/>
          <w:bCs/>
        </w:rPr>
        <w:t>行政案件结案率：</w:t>
      </w:r>
      <w:r>
        <w:rPr>
          <w:rFonts w:hint="eastAsia"/>
        </w:rPr>
        <w:t>我院</w:t>
      </w:r>
      <w:r>
        <w:rPr>
          <w:rFonts w:hint="eastAsia"/>
          <w:lang w:val="en-US" w:eastAsia="zh-CN"/>
        </w:rPr>
        <w:t>行政</w:t>
      </w:r>
      <w:r>
        <w:rPr>
          <w:rFonts w:hint="eastAsia"/>
        </w:rPr>
        <w:t>案件</w:t>
      </w:r>
      <w:r>
        <w:rPr>
          <w:rFonts w:hint="eastAsia"/>
          <w:lang w:val="en-US" w:eastAsia="zh-CN"/>
        </w:rPr>
        <w:t>结案率为95.45%</w:t>
      </w:r>
      <w:r>
        <w:rPr>
          <w:rFonts w:hint="eastAsia"/>
        </w:rPr>
        <w:t>，年度指标值大于9</w:t>
      </w:r>
      <w:r>
        <w:rPr>
          <w:rFonts w:hint="eastAsia"/>
          <w:lang w:val="en-US" w:eastAsia="zh-CN"/>
        </w:rPr>
        <w:t>0</w:t>
      </w:r>
      <w:r>
        <w:rPr>
          <w:rFonts w:hint="eastAsia"/>
        </w:rPr>
        <w:t>%</w:t>
      </w:r>
      <w:r>
        <w:rPr>
          <w:rFonts w:hint="eastAsia"/>
          <w:lang w:eastAsia="zh-CN"/>
        </w:rPr>
        <w:t>。</w:t>
      </w:r>
      <w:r>
        <w:rPr>
          <w:rFonts w:hint="eastAsia"/>
        </w:rPr>
        <w:t>该指标分值</w:t>
      </w:r>
      <w:r>
        <w:rPr>
          <w:rFonts w:hint="eastAsia"/>
          <w:lang w:val="en-US" w:eastAsia="zh-CN"/>
        </w:rPr>
        <w:t>4</w:t>
      </w:r>
      <w:r>
        <w:rPr>
          <w:rFonts w:hint="eastAsia"/>
        </w:rPr>
        <w:t>分，自评得分</w:t>
      </w:r>
      <w:r>
        <w:rPr>
          <w:rFonts w:hint="eastAsia"/>
          <w:lang w:val="en-US" w:eastAsia="zh-CN"/>
        </w:rPr>
        <w:t>4</w:t>
      </w:r>
      <w:r>
        <w:rPr>
          <w:rFonts w:hint="eastAsia"/>
        </w:rPr>
        <w:t>分，得分率为</w:t>
      </w:r>
      <w:r>
        <w:rPr>
          <w:rFonts w:hint="eastAsia"/>
          <w:lang w:eastAsia="zh-CN"/>
        </w:rPr>
        <w:t>100.00%</w:t>
      </w:r>
      <w:r>
        <w:rPr>
          <w:rFonts w:hint="eastAsia"/>
        </w:rPr>
        <w:t>。</w:t>
      </w:r>
    </w:p>
    <w:p w14:paraId="385CA746">
      <w:pPr>
        <w:ind w:firstLine="562"/>
        <w:rPr>
          <w:rFonts w:hint="eastAsia"/>
        </w:rPr>
      </w:pPr>
      <w:r>
        <w:rPr>
          <w:rFonts w:hint="eastAsia"/>
          <w:b/>
          <w:bCs/>
        </w:rPr>
        <w:t>执行案件结案率：</w:t>
      </w:r>
      <w:r>
        <w:rPr>
          <w:rFonts w:hint="eastAsia"/>
        </w:rPr>
        <w:t>我院执行案件</w:t>
      </w:r>
      <w:r>
        <w:rPr>
          <w:rFonts w:hint="eastAsia"/>
          <w:lang w:val="en-US" w:eastAsia="zh-CN"/>
        </w:rPr>
        <w:t>结案率为98.29%</w:t>
      </w:r>
      <w:r>
        <w:rPr>
          <w:rFonts w:hint="eastAsia"/>
        </w:rPr>
        <w:t>，年度指标值大于</w:t>
      </w:r>
      <w:r>
        <w:rPr>
          <w:rFonts w:hint="eastAsia"/>
          <w:lang w:val="en-US" w:eastAsia="zh-CN"/>
        </w:rPr>
        <w:t>80</w:t>
      </w:r>
      <w:r>
        <w:rPr>
          <w:rFonts w:hint="eastAsia"/>
        </w:rPr>
        <w:t>%</w:t>
      </w:r>
      <w:r>
        <w:rPr>
          <w:rFonts w:hint="eastAsia"/>
          <w:lang w:eastAsia="zh-CN"/>
        </w:rPr>
        <w:t>。</w:t>
      </w:r>
      <w:r>
        <w:rPr>
          <w:rFonts w:hint="eastAsia"/>
        </w:rPr>
        <w:t>该指标分值</w:t>
      </w:r>
      <w:r>
        <w:rPr>
          <w:rFonts w:hint="eastAsia"/>
          <w:lang w:val="en-US" w:eastAsia="zh-CN"/>
        </w:rPr>
        <w:t>4</w:t>
      </w:r>
      <w:r>
        <w:rPr>
          <w:rFonts w:hint="eastAsia"/>
        </w:rPr>
        <w:t>分，自评得分</w:t>
      </w:r>
      <w:r>
        <w:rPr>
          <w:rFonts w:hint="eastAsia"/>
          <w:lang w:val="en-US" w:eastAsia="zh-CN"/>
        </w:rPr>
        <w:t>4</w:t>
      </w:r>
      <w:r>
        <w:rPr>
          <w:rFonts w:hint="eastAsia"/>
        </w:rPr>
        <w:t>分，得分率为</w:t>
      </w:r>
      <w:r>
        <w:rPr>
          <w:rFonts w:hint="eastAsia"/>
          <w:lang w:eastAsia="zh-CN"/>
        </w:rPr>
        <w:t>100.00%</w:t>
      </w:r>
      <w:r>
        <w:rPr>
          <w:rFonts w:hint="eastAsia"/>
        </w:rPr>
        <w:t>。</w:t>
      </w:r>
    </w:p>
    <w:p w14:paraId="6DF17732">
      <w:pPr>
        <w:ind w:firstLine="562"/>
        <w:rPr>
          <w:rFonts w:hint="eastAsia"/>
        </w:rPr>
      </w:pPr>
      <w:r>
        <w:rPr>
          <w:rFonts w:hint="eastAsia"/>
          <w:b/>
          <w:bCs/>
        </w:rPr>
        <w:t>二审改判率：</w:t>
      </w:r>
      <w:r>
        <w:rPr>
          <w:rFonts w:hint="eastAsia"/>
        </w:rPr>
        <w:t>我院二审改判率</w:t>
      </w:r>
      <w:r>
        <w:rPr>
          <w:rFonts w:hint="eastAsia"/>
          <w:lang w:val="en-US" w:eastAsia="zh-CN"/>
        </w:rPr>
        <w:t>为10.47%</w:t>
      </w:r>
      <w:r>
        <w:rPr>
          <w:rFonts w:hint="eastAsia"/>
        </w:rPr>
        <w:t>，年度指标值</w:t>
      </w:r>
      <w:r>
        <w:rPr>
          <w:rFonts w:hint="eastAsia"/>
          <w:lang w:val="en-US" w:eastAsia="zh-CN"/>
        </w:rPr>
        <w:t>小于等于18%</w:t>
      </w:r>
      <w:r>
        <w:rPr>
          <w:rFonts w:hint="eastAsia"/>
          <w:lang w:eastAsia="zh-CN"/>
        </w:rPr>
        <w:t>。</w:t>
      </w:r>
      <w:r>
        <w:rPr>
          <w:rFonts w:hint="eastAsia"/>
        </w:rPr>
        <w:t>该指标分值</w:t>
      </w:r>
      <w:r>
        <w:rPr>
          <w:rFonts w:hint="eastAsia"/>
          <w:lang w:val="en-US" w:eastAsia="zh-CN"/>
        </w:rPr>
        <w:t>4</w:t>
      </w:r>
      <w:r>
        <w:rPr>
          <w:rFonts w:hint="eastAsia"/>
        </w:rPr>
        <w:t>分，自评得分</w:t>
      </w:r>
      <w:r>
        <w:rPr>
          <w:rFonts w:hint="eastAsia"/>
          <w:lang w:val="en-US" w:eastAsia="zh-CN"/>
        </w:rPr>
        <w:t>3.9</w:t>
      </w:r>
      <w:r>
        <w:rPr>
          <w:rFonts w:hint="eastAsia"/>
        </w:rPr>
        <w:t>分，得分率为</w:t>
      </w:r>
      <w:r>
        <w:rPr>
          <w:rFonts w:hint="eastAsia"/>
          <w:lang w:val="en-US" w:eastAsia="zh-CN"/>
        </w:rPr>
        <w:t>97.5</w:t>
      </w:r>
      <w:r>
        <w:rPr>
          <w:rFonts w:hint="eastAsia"/>
          <w:lang w:eastAsia="zh-CN"/>
        </w:rPr>
        <w:t>%</w:t>
      </w:r>
      <w:r>
        <w:rPr>
          <w:rFonts w:hint="eastAsia"/>
        </w:rPr>
        <w:t>。</w:t>
      </w:r>
    </w:p>
    <w:p w14:paraId="775DE9A7">
      <w:pPr>
        <w:ind w:firstLine="562"/>
        <w:rPr>
          <w:rFonts w:hint="eastAsia"/>
        </w:rPr>
      </w:pPr>
      <w:r>
        <w:rPr>
          <w:rFonts w:hint="eastAsia"/>
          <w:b/>
          <w:bCs/>
        </w:rPr>
        <w:t>购置设备质量验收合格率：</w:t>
      </w:r>
      <w:r>
        <w:rPr>
          <w:rFonts w:hint="eastAsia"/>
        </w:rPr>
        <w:t>我院购置设备质量验收合格率</w:t>
      </w:r>
      <w:r>
        <w:rPr>
          <w:rFonts w:hint="eastAsia"/>
          <w:lang w:val="en-US" w:eastAsia="zh-CN"/>
        </w:rPr>
        <w:t>为100%</w:t>
      </w:r>
      <w:r>
        <w:rPr>
          <w:rFonts w:hint="eastAsia"/>
        </w:rPr>
        <w:t>，年度指标值</w:t>
      </w:r>
      <w:r>
        <w:rPr>
          <w:rFonts w:hint="eastAsia"/>
          <w:lang w:val="en-US" w:eastAsia="zh-CN"/>
        </w:rPr>
        <w:t>大于等于100%</w:t>
      </w:r>
      <w:r>
        <w:rPr>
          <w:rFonts w:hint="eastAsia"/>
          <w:lang w:eastAsia="zh-CN"/>
        </w:rPr>
        <w:t>。</w:t>
      </w:r>
      <w:r>
        <w:rPr>
          <w:rFonts w:hint="eastAsia"/>
        </w:rPr>
        <w:t>该指标分值</w:t>
      </w:r>
      <w:r>
        <w:rPr>
          <w:rFonts w:hint="eastAsia"/>
          <w:lang w:val="en-US" w:eastAsia="zh-CN"/>
        </w:rPr>
        <w:t>4</w:t>
      </w:r>
      <w:r>
        <w:rPr>
          <w:rFonts w:hint="eastAsia"/>
        </w:rPr>
        <w:t>分，自评得分</w:t>
      </w:r>
      <w:r>
        <w:rPr>
          <w:rFonts w:hint="eastAsia"/>
          <w:lang w:val="en-US" w:eastAsia="zh-CN"/>
        </w:rPr>
        <w:t>4</w:t>
      </w:r>
      <w:r>
        <w:rPr>
          <w:rFonts w:hint="eastAsia"/>
        </w:rPr>
        <w:t>分，得分率为</w:t>
      </w:r>
      <w:r>
        <w:rPr>
          <w:rFonts w:hint="eastAsia"/>
          <w:lang w:eastAsia="zh-CN"/>
        </w:rPr>
        <w:t>100.00%</w:t>
      </w:r>
      <w:r>
        <w:rPr>
          <w:rFonts w:hint="eastAsia"/>
        </w:rPr>
        <w:t>。</w:t>
      </w:r>
    </w:p>
    <w:p w14:paraId="7B8D8AE1">
      <w:pPr>
        <w:ind w:firstLine="562"/>
        <w:rPr>
          <w:rFonts w:hint="eastAsia"/>
        </w:rPr>
      </w:pPr>
      <w:r>
        <w:rPr>
          <w:rFonts w:hint="eastAsia"/>
          <w:b/>
          <w:bCs/>
        </w:rPr>
        <w:t>采购工作完成及时性</w:t>
      </w:r>
      <w:r>
        <w:rPr>
          <w:rFonts w:hint="eastAsia"/>
          <w:b/>
          <w:bCs/>
          <w:lang w:eastAsia="zh-CN"/>
        </w:rPr>
        <w:t>：</w:t>
      </w:r>
      <w:r>
        <w:rPr>
          <w:rFonts w:hint="eastAsia"/>
        </w:rPr>
        <w:t>我院</w:t>
      </w:r>
      <w:r>
        <w:rPr>
          <w:rFonts w:hint="eastAsia"/>
          <w:lang w:val="en-US" w:eastAsia="zh-CN"/>
        </w:rPr>
        <w:t>采购工作及时完成，完成率为98%</w:t>
      </w:r>
      <w:r>
        <w:rPr>
          <w:rFonts w:hint="eastAsia"/>
        </w:rPr>
        <w:t>，</w:t>
      </w:r>
      <w:r>
        <w:rPr>
          <w:rFonts w:hint="eastAsia"/>
          <w:lang w:val="en-US" w:eastAsia="zh-CN"/>
        </w:rPr>
        <w:t>达到年度目标值</w:t>
      </w:r>
      <w:r>
        <w:rPr>
          <w:rFonts w:hint="eastAsia"/>
          <w:lang w:eastAsia="zh-CN"/>
        </w:rPr>
        <w:t>。</w:t>
      </w:r>
      <w:r>
        <w:rPr>
          <w:rFonts w:hint="eastAsia"/>
        </w:rPr>
        <w:t>该指标分值</w:t>
      </w:r>
      <w:r>
        <w:rPr>
          <w:rFonts w:hint="eastAsia"/>
          <w:lang w:val="en-US" w:eastAsia="zh-CN"/>
        </w:rPr>
        <w:t>4</w:t>
      </w:r>
      <w:r>
        <w:rPr>
          <w:rFonts w:hint="eastAsia"/>
        </w:rPr>
        <w:t>分，自评得分</w:t>
      </w:r>
      <w:r>
        <w:rPr>
          <w:rFonts w:hint="eastAsia"/>
          <w:lang w:val="en-US" w:eastAsia="zh-CN"/>
        </w:rPr>
        <w:t>4</w:t>
      </w:r>
      <w:r>
        <w:rPr>
          <w:rFonts w:hint="eastAsia"/>
        </w:rPr>
        <w:t>分，得分率为</w:t>
      </w:r>
      <w:r>
        <w:rPr>
          <w:rFonts w:hint="eastAsia"/>
          <w:lang w:eastAsia="zh-CN"/>
        </w:rPr>
        <w:t>100.00%</w:t>
      </w:r>
      <w:r>
        <w:rPr>
          <w:rFonts w:hint="eastAsia"/>
        </w:rPr>
        <w:t>。</w:t>
      </w:r>
    </w:p>
    <w:p w14:paraId="6E26C85C">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eastAsia="仿宋_GB2312"/>
          <w:b/>
          <w:bCs/>
          <w:lang w:eastAsia="zh-CN"/>
        </w:rPr>
        <w:t>法定审限内结案率</w:t>
      </w:r>
      <w:r>
        <w:rPr>
          <w:rFonts w:hint="eastAsia"/>
          <w:b/>
          <w:bCs/>
          <w:lang w:eastAsia="zh-CN"/>
        </w:rPr>
        <w:t>：</w:t>
      </w:r>
      <w:r>
        <w:rPr>
          <w:rFonts w:hint="eastAsia"/>
          <w:b w:val="0"/>
          <w:bCs w:val="0"/>
          <w:lang w:val="en-US" w:eastAsia="zh-CN"/>
        </w:rPr>
        <w:t>我院</w:t>
      </w:r>
      <w:r>
        <w:rPr>
          <w:rFonts w:hint="eastAsia" w:hAnsi="宋体"/>
          <w:b w:val="0"/>
          <w:bCs w:val="0"/>
          <w:color w:val="000000" w:themeColor="text1"/>
          <w:szCs w:val="28"/>
          <w:lang w:val="en-US" w:eastAsia="zh-CN"/>
          <w14:textFill>
            <w14:solidFill>
              <w14:schemeClr w14:val="tx1"/>
            </w14:solidFill>
          </w14:textFill>
        </w:rPr>
        <w:t>对符合法律规定条件的案件，均在法律规定的审限内进行了立案，并在法律规定的期限内进行开庭审理结案，做到了有案必立、有诉必理。该指标分值4分，自评得分为3.63分，得分率为100.00%。</w:t>
      </w:r>
    </w:p>
    <w:p w14:paraId="60E82BF4">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_GB2312" w:hAnsi="仿宋_GB2312" w:eastAsia="仿宋_GB2312" w:cstheme="minorBidi"/>
          <w:b w:val="0"/>
          <w:bCs w:val="0"/>
          <w:kern w:val="2"/>
          <w:sz w:val="28"/>
          <w:szCs w:val="32"/>
          <w:lang w:val="en-US" w:eastAsia="zh-CN" w:bidi="ar-SA"/>
        </w:rPr>
      </w:pPr>
      <w:r>
        <w:rPr>
          <w:rFonts w:hint="default" w:eastAsia="仿宋_GB2312"/>
          <w:b/>
          <w:bCs/>
          <w:lang w:val="en-US" w:eastAsia="zh-CN"/>
        </w:rPr>
        <w:t>项目资金下达及时性</w:t>
      </w:r>
      <w:r>
        <w:rPr>
          <w:rFonts w:hint="eastAsia"/>
          <w:b/>
          <w:bCs/>
          <w:lang w:val="en-US" w:eastAsia="zh-CN"/>
        </w:rPr>
        <w:t>：</w:t>
      </w:r>
      <w:r>
        <w:rPr>
          <w:rFonts w:hint="eastAsia" w:ascii="仿宋_GB2312" w:hAnsi="仿宋_GB2312" w:eastAsia="仿宋_GB2312" w:cstheme="minorBidi"/>
          <w:b w:val="0"/>
          <w:bCs w:val="0"/>
          <w:kern w:val="2"/>
          <w:sz w:val="28"/>
          <w:szCs w:val="32"/>
          <w:lang w:val="en-US" w:eastAsia="zh-CN" w:bidi="ar-SA"/>
        </w:rPr>
        <w:t>我院受理案件</w:t>
      </w:r>
      <w:r>
        <w:rPr>
          <w:rFonts w:hint="eastAsia" w:cstheme="minorBidi"/>
          <w:b w:val="0"/>
          <w:bCs w:val="0"/>
          <w:kern w:val="2"/>
          <w:sz w:val="28"/>
          <w:szCs w:val="32"/>
          <w:lang w:val="en-US" w:eastAsia="zh-CN" w:bidi="ar-SA"/>
        </w:rPr>
        <w:t>时所需项目资金下达及时、支付及时，符合项目资金使用规则，</w:t>
      </w:r>
      <w:r>
        <w:rPr>
          <w:rFonts w:hint="eastAsia" w:hAnsi="宋体"/>
          <w:b w:val="0"/>
          <w:bCs w:val="0"/>
          <w:szCs w:val="28"/>
          <w:lang w:val="en-US" w:eastAsia="zh-CN"/>
        </w:rPr>
        <w:t>达到年度指标值。</w:t>
      </w:r>
      <w:r>
        <w:rPr>
          <w:rFonts w:hint="eastAsia" w:ascii="仿宋_GB2312" w:hAnsi="仿宋_GB2312" w:eastAsia="仿宋_GB2312" w:cstheme="minorBidi"/>
          <w:b w:val="0"/>
          <w:bCs w:val="0"/>
          <w:kern w:val="2"/>
          <w:sz w:val="28"/>
          <w:szCs w:val="32"/>
          <w:lang w:val="en-US" w:eastAsia="zh-CN" w:bidi="ar-SA"/>
        </w:rPr>
        <w:t>该指标分值</w:t>
      </w:r>
      <w:r>
        <w:rPr>
          <w:rFonts w:hint="eastAsia" w:hAnsi="宋体" w:cstheme="minorBidi"/>
          <w:b w:val="0"/>
          <w:bCs w:val="0"/>
          <w:color w:val="auto"/>
          <w:kern w:val="2"/>
          <w:sz w:val="28"/>
          <w:szCs w:val="28"/>
          <w:lang w:val="en-US" w:eastAsia="zh-CN" w:bidi="ar-SA"/>
        </w:rPr>
        <w:t>4</w:t>
      </w:r>
      <w:r>
        <w:rPr>
          <w:rFonts w:hint="eastAsia" w:ascii="仿宋_GB2312" w:hAnsi="仿宋_GB2312" w:eastAsia="仿宋_GB2312" w:cstheme="minorBidi"/>
          <w:b w:val="0"/>
          <w:bCs w:val="0"/>
          <w:kern w:val="2"/>
          <w:sz w:val="28"/>
          <w:szCs w:val="32"/>
          <w:lang w:val="en-US" w:eastAsia="zh-CN" w:bidi="ar-SA"/>
        </w:rPr>
        <w:t>分，自评得分为</w:t>
      </w:r>
      <w:r>
        <w:rPr>
          <w:rFonts w:hint="eastAsia" w:hAnsi="宋体" w:cstheme="minorBidi"/>
          <w:b w:val="0"/>
          <w:bCs w:val="0"/>
          <w:color w:val="auto"/>
          <w:kern w:val="2"/>
          <w:sz w:val="28"/>
          <w:szCs w:val="28"/>
          <w:lang w:val="en-US" w:eastAsia="zh-CN" w:bidi="ar-SA"/>
        </w:rPr>
        <w:t>4</w:t>
      </w:r>
      <w:r>
        <w:rPr>
          <w:rFonts w:hint="eastAsia" w:ascii="仿宋_GB2312" w:hAnsi="仿宋_GB2312" w:eastAsia="仿宋_GB2312" w:cstheme="minorBidi"/>
          <w:b w:val="0"/>
          <w:bCs w:val="0"/>
          <w:kern w:val="2"/>
          <w:sz w:val="28"/>
          <w:szCs w:val="32"/>
          <w:lang w:val="en-US" w:eastAsia="zh-CN" w:bidi="ar-SA"/>
        </w:rPr>
        <w:t>分，得分率为</w:t>
      </w:r>
      <w:r>
        <w:rPr>
          <w:rFonts w:hint="eastAsia" w:cstheme="minorBidi"/>
          <w:b w:val="0"/>
          <w:bCs w:val="0"/>
          <w:kern w:val="2"/>
          <w:sz w:val="28"/>
          <w:szCs w:val="32"/>
          <w:lang w:val="en-US" w:eastAsia="zh-CN" w:bidi="ar-SA"/>
        </w:rPr>
        <w:t>100.00%</w:t>
      </w:r>
      <w:r>
        <w:rPr>
          <w:rFonts w:hint="eastAsia" w:ascii="仿宋_GB2312" w:hAnsi="仿宋_GB2312" w:eastAsia="仿宋_GB2312" w:cstheme="minorBidi"/>
          <w:b w:val="0"/>
          <w:bCs w:val="0"/>
          <w:kern w:val="2"/>
          <w:sz w:val="28"/>
          <w:szCs w:val="32"/>
          <w:lang w:val="en-US" w:eastAsia="zh-CN" w:bidi="ar-SA"/>
        </w:rPr>
        <w:t>。</w:t>
      </w:r>
    </w:p>
    <w:p w14:paraId="5660C401">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lang w:eastAsia="zh-CN"/>
        </w:rPr>
        <w:t>）效益指标</w:t>
      </w:r>
    </w:p>
    <w:p w14:paraId="1F378900">
      <w:pPr>
        <w:ind w:firstLine="560"/>
        <w:jc w:val="left"/>
      </w:pPr>
      <w:r>
        <w:rPr>
          <w:rFonts w:hint="eastAsia"/>
          <w:szCs w:val="28"/>
        </w:rPr>
        <w:t>本项目效益指标主要考虑经济效益指标、社会效益指标</w:t>
      </w:r>
      <w:r>
        <w:rPr>
          <w:rFonts w:hint="eastAsia"/>
          <w:szCs w:val="28"/>
          <w:lang w:val="en-US" w:eastAsia="zh-CN"/>
        </w:rPr>
        <w:t>两</w:t>
      </w:r>
      <w:r>
        <w:rPr>
          <w:rFonts w:hint="eastAsia"/>
          <w:szCs w:val="28"/>
        </w:rPr>
        <w:t>部分。总分值</w:t>
      </w:r>
      <w:r>
        <w:rPr>
          <w:rFonts w:hint="eastAsia"/>
          <w:szCs w:val="28"/>
          <w:lang w:val="en-US" w:eastAsia="zh-CN"/>
        </w:rPr>
        <w:t>2</w:t>
      </w:r>
      <w:r>
        <w:rPr>
          <w:rFonts w:hint="eastAsia"/>
          <w:szCs w:val="28"/>
        </w:rPr>
        <w:t>0分，得分</w:t>
      </w:r>
      <w:r>
        <w:rPr>
          <w:rFonts w:hint="eastAsia"/>
          <w:szCs w:val="28"/>
          <w:lang w:val="en-US" w:eastAsia="zh-CN"/>
        </w:rPr>
        <w:t>19.9</w:t>
      </w:r>
      <w:r>
        <w:rPr>
          <w:rFonts w:hint="eastAsia"/>
          <w:szCs w:val="28"/>
        </w:rPr>
        <w:t>分，得分率</w:t>
      </w:r>
      <w:r>
        <w:rPr>
          <w:rFonts w:hint="eastAsia"/>
          <w:szCs w:val="28"/>
          <w:lang w:val="en-US" w:eastAsia="zh-CN"/>
        </w:rPr>
        <w:t>99.5</w:t>
      </w:r>
      <w:r>
        <w:rPr>
          <w:rFonts w:hint="eastAsia"/>
          <w:szCs w:val="28"/>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54"/>
        <w:gridCol w:w="2475"/>
        <w:gridCol w:w="971"/>
        <w:gridCol w:w="1026"/>
        <w:gridCol w:w="1103"/>
        <w:gridCol w:w="847"/>
        <w:gridCol w:w="1093"/>
      </w:tblGrid>
      <w:tr w14:paraId="34FDF31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54" w:type="dxa"/>
            <w:shd w:val="clear" w:color="auto" w:fill="BDD6EE"/>
            <w:vAlign w:val="center"/>
          </w:tcPr>
          <w:p w14:paraId="67CCA49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475" w:type="dxa"/>
            <w:shd w:val="clear" w:color="auto" w:fill="BDD6EE"/>
            <w:vAlign w:val="center"/>
          </w:tcPr>
          <w:p w14:paraId="66C5C73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971" w:type="dxa"/>
            <w:shd w:val="clear" w:color="auto" w:fill="BDD6EE"/>
            <w:vAlign w:val="center"/>
          </w:tcPr>
          <w:p w14:paraId="56BA12E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w:t>
            </w:r>
          </w:p>
          <w:p w14:paraId="08DF2B6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指标值</w:t>
            </w:r>
          </w:p>
        </w:tc>
        <w:tc>
          <w:tcPr>
            <w:tcW w:w="1026" w:type="dxa"/>
            <w:shd w:val="clear" w:color="auto" w:fill="BDD6EE"/>
            <w:vAlign w:val="center"/>
          </w:tcPr>
          <w:p w14:paraId="7A5FFDC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实际</w:t>
            </w:r>
          </w:p>
          <w:p w14:paraId="5E82D7E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完成值</w:t>
            </w:r>
          </w:p>
        </w:tc>
        <w:tc>
          <w:tcPr>
            <w:tcW w:w="1103" w:type="dxa"/>
            <w:shd w:val="clear" w:color="auto" w:fill="BDD6EE"/>
            <w:vAlign w:val="center"/>
          </w:tcPr>
          <w:p w14:paraId="6EF3CC6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847" w:type="dxa"/>
            <w:shd w:val="clear" w:color="auto" w:fill="BDD6EE"/>
            <w:vAlign w:val="center"/>
          </w:tcPr>
          <w:p w14:paraId="00099AD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自评</w:t>
            </w:r>
          </w:p>
          <w:p w14:paraId="2930655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w:t>
            </w:r>
          </w:p>
        </w:tc>
        <w:tc>
          <w:tcPr>
            <w:tcW w:w="1093" w:type="dxa"/>
            <w:shd w:val="clear" w:color="auto" w:fill="BDD6EE"/>
            <w:vAlign w:val="center"/>
          </w:tcPr>
          <w:p w14:paraId="3DC2A81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6F3F17B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54" w:type="dxa"/>
            <w:vAlign w:val="center"/>
          </w:tcPr>
          <w:p w14:paraId="523A4F88">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i w:val="0"/>
                <w:iCs w:val="0"/>
                <w:color w:val="333333"/>
                <w:kern w:val="0"/>
                <w:sz w:val="22"/>
                <w:szCs w:val="22"/>
                <w:u w:val="none"/>
                <w:lang w:val="en-US" w:eastAsia="zh-CN" w:bidi="ar"/>
              </w:rPr>
              <w:t>经济效益指标</w:t>
            </w:r>
          </w:p>
        </w:tc>
        <w:tc>
          <w:tcPr>
            <w:tcW w:w="2475" w:type="dxa"/>
            <w:vAlign w:val="center"/>
          </w:tcPr>
          <w:p w14:paraId="4A36A32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执行标的到位率</w:t>
            </w:r>
          </w:p>
        </w:tc>
        <w:tc>
          <w:tcPr>
            <w:tcW w:w="971" w:type="dxa"/>
            <w:vAlign w:val="center"/>
          </w:tcPr>
          <w:p w14:paraId="557BC44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&gt;=20%</w:t>
            </w:r>
          </w:p>
        </w:tc>
        <w:tc>
          <w:tcPr>
            <w:tcW w:w="1026" w:type="dxa"/>
            <w:vAlign w:val="center"/>
          </w:tcPr>
          <w:p w14:paraId="7790644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21.2%</w:t>
            </w:r>
          </w:p>
        </w:tc>
        <w:tc>
          <w:tcPr>
            <w:tcW w:w="1103" w:type="dxa"/>
            <w:vAlign w:val="center"/>
          </w:tcPr>
          <w:p w14:paraId="19A8923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847" w:type="dxa"/>
            <w:vAlign w:val="center"/>
          </w:tcPr>
          <w:p w14:paraId="3F396C8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 xml:space="preserve">6.68 </w:t>
            </w:r>
          </w:p>
        </w:tc>
        <w:tc>
          <w:tcPr>
            <w:tcW w:w="1093" w:type="dxa"/>
            <w:vAlign w:val="center"/>
          </w:tcPr>
          <w:p w14:paraId="464737E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194726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54" w:type="dxa"/>
            <w:vMerge w:val="restart"/>
            <w:vAlign w:val="center"/>
          </w:tcPr>
          <w:p w14:paraId="357EA36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社会效益指标</w:t>
            </w:r>
          </w:p>
        </w:tc>
        <w:tc>
          <w:tcPr>
            <w:tcW w:w="2475" w:type="dxa"/>
            <w:vAlign w:val="center"/>
          </w:tcPr>
          <w:p w14:paraId="67BFB7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裁判文书应上尽上率</w:t>
            </w:r>
          </w:p>
        </w:tc>
        <w:tc>
          <w:tcPr>
            <w:tcW w:w="971" w:type="dxa"/>
            <w:vAlign w:val="center"/>
          </w:tcPr>
          <w:p w14:paraId="3D144B5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026" w:type="dxa"/>
            <w:vAlign w:val="center"/>
          </w:tcPr>
          <w:p w14:paraId="7477A7E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89.76%</w:t>
            </w:r>
          </w:p>
        </w:tc>
        <w:tc>
          <w:tcPr>
            <w:tcW w:w="1103" w:type="dxa"/>
            <w:vAlign w:val="center"/>
          </w:tcPr>
          <w:p w14:paraId="5FF440A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847" w:type="dxa"/>
            <w:vAlign w:val="center"/>
          </w:tcPr>
          <w:p w14:paraId="074296F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 xml:space="preserve">6.56 </w:t>
            </w:r>
          </w:p>
        </w:tc>
        <w:tc>
          <w:tcPr>
            <w:tcW w:w="1093" w:type="dxa"/>
            <w:vAlign w:val="center"/>
          </w:tcPr>
          <w:p w14:paraId="282F157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98.5%</w:t>
            </w:r>
          </w:p>
        </w:tc>
      </w:tr>
      <w:tr w14:paraId="64F0032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54" w:type="dxa"/>
            <w:vMerge w:val="continue"/>
            <w:vAlign w:val="center"/>
          </w:tcPr>
          <w:p w14:paraId="117915DB">
            <w:pPr>
              <w:jc w:val="center"/>
              <w:rPr>
                <w:rFonts w:hint="eastAsia" w:ascii="宋体" w:hAnsi="宋体" w:eastAsia="宋体" w:cs="宋体"/>
                <w:color w:val="000000"/>
                <w:kern w:val="0"/>
                <w:sz w:val="22"/>
                <w:szCs w:val="22"/>
                <w:highlight w:val="none"/>
                <w:lang w:val="en-US" w:eastAsia="zh-CN" w:bidi="ar-SA"/>
              </w:rPr>
            </w:pPr>
          </w:p>
        </w:tc>
        <w:tc>
          <w:tcPr>
            <w:tcW w:w="2475" w:type="dxa"/>
            <w:vAlign w:val="center"/>
          </w:tcPr>
          <w:p w14:paraId="6FCDD66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民商事案件调解撤诉率</w:t>
            </w:r>
          </w:p>
        </w:tc>
        <w:tc>
          <w:tcPr>
            <w:tcW w:w="971" w:type="dxa"/>
            <w:vAlign w:val="center"/>
          </w:tcPr>
          <w:p w14:paraId="7A036C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&gt;=15%</w:t>
            </w:r>
          </w:p>
        </w:tc>
        <w:tc>
          <w:tcPr>
            <w:tcW w:w="1026" w:type="dxa"/>
            <w:vAlign w:val="center"/>
          </w:tcPr>
          <w:p w14:paraId="58FA989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17.35%</w:t>
            </w:r>
          </w:p>
        </w:tc>
        <w:tc>
          <w:tcPr>
            <w:tcW w:w="1103" w:type="dxa"/>
            <w:vAlign w:val="center"/>
          </w:tcPr>
          <w:p w14:paraId="0498C80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847" w:type="dxa"/>
            <w:vAlign w:val="center"/>
          </w:tcPr>
          <w:p w14:paraId="724B517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 xml:space="preserve">6.66 </w:t>
            </w:r>
          </w:p>
        </w:tc>
        <w:tc>
          <w:tcPr>
            <w:tcW w:w="1093" w:type="dxa"/>
            <w:vAlign w:val="center"/>
          </w:tcPr>
          <w:p w14:paraId="48223D9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1786BA1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54" w:type="dxa"/>
            <w:shd w:val="clear" w:color="auto" w:fill="BDD6EE"/>
            <w:vAlign w:val="center"/>
          </w:tcPr>
          <w:p w14:paraId="1AC42BED">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475" w:type="dxa"/>
            <w:shd w:val="clear" w:color="auto" w:fill="BDD6EE"/>
            <w:vAlign w:val="center"/>
          </w:tcPr>
          <w:p w14:paraId="7AF3B7F0">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1" w:type="dxa"/>
            <w:shd w:val="clear" w:color="auto" w:fill="BDD6EE"/>
            <w:vAlign w:val="center"/>
          </w:tcPr>
          <w:p w14:paraId="707ACD6D">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26" w:type="dxa"/>
            <w:shd w:val="clear" w:color="auto" w:fill="BDD6EE"/>
            <w:vAlign w:val="center"/>
          </w:tcPr>
          <w:p w14:paraId="46222268">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03" w:type="dxa"/>
            <w:shd w:val="clear" w:color="auto" w:fill="BDD6EE"/>
            <w:vAlign w:val="center"/>
          </w:tcPr>
          <w:p w14:paraId="11358BB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847" w:type="dxa"/>
            <w:shd w:val="clear" w:color="auto" w:fill="BDD6EE"/>
            <w:vAlign w:val="center"/>
          </w:tcPr>
          <w:p w14:paraId="06EC018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19.9</w:t>
            </w:r>
          </w:p>
        </w:tc>
        <w:tc>
          <w:tcPr>
            <w:tcW w:w="1093" w:type="dxa"/>
            <w:shd w:val="clear" w:color="auto" w:fill="BDD6EE"/>
            <w:vAlign w:val="center"/>
          </w:tcPr>
          <w:p w14:paraId="6C54DAA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99.5%</w:t>
            </w:r>
          </w:p>
        </w:tc>
      </w:tr>
    </w:tbl>
    <w:p w14:paraId="25C25DF4">
      <w:pPr>
        <w:ind w:firstLine="562"/>
        <w:rPr>
          <w:rFonts w:hAnsi="宋体"/>
          <w:b/>
          <w:bCs/>
        </w:rPr>
      </w:pPr>
      <w:r>
        <w:rPr>
          <w:rFonts w:hint="eastAsia" w:hAnsi="宋体" w:cs="宋体"/>
          <w:b/>
          <w:bCs/>
          <w:kern w:val="0"/>
        </w:rPr>
        <w:t>执行标的到位率</w:t>
      </w:r>
      <w:r>
        <w:rPr>
          <w:rFonts w:hint="eastAsia" w:hAnsi="宋体"/>
          <w:b/>
          <w:bCs/>
        </w:rPr>
        <w:t>：</w:t>
      </w:r>
      <w:r>
        <w:rPr>
          <w:rFonts w:hint="eastAsia" w:hAnsi="宋体"/>
        </w:rPr>
        <w:t>我院执行标的到位率</w:t>
      </w:r>
      <w:r>
        <w:rPr>
          <w:rFonts w:hint="eastAsia" w:hAnsi="宋体"/>
          <w:lang w:val="en-US" w:eastAsia="zh-CN"/>
        </w:rPr>
        <w:t>为</w:t>
      </w:r>
      <w:r>
        <w:rPr>
          <w:rFonts w:hint="eastAsia" w:hAnsi="宋体" w:cs="宋体"/>
          <w:kern w:val="0"/>
          <w:lang w:val="en-US" w:eastAsia="zh-CN"/>
        </w:rPr>
        <w:t>21.2</w:t>
      </w:r>
      <w:r>
        <w:rPr>
          <w:rFonts w:hAnsi="宋体" w:cs="宋体"/>
          <w:kern w:val="0"/>
        </w:rPr>
        <w:t>%</w:t>
      </w:r>
      <w:r>
        <w:rPr>
          <w:rFonts w:hint="eastAsia" w:hAnsi="宋体" w:cs="宋体"/>
          <w:kern w:val="0"/>
          <w:lang w:eastAsia="zh-CN"/>
        </w:rPr>
        <w:t>，年度目标值大于等于</w:t>
      </w:r>
      <w:r>
        <w:rPr>
          <w:rFonts w:hint="eastAsia" w:hAnsi="宋体" w:cs="宋体"/>
          <w:kern w:val="0"/>
          <w:lang w:val="en-US" w:eastAsia="zh-CN"/>
        </w:rPr>
        <w:t>20%</w:t>
      </w:r>
      <w:r>
        <w:rPr>
          <w:rFonts w:hint="eastAsia" w:hAnsi="宋体" w:cs="宋体"/>
          <w:kern w:val="0"/>
        </w:rPr>
        <w:t>。</w:t>
      </w:r>
      <w:r>
        <w:rPr>
          <w:rFonts w:hint="eastAsia"/>
        </w:rPr>
        <w:t>该</w:t>
      </w:r>
      <w:r>
        <w:t>指标分值</w:t>
      </w:r>
      <w:r>
        <w:rPr>
          <w:rFonts w:hint="eastAsia"/>
          <w:lang w:val="en-US" w:eastAsia="zh-CN"/>
        </w:rPr>
        <w:t>6.68</w:t>
      </w:r>
      <w:r>
        <w:t>分，</w:t>
      </w:r>
      <w:r>
        <w:rPr>
          <w:rFonts w:hint="eastAsia"/>
        </w:rPr>
        <w:t>自评</w:t>
      </w:r>
      <w:r>
        <w:t>得分</w:t>
      </w:r>
      <w:r>
        <w:rPr>
          <w:rFonts w:hint="eastAsia"/>
          <w:lang w:val="en-US" w:eastAsia="zh-CN"/>
        </w:rPr>
        <w:t>6.68</w:t>
      </w:r>
      <w:r>
        <w:t>分，得分率为</w:t>
      </w:r>
      <w:r>
        <w:rPr>
          <w:rFonts w:hint="eastAsia"/>
          <w:lang w:val="en-US" w:eastAsia="zh-CN"/>
        </w:rPr>
        <w:t>100.00</w:t>
      </w:r>
      <w:r>
        <w:t>%</w:t>
      </w:r>
      <w:r>
        <w:rPr>
          <w:rFonts w:hint="eastAsia"/>
        </w:rPr>
        <w:t>。</w:t>
      </w:r>
    </w:p>
    <w:p w14:paraId="1DF9D3B2">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裁判文书应上尽上率：</w:t>
      </w:r>
      <w:r>
        <w:rPr>
          <w:rFonts w:hint="eastAsia" w:hAnsi="宋体"/>
          <w:b w:val="0"/>
          <w:bCs w:val="0"/>
          <w:szCs w:val="28"/>
          <w:lang w:val="en-US" w:eastAsia="zh-CN"/>
        </w:rPr>
        <w:t>我院2023年裁判文书应上尽上率为89.76%，年度指标值为等于100%。该指标分值6.66分，自评得分为6.56分，得分率为98.5%。</w:t>
      </w:r>
    </w:p>
    <w:p w14:paraId="3E82A741">
      <w:pPr>
        <w:bidi w:val="0"/>
      </w:pPr>
      <w:r>
        <w:rPr>
          <w:rFonts w:hint="eastAsia"/>
          <w:b/>
          <w:bCs/>
        </w:rPr>
        <w:t>民商事案件调解撤诉率：</w:t>
      </w:r>
      <w:r>
        <w:rPr>
          <w:rFonts w:hint="eastAsia"/>
        </w:rPr>
        <w:t>我院力争将矛盾纠纷化解在诉前，突出“和”字理念，贯彻“调解优先、调判结合”的民事审判方针，妥善化解民事纠纷，构建安定和谐的发展环境。民事</w:t>
      </w:r>
      <w:r>
        <w:rPr>
          <w:rFonts w:hint="eastAsia"/>
          <w:lang w:val="en-US" w:eastAsia="zh-CN"/>
        </w:rPr>
        <w:t>案件调解撤诉</w:t>
      </w:r>
      <w:r>
        <w:rPr>
          <w:rFonts w:hint="eastAsia"/>
        </w:rPr>
        <w:t>率</w:t>
      </w:r>
      <w:r>
        <w:rPr>
          <w:rFonts w:hint="eastAsia"/>
          <w:lang w:val="en-US" w:eastAsia="zh-CN"/>
        </w:rPr>
        <w:t>17.35%</w:t>
      </w:r>
      <w:r>
        <w:rPr>
          <w:rFonts w:hint="eastAsia"/>
        </w:rPr>
        <w:t>，</w:t>
      </w:r>
      <w:r>
        <w:rPr>
          <w:rFonts w:hint="eastAsia"/>
          <w:lang w:val="en-US" w:eastAsia="zh-CN"/>
        </w:rPr>
        <w:t>年度目标值为大于等于15%</w:t>
      </w:r>
      <w:r>
        <w:rPr>
          <w:rFonts w:hint="eastAsia"/>
        </w:rPr>
        <w:t>，该指标分值</w:t>
      </w:r>
      <w:r>
        <w:rPr>
          <w:rFonts w:hint="eastAsia"/>
          <w:lang w:val="en-US" w:eastAsia="zh-CN"/>
        </w:rPr>
        <w:t>6.66</w:t>
      </w:r>
      <w:r>
        <w:rPr>
          <w:rFonts w:hint="eastAsia"/>
        </w:rPr>
        <w:t>分，自评得分</w:t>
      </w:r>
      <w:r>
        <w:rPr>
          <w:rFonts w:hint="eastAsia"/>
          <w:lang w:val="en-US" w:eastAsia="zh-CN"/>
        </w:rPr>
        <w:t>6.66</w:t>
      </w:r>
      <w:r>
        <w:rPr>
          <w:rFonts w:hint="eastAsia"/>
        </w:rPr>
        <w:t>分，得分率为</w:t>
      </w:r>
      <w:r>
        <w:rPr>
          <w:rFonts w:hint="eastAsia"/>
          <w:lang w:val="en-US" w:eastAsia="zh-CN"/>
        </w:rPr>
        <w:t>100.00</w:t>
      </w:r>
      <w:r>
        <w:rPr>
          <w:rFonts w:hint="eastAsia"/>
        </w:rPr>
        <w:t>%</w:t>
      </w:r>
      <w:r>
        <w:t>。</w:t>
      </w:r>
    </w:p>
    <w:p w14:paraId="75441E3E">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（4）服务对象满意度指标</w:t>
      </w:r>
    </w:p>
    <w:p w14:paraId="4029E1E9">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服务对象满意度指标指标根据我院向社会提供公共产品和服务的主要对象，主要考察法院工作人员满意度</w:t>
      </w:r>
      <w:r>
        <w:rPr>
          <w:rFonts w:hint="eastAsia" w:hAnsi="宋体" w:cstheme="minorBidi"/>
          <w:b w:val="0"/>
          <w:bCs w:val="0"/>
          <w:kern w:val="2"/>
          <w:sz w:val="28"/>
          <w:szCs w:val="28"/>
          <w:lang w:val="en-US" w:eastAsia="zh-CN" w:bidi="ar-SA"/>
        </w:rPr>
        <w:t>、</w:t>
      </w:r>
      <w:r>
        <w:rPr>
          <w:rFonts w:hint="eastAsia" w:ascii="仿宋_GB2312" w:hAnsi="宋体" w:eastAsia="仿宋_GB2312" w:cstheme="minorBidi"/>
          <w:b w:val="0"/>
          <w:bCs w:val="0"/>
          <w:kern w:val="2"/>
          <w:sz w:val="28"/>
          <w:szCs w:val="28"/>
          <w:lang w:val="en-US" w:eastAsia="zh-CN" w:bidi="ar-SA"/>
        </w:rPr>
        <w:t>服务对象满意度。该指标分值合计10分，自评得分10分，得分率100.00%。</w:t>
      </w:r>
    </w:p>
    <w:p w14:paraId="035FC2E2">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54"/>
        <w:gridCol w:w="2275"/>
        <w:gridCol w:w="1086"/>
        <w:gridCol w:w="1311"/>
        <w:gridCol w:w="1014"/>
        <w:gridCol w:w="936"/>
        <w:gridCol w:w="1093"/>
      </w:tblGrid>
      <w:tr w14:paraId="67F9ECB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54" w:type="dxa"/>
            <w:shd w:val="clear" w:color="auto" w:fill="BDD6EE"/>
            <w:vAlign w:val="center"/>
          </w:tcPr>
          <w:p w14:paraId="50800F3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275" w:type="dxa"/>
            <w:shd w:val="clear" w:color="auto" w:fill="BDD6EE"/>
            <w:vAlign w:val="center"/>
          </w:tcPr>
          <w:p w14:paraId="152F0AD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三级指标</w:t>
            </w:r>
          </w:p>
        </w:tc>
        <w:tc>
          <w:tcPr>
            <w:tcW w:w="1086" w:type="dxa"/>
            <w:shd w:val="clear" w:color="auto" w:fill="BDD6EE"/>
            <w:vAlign w:val="center"/>
          </w:tcPr>
          <w:p w14:paraId="629BBCC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年度</w:t>
            </w:r>
          </w:p>
          <w:p w14:paraId="1616AF1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指标值</w:t>
            </w:r>
          </w:p>
        </w:tc>
        <w:tc>
          <w:tcPr>
            <w:tcW w:w="1311" w:type="dxa"/>
            <w:shd w:val="clear" w:color="auto" w:fill="BDD6EE"/>
            <w:vAlign w:val="center"/>
          </w:tcPr>
          <w:p w14:paraId="4030A1D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p>
          <w:p w14:paraId="2A165C7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完成值</w:t>
            </w:r>
          </w:p>
        </w:tc>
        <w:tc>
          <w:tcPr>
            <w:tcW w:w="1014" w:type="dxa"/>
            <w:shd w:val="clear" w:color="auto" w:fill="BDD6EE"/>
            <w:vAlign w:val="center"/>
          </w:tcPr>
          <w:p w14:paraId="0E7E05B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936" w:type="dxa"/>
            <w:shd w:val="clear" w:color="auto" w:fill="BDD6EE"/>
            <w:vAlign w:val="center"/>
          </w:tcPr>
          <w:p w14:paraId="21453AF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自评</w:t>
            </w:r>
          </w:p>
          <w:p w14:paraId="47ACD67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w:t>
            </w:r>
          </w:p>
        </w:tc>
        <w:tc>
          <w:tcPr>
            <w:tcW w:w="1093" w:type="dxa"/>
            <w:shd w:val="clear" w:color="auto" w:fill="BDD6EE"/>
            <w:vAlign w:val="center"/>
          </w:tcPr>
          <w:p w14:paraId="68BD06E6">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4FF2389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cantSplit/>
          <w:trHeight w:val="397" w:hRule="atLeast"/>
          <w:tblHeader/>
          <w:jc w:val="center"/>
        </w:trPr>
        <w:tc>
          <w:tcPr>
            <w:tcW w:w="1354" w:type="dxa"/>
            <w:vMerge w:val="restart"/>
            <w:vAlign w:val="center"/>
          </w:tcPr>
          <w:p w14:paraId="200A9B0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服务对象满意度指标</w:t>
            </w:r>
          </w:p>
        </w:tc>
        <w:tc>
          <w:tcPr>
            <w:tcW w:w="2275" w:type="dxa"/>
            <w:vAlign w:val="center"/>
          </w:tcPr>
          <w:p w14:paraId="46BF31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当事人满意度</w:t>
            </w:r>
          </w:p>
        </w:tc>
        <w:tc>
          <w:tcPr>
            <w:tcW w:w="1086" w:type="dxa"/>
            <w:vAlign w:val="center"/>
          </w:tcPr>
          <w:p w14:paraId="03E9268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311" w:type="dxa"/>
            <w:vAlign w:val="center"/>
          </w:tcPr>
          <w:p w14:paraId="03E750C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95%</w:t>
            </w:r>
          </w:p>
        </w:tc>
        <w:tc>
          <w:tcPr>
            <w:tcW w:w="1014" w:type="dxa"/>
            <w:vAlign w:val="center"/>
          </w:tcPr>
          <w:p w14:paraId="25CE1E6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936" w:type="dxa"/>
            <w:vAlign w:val="center"/>
          </w:tcPr>
          <w:p w14:paraId="648779A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 xml:space="preserve">5.00 </w:t>
            </w:r>
          </w:p>
        </w:tc>
        <w:tc>
          <w:tcPr>
            <w:tcW w:w="1093" w:type="dxa"/>
            <w:vAlign w:val="center"/>
          </w:tcPr>
          <w:p w14:paraId="363B3027">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14:paraId="08CFBCE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54" w:type="dxa"/>
            <w:vMerge w:val="continue"/>
            <w:vAlign w:val="center"/>
          </w:tcPr>
          <w:p w14:paraId="31D6952C">
            <w:pPr>
              <w:jc w:val="center"/>
              <w:rPr>
                <w:rFonts w:hint="eastAsia" w:ascii="宋体" w:hAnsi="宋体" w:eastAsia="宋体" w:cs="宋体"/>
                <w:i w:val="0"/>
                <w:iCs w:val="0"/>
                <w:color w:val="000000"/>
                <w:kern w:val="0"/>
                <w:sz w:val="22"/>
                <w:szCs w:val="22"/>
                <w:u w:val="none"/>
                <w:lang w:val="en-US" w:eastAsia="zh-CN" w:bidi="ar"/>
              </w:rPr>
            </w:pPr>
          </w:p>
        </w:tc>
        <w:tc>
          <w:tcPr>
            <w:tcW w:w="2275" w:type="dxa"/>
            <w:vAlign w:val="center"/>
          </w:tcPr>
          <w:p w14:paraId="59B5222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法院工作人员满意度</w:t>
            </w:r>
          </w:p>
        </w:tc>
        <w:tc>
          <w:tcPr>
            <w:tcW w:w="1086" w:type="dxa"/>
            <w:vAlign w:val="center"/>
          </w:tcPr>
          <w:p w14:paraId="4657E8E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311" w:type="dxa"/>
            <w:vAlign w:val="center"/>
          </w:tcPr>
          <w:p w14:paraId="4FD6508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95%</w:t>
            </w:r>
          </w:p>
        </w:tc>
        <w:tc>
          <w:tcPr>
            <w:tcW w:w="1014" w:type="dxa"/>
            <w:vAlign w:val="center"/>
          </w:tcPr>
          <w:p w14:paraId="76DB9F0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936" w:type="dxa"/>
            <w:vAlign w:val="center"/>
          </w:tcPr>
          <w:p w14:paraId="576CAFF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 xml:space="preserve">5.00 </w:t>
            </w:r>
          </w:p>
        </w:tc>
        <w:tc>
          <w:tcPr>
            <w:tcW w:w="1093" w:type="dxa"/>
            <w:vAlign w:val="center"/>
          </w:tcPr>
          <w:p w14:paraId="0B9C84B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783BDB1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354" w:type="dxa"/>
            <w:shd w:val="clear" w:color="auto" w:fill="BDD6EE"/>
            <w:vAlign w:val="center"/>
          </w:tcPr>
          <w:p w14:paraId="2CE79C38">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275" w:type="dxa"/>
            <w:shd w:val="clear" w:color="auto" w:fill="BDD6EE"/>
            <w:vAlign w:val="center"/>
          </w:tcPr>
          <w:p w14:paraId="2A1D02F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86" w:type="dxa"/>
            <w:shd w:val="clear" w:color="auto" w:fill="BDD6EE"/>
            <w:vAlign w:val="center"/>
          </w:tcPr>
          <w:p w14:paraId="599E8012">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311" w:type="dxa"/>
            <w:shd w:val="clear" w:color="auto" w:fill="BDD6EE"/>
            <w:vAlign w:val="center"/>
          </w:tcPr>
          <w:p w14:paraId="31EE577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14" w:type="dxa"/>
            <w:shd w:val="clear" w:color="auto" w:fill="BDD6EE"/>
            <w:vAlign w:val="center"/>
          </w:tcPr>
          <w:p w14:paraId="5566141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936" w:type="dxa"/>
            <w:shd w:val="clear" w:color="auto" w:fill="BDD6EE"/>
            <w:vAlign w:val="center"/>
          </w:tcPr>
          <w:p w14:paraId="52481AE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14:paraId="67122FC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643BD9D7">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rPr>
      </w:pPr>
      <w:r>
        <w:rPr>
          <w:rFonts w:hint="eastAsia" w:ascii="仿宋_GB2312" w:hAnsi="仿宋_GB2312" w:eastAsia="仿宋_GB2312" w:cs="仿宋_GB2312"/>
          <w:b/>
          <w:bCs/>
          <w:sz w:val="28"/>
          <w:szCs w:val="28"/>
        </w:rPr>
        <w:t>当事人满意度：</w:t>
      </w:r>
      <w:r>
        <w:rPr>
          <w:rFonts w:hint="eastAsia"/>
        </w:rPr>
        <w:t>我院依法审理各类案件，妥善化解矛盾纠纷和行政争议，维护了法院审判工作的有序开展，积极保障人民群众生命财产安全，</w:t>
      </w:r>
      <w:r>
        <w:rPr>
          <w:rFonts w:hint="eastAsia"/>
          <w:lang w:val="en-US" w:eastAsia="zh-CN"/>
        </w:rPr>
        <w:t>当事人满意度95%，</w:t>
      </w:r>
      <w:r>
        <w:rPr>
          <w:rFonts w:hint="eastAsia" w:cs="仿宋_GB2312"/>
          <w:sz w:val="28"/>
          <w:szCs w:val="28"/>
          <w:lang w:eastAsia="zh-CN"/>
        </w:rPr>
        <w:t>年度目标值为大于等于</w:t>
      </w:r>
      <w:r>
        <w:rPr>
          <w:rFonts w:hint="eastAsia" w:cs="仿宋_GB2312"/>
          <w:sz w:val="28"/>
          <w:szCs w:val="28"/>
          <w:lang w:val="en-US" w:eastAsia="zh-CN"/>
        </w:rPr>
        <w:t>90%</w:t>
      </w:r>
      <w:r>
        <w:rPr>
          <w:rFonts w:hint="eastAsia"/>
          <w:lang w:val="en-US" w:eastAsia="zh-CN"/>
        </w:rPr>
        <w:t>。</w:t>
      </w:r>
      <w:r>
        <w:rPr>
          <w:rFonts w:hint="eastAsia"/>
        </w:rPr>
        <w:t>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14:paraId="14A2A6FA">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cs="仿宋_GB2312"/>
          <w:sz w:val="28"/>
          <w:szCs w:val="28"/>
          <w:lang w:eastAsia="zh-CN"/>
        </w:rPr>
      </w:pPr>
      <w:r>
        <w:rPr>
          <w:rFonts w:hint="eastAsia" w:cs="仿宋_GB2312"/>
          <w:b/>
          <w:bCs/>
          <w:sz w:val="28"/>
          <w:szCs w:val="28"/>
          <w:lang w:val="en-US" w:eastAsia="zh-CN"/>
        </w:rPr>
        <w:t>法院工作人员</w:t>
      </w:r>
      <w:r>
        <w:rPr>
          <w:rFonts w:hint="eastAsia" w:ascii="仿宋_GB2312" w:hAnsi="仿宋_GB2312" w:eastAsia="仿宋_GB2312" w:cs="仿宋_GB2312"/>
          <w:b/>
          <w:bCs/>
          <w:sz w:val="28"/>
          <w:szCs w:val="28"/>
        </w:rPr>
        <w:t>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ascii="仿宋_GB2312" w:hAnsi="仿宋_GB2312" w:eastAsia="仿宋_GB2312" w:cs="仿宋_GB2312"/>
          <w:color w:val="auto"/>
          <w:sz w:val="28"/>
          <w:szCs w:val="28"/>
          <w:lang w:val="en-US" w:eastAsia="zh-CN"/>
        </w:rPr>
        <w:t>法院工作人员满意度达到</w:t>
      </w:r>
      <w:r>
        <w:rPr>
          <w:rFonts w:hint="eastAsia" w:cs="仿宋_GB2312"/>
          <w:color w:val="auto"/>
          <w:sz w:val="28"/>
          <w:szCs w:val="28"/>
          <w:lang w:val="en-US" w:eastAsia="zh-CN"/>
        </w:rPr>
        <w:t>95</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w:t>
      </w:r>
      <w:r>
        <w:rPr>
          <w:rFonts w:hint="eastAsia" w:cs="仿宋_GB2312"/>
          <w:sz w:val="28"/>
          <w:szCs w:val="28"/>
          <w:lang w:eastAsia="zh-CN"/>
        </w:rPr>
        <w:t>年度目标值为大于等于</w:t>
      </w:r>
      <w:r>
        <w:rPr>
          <w:rFonts w:hint="eastAsia" w:cs="仿宋_GB2312"/>
          <w:sz w:val="28"/>
          <w:szCs w:val="28"/>
          <w:lang w:val="en-US" w:eastAsia="zh-CN"/>
        </w:rPr>
        <w:t>90%，</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14:paraId="1D179DB5">
      <w:pPr>
        <w:pStyle w:val="4"/>
        <w:keepNext w:val="0"/>
        <w:keepLines w:val="0"/>
        <w:pageBreakBefore w:val="0"/>
        <w:widowControl w:val="0"/>
        <w:kinsoku/>
        <w:wordWrap/>
        <w:overflowPunct/>
        <w:topLinePunct w:val="0"/>
        <w:autoSpaceDE/>
        <w:autoSpaceDN/>
        <w:bidi w:val="0"/>
        <w:adjustRightInd/>
        <w:snapToGrid/>
        <w:ind w:firstLine="560"/>
        <w:jc w:val="left"/>
        <w:textAlignment w:val="auto"/>
        <w:rPr>
          <w:rFonts w:hint="eastAsia"/>
          <w:szCs w:val="28"/>
          <w:lang w:val="en-US" w:eastAsia="zh-CN"/>
        </w:rPr>
      </w:pPr>
      <w:r>
        <w:rPr>
          <w:rFonts w:hint="eastAsia"/>
          <w:szCs w:val="28"/>
          <w:lang w:val="en-US" w:eastAsia="zh-CN"/>
        </w:rPr>
        <w:t>4.偏离绩效目标的原因及下一步改进措施</w:t>
      </w:r>
    </w:p>
    <w:p w14:paraId="57FEA743">
      <w:pPr>
        <w:bidi w:val="0"/>
        <w:rPr>
          <w:rFonts w:hint="eastAsia"/>
        </w:rPr>
      </w:pPr>
      <w:r>
        <w:rPr>
          <w:rFonts w:hint="eastAsia" w:ascii="仿宋_GB2312" w:hAnsi="宋体" w:eastAsia="仿宋_GB2312" w:cstheme="minorBidi"/>
          <w:b w:val="0"/>
          <w:bCs w:val="0"/>
          <w:kern w:val="2"/>
          <w:sz w:val="28"/>
          <w:szCs w:val="28"/>
          <w:lang w:val="en-US" w:eastAsia="zh-CN" w:bidi="ar-SA"/>
        </w:rPr>
        <w:t>项目支出预算执行率较低，年末结转结余资金较多，下一步我院将督促提高资金执行率。</w:t>
      </w:r>
      <w:r>
        <w:rPr>
          <w:rFonts w:hint="eastAsia" w:hAnsi="宋体" w:cstheme="minorBidi"/>
          <w:b w:val="0"/>
          <w:bCs w:val="0"/>
          <w:kern w:val="2"/>
          <w:sz w:val="28"/>
          <w:szCs w:val="28"/>
          <w:lang w:val="en-US" w:eastAsia="zh-CN" w:bidi="ar-SA"/>
        </w:rPr>
        <w:t>二审改判率、裁判文书应上尽上率指标设置偏高</w:t>
      </w:r>
      <w:r>
        <w:rPr>
          <w:rFonts w:hint="eastAsia" w:ascii="仿宋_GB2312" w:hAnsi="宋体" w:eastAsia="仿宋_GB2312" w:cstheme="minorBidi"/>
          <w:b w:val="0"/>
          <w:bCs w:val="0"/>
          <w:kern w:val="2"/>
          <w:sz w:val="28"/>
          <w:szCs w:val="28"/>
          <w:lang w:val="en-US" w:eastAsia="zh-CN" w:bidi="ar-SA"/>
        </w:rPr>
        <w:t>。我院将进一步细化年初绩效目标设置，合理设置指标分值。</w:t>
      </w:r>
    </w:p>
    <w:p w14:paraId="2FED2F10">
      <w:pPr>
        <w:pStyle w:val="10"/>
        <w:rPr>
          <w:rFonts w:hint="eastAsia"/>
        </w:rPr>
      </w:pPr>
    </w:p>
    <w:p w14:paraId="184DD8ED">
      <w:pPr>
        <w:pStyle w:val="46"/>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rFonts w:hAnsi="宋体"/>
          <w:szCs w:val="28"/>
        </w:rPr>
      </w:pPr>
    </w:p>
    <w:p w14:paraId="40793486">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75" w:name="_Toc18400"/>
      <w:r>
        <w:rPr>
          <w:rFonts w:hint="eastAsia"/>
          <w:lang w:val="en-US" w:eastAsia="zh-CN"/>
        </w:rPr>
        <w:t>六、绩效自评结果拟应用和公开情况</w:t>
      </w:r>
      <w:bookmarkEnd w:id="63"/>
      <w:bookmarkEnd w:id="64"/>
      <w:bookmarkEnd w:id="67"/>
      <w:bookmarkEnd w:id="68"/>
      <w:bookmarkEnd w:id="69"/>
      <w:bookmarkEnd w:id="75"/>
    </w:p>
    <w:p w14:paraId="19913E12">
      <w:pPr>
        <w:keepNext w:val="0"/>
        <w:keepLines w:val="0"/>
        <w:pageBreakBefore w:val="0"/>
        <w:widowControl/>
        <w:kinsoku/>
        <w:wordWrap/>
        <w:overflowPunct/>
        <w:topLinePunct w:val="0"/>
        <w:autoSpaceDE/>
        <w:autoSpaceDN/>
        <w:bidi w:val="0"/>
        <w:adjustRightInd/>
        <w:snapToGrid/>
        <w:ind w:firstLine="560"/>
        <w:jc w:val="both"/>
        <w:textAlignment w:val="auto"/>
        <w:rPr>
          <w:rFonts w:hAnsi="宋体"/>
          <w:szCs w:val="28"/>
        </w:rPr>
      </w:pPr>
      <w:r>
        <w:rPr>
          <w:rFonts w:hint="eastAsia" w:hAnsi="宋体"/>
          <w:szCs w:val="28"/>
        </w:rPr>
        <w:t>绩效自评结果的应用是部门完善政策和改进管理的重要依据，部门要加强评价结果的应用。根据政策文件规定，我院绩效自评结果将编入</w:t>
      </w:r>
      <w:r>
        <w:rPr>
          <w:rFonts w:hint="eastAsia" w:hAnsi="宋体"/>
          <w:szCs w:val="28"/>
          <w:lang w:eastAsia="zh-CN"/>
        </w:rPr>
        <w:t>2023年度</w:t>
      </w:r>
      <w:r>
        <w:rPr>
          <w:rFonts w:hint="eastAsia" w:hAnsi="宋体"/>
          <w:szCs w:val="28"/>
        </w:rPr>
        <w:t>决算中，随同</w:t>
      </w:r>
      <w:r>
        <w:rPr>
          <w:rFonts w:hint="eastAsia" w:hAnsi="宋体"/>
          <w:szCs w:val="28"/>
          <w:lang w:eastAsia="zh-CN"/>
        </w:rPr>
        <w:t>2023年度</w:t>
      </w:r>
      <w:r>
        <w:rPr>
          <w:rFonts w:hint="eastAsia" w:hAnsi="宋体"/>
          <w:szCs w:val="28"/>
        </w:rPr>
        <w:t>部门决算同步公开。</w:t>
      </w:r>
    </w:p>
    <w:p w14:paraId="00C9B710">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76" w:name="_Toc6781"/>
      <w:bookmarkStart w:id="77" w:name="_Toc31444"/>
      <w:bookmarkStart w:id="78" w:name="_Toc40046066"/>
      <w:bookmarkStart w:id="79" w:name="_Toc4491"/>
      <w:bookmarkStart w:id="80" w:name="_Toc21490"/>
      <w:bookmarkStart w:id="81" w:name="_Toc17181"/>
      <w:r>
        <w:rPr>
          <w:rFonts w:hint="eastAsia"/>
          <w:lang w:val="en-US" w:eastAsia="zh-CN"/>
        </w:rPr>
        <w:t>七、其他需要说明的问题</w:t>
      </w:r>
      <w:bookmarkEnd w:id="76"/>
      <w:bookmarkEnd w:id="77"/>
      <w:bookmarkEnd w:id="78"/>
      <w:bookmarkEnd w:id="79"/>
      <w:bookmarkEnd w:id="80"/>
      <w:bookmarkEnd w:id="81"/>
    </w:p>
    <w:p w14:paraId="33DC6CEF">
      <w:pPr>
        <w:keepNext w:val="0"/>
        <w:keepLines w:val="0"/>
        <w:pageBreakBefore w:val="0"/>
        <w:widowControl/>
        <w:kinsoku/>
        <w:wordWrap/>
        <w:overflowPunct/>
        <w:topLinePunct w:val="0"/>
        <w:autoSpaceDE/>
        <w:autoSpaceDN/>
        <w:bidi w:val="0"/>
        <w:adjustRightInd/>
        <w:snapToGrid/>
        <w:ind w:firstLine="560"/>
        <w:jc w:val="both"/>
        <w:textAlignment w:val="auto"/>
      </w:pPr>
      <w:r>
        <w:rPr>
          <w:rFonts w:hint="eastAsia" w:hAnsi="宋体"/>
          <w:szCs w:val="28"/>
        </w:rPr>
        <w:t>无</w:t>
      </w:r>
    </w:p>
    <w:sectPr>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A00002EF" w:usb1="4000004B"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2CD1">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85FEB">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1F574">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CC1A3">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059213"/>
    </w:sdtPr>
    <w:sdtContent>
      <w:p w14:paraId="21951D8C">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14:paraId="35AFBACA">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8E176">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54C92">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73936">
    <w:pPr>
      <w:pStyle w:val="1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wZWUzNTUxYzAwOTEzNzlhY2MzNWY2MWZmNTUwY2QifQ=="/>
  </w:docVars>
  <w:rsids>
    <w:rsidRoot w:val="00172A27"/>
    <w:rsid w:val="00001220"/>
    <w:rsid w:val="000018E7"/>
    <w:rsid w:val="00011E89"/>
    <w:rsid w:val="00015C18"/>
    <w:rsid w:val="00021C2D"/>
    <w:rsid w:val="0002281D"/>
    <w:rsid w:val="00026B98"/>
    <w:rsid w:val="0002731E"/>
    <w:rsid w:val="00030A60"/>
    <w:rsid w:val="000421EC"/>
    <w:rsid w:val="00042353"/>
    <w:rsid w:val="0004248D"/>
    <w:rsid w:val="00044C91"/>
    <w:rsid w:val="000453DB"/>
    <w:rsid w:val="00050120"/>
    <w:rsid w:val="000508F8"/>
    <w:rsid w:val="00051A03"/>
    <w:rsid w:val="00052A18"/>
    <w:rsid w:val="000578E8"/>
    <w:rsid w:val="00057E84"/>
    <w:rsid w:val="00061833"/>
    <w:rsid w:val="00062D5D"/>
    <w:rsid w:val="0006376F"/>
    <w:rsid w:val="000639A6"/>
    <w:rsid w:val="0006593A"/>
    <w:rsid w:val="000670F2"/>
    <w:rsid w:val="0006765C"/>
    <w:rsid w:val="00070F2A"/>
    <w:rsid w:val="00071C48"/>
    <w:rsid w:val="00074885"/>
    <w:rsid w:val="00075C51"/>
    <w:rsid w:val="00075EFB"/>
    <w:rsid w:val="000846DD"/>
    <w:rsid w:val="00085481"/>
    <w:rsid w:val="00094E9D"/>
    <w:rsid w:val="000955EC"/>
    <w:rsid w:val="0009668A"/>
    <w:rsid w:val="000A0A51"/>
    <w:rsid w:val="000A57E0"/>
    <w:rsid w:val="000A5D46"/>
    <w:rsid w:val="000A6007"/>
    <w:rsid w:val="000A66CD"/>
    <w:rsid w:val="000B01A8"/>
    <w:rsid w:val="000B1A30"/>
    <w:rsid w:val="000B1FB4"/>
    <w:rsid w:val="000B68FD"/>
    <w:rsid w:val="000B791F"/>
    <w:rsid w:val="000C27EE"/>
    <w:rsid w:val="000C3048"/>
    <w:rsid w:val="000C3B2A"/>
    <w:rsid w:val="000C4AA0"/>
    <w:rsid w:val="000C5053"/>
    <w:rsid w:val="000C7790"/>
    <w:rsid w:val="000D0995"/>
    <w:rsid w:val="000D1BB6"/>
    <w:rsid w:val="000D228A"/>
    <w:rsid w:val="000D22CC"/>
    <w:rsid w:val="000D274B"/>
    <w:rsid w:val="000D53C1"/>
    <w:rsid w:val="000E2285"/>
    <w:rsid w:val="000E34DC"/>
    <w:rsid w:val="000E37E8"/>
    <w:rsid w:val="000E6E6C"/>
    <w:rsid w:val="000F0314"/>
    <w:rsid w:val="000F1E58"/>
    <w:rsid w:val="000F3CD2"/>
    <w:rsid w:val="000F3F1B"/>
    <w:rsid w:val="000F61A5"/>
    <w:rsid w:val="0010214F"/>
    <w:rsid w:val="0011122C"/>
    <w:rsid w:val="0011136E"/>
    <w:rsid w:val="001122B4"/>
    <w:rsid w:val="00112A98"/>
    <w:rsid w:val="00113E82"/>
    <w:rsid w:val="0011415E"/>
    <w:rsid w:val="00116A7E"/>
    <w:rsid w:val="00127EC6"/>
    <w:rsid w:val="001317A2"/>
    <w:rsid w:val="00132865"/>
    <w:rsid w:val="00132B05"/>
    <w:rsid w:val="001355FA"/>
    <w:rsid w:val="00136178"/>
    <w:rsid w:val="001416C7"/>
    <w:rsid w:val="00146829"/>
    <w:rsid w:val="00151D5C"/>
    <w:rsid w:val="00153BF6"/>
    <w:rsid w:val="001638F2"/>
    <w:rsid w:val="00163F5A"/>
    <w:rsid w:val="0016405A"/>
    <w:rsid w:val="001641ED"/>
    <w:rsid w:val="00164FA3"/>
    <w:rsid w:val="001650B3"/>
    <w:rsid w:val="00165504"/>
    <w:rsid w:val="00167955"/>
    <w:rsid w:val="00170518"/>
    <w:rsid w:val="0017060C"/>
    <w:rsid w:val="00171E2B"/>
    <w:rsid w:val="00172011"/>
    <w:rsid w:val="00172A27"/>
    <w:rsid w:val="0017370F"/>
    <w:rsid w:val="0017485C"/>
    <w:rsid w:val="0017706A"/>
    <w:rsid w:val="00182812"/>
    <w:rsid w:val="00183DE1"/>
    <w:rsid w:val="00186986"/>
    <w:rsid w:val="00186E2D"/>
    <w:rsid w:val="001978BF"/>
    <w:rsid w:val="00197986"/>
    <w:rsid w:val="001A0C07"/>
    <w:rsid w:val="001A2AD5"/>
    <w:rsid w:val="001A5729"/>
    <w:rsid w:val="001A5FBA"/>
    <w:rsid w:val="001A62D9"/>
    <w:rsid w:val="001A7026"/>
    <w:rsid w:val="001B2602"/>
    <w:rsid w:val="001B2689"/>
    <w:rsid w:val="001B780F"/>
    <w:rsid w:val="001B7F3F"/>
    <w:rsid w:val="001C3244"/>
    <w:rsid w:val="001C5292"/>
    <w:rsid w:val="001D06F7"/>
    <w:rsid w:val="001D0796"/>
    <w:rsid w:val="001D0C2E"/>
    <w:rsid w:val="001D1D2B"/>
    <w:rsid w:val="001E286D"/>
    <w:rsid w:val="001E4502"/>
    <w:rsid w:val="001F0586"/>
    <w:rsid w:val="001F0AAA"/>
    <w:rsid w:val="001F0E91"/>
    <w:rsid w:val="001F42CB"/>
    <w:rsid w:val="001F4E60"/>
    <w:rsid w:val="001F5079"/>
    <w:rsid w:val="001F7F88"/>
    <w:rsid w:val="00210C20"/>
    <w:rsid w:val="00211FDC"/>
    <w:rsid w:val="002136B8"/>
    <w:rsid w:val="00213991"/>
    <w:rsid w:val="00214A99"/>
    <w:rsid w:val="00214B82"/>
    <w:rsid w:val="00214BD7"/>
    <w:rsid w:val="00216F1A"/>
    <w:rsid w:val="00217B9E"/>
    <w:rsid w:val="00220973"/>
    <w:rsid w:val="00220FB5"/>
    <w:rsid w:val="0022251E"/>
    <w:rsid w:val="002238E6"/>
    <w:rsid w:val="00227184"/>
    <w:rsid w:val="00227B71"/>
    <w:rsid w:val="00227D63"/>
    <w:rsid w:val="00232ED7"/>
    <w:rsid w:val="00236C52"/>
    <w:rsid w:val="00236ED2"/>
    <w:rsid w:val="00241EBF"/>
    <w:rsid w:val="00242934"/>
    <w:rsid w:val="00251B45"/>
    <w:rsid w:val="0025236B"/>
    <w:rsid w:val="00252DBA"/>
    <w:rsid w:val="00253CB1"/>
    <w:rsid w:val="002544CC"/>
    <w:rsid w:val="002617E4"/>
    <w:rsid w:val="00262B43"/>
    <w:rsid w:val="0026306D"/>
    <w:rsid w:val="00265187"/>
    <w:rsid w:val="002667D4"/>
    <w:rsid w:val="00270726"/>
    <w:rsid w:val="002709D3"/>
    <w:rsid w:val="002726F7"/>
    <w:rsid w:val="00293B67"/>
    <w:rsid w:val="00297D07"/>
    <w:rsid w:val="002A0425"/>
    <w:rsid w:val="002A2B4C"/>
    <w:rsid w:val="002A2CE3"/>
    <w:rsid w:val="002A3228"/>
    <w:rsid w:val="002A4AEB"/>
    <w:rsid w:val="002A4C84"/>
    <w:rsid w:val="002A62A1"/>
    <w:rsid w:val="002A68A1"/>
    <w:rsid w:val="002B2949"/>
    <w:rsid w:val="002B4813"/>
    <w:rsid w:val="002B522C"/>
    <w:rsid w:val="002B54FA"/>
    <w:rsid w:val="002B6D76"/>
    <w:rsid w:val="002B7483"/>
    <w:rsid w:val="002C4C48"/>
    <w:rsid w:val="002C69AF"/>
    <w:rsid w:val="002C705C"/>
    <w:rsid w:val="002D3384"/>
    <w:rsid w:val="002D713D"/>
    <w:rsid w:val="002D7C6F"/>
    <w:rsid w:val="002E30F2"/>
    <w:rsid w:val="002E35A8"/>
    <w:rsid w:val="002E5F4C"/>
    <w:rsid w:val="002F102A"/>
    <w:rsid w:val="002F258F"/>
    <w:rsid w:val="002F28FB"/>
    <w:rsid w:val="002F49DB"/>
    <w:rsid w:val="002F614B"/>
    <w:rsid w:val="002F69BB"/>
    <w:rsid w:val="003001C4"/>
    <w:rsid w:val="00303027"/>
    <w:rsid w:val="003031D7"/>
    <w:rsid w:val="00304BDE"/>
    <w:rsid w:val="0030548E"/>
    <w:rsid w:val="003132C4"/>
    <w:rsid w:val="00313B92"/>
    <w:rsid w:val="00316876"/>
    <w:rsid w:val="003168FF"/>
    <w:rsid w:val="0031784F"/>
    <w:rsid w:val="00321DE0"/>
    <w:rsid w:val="00323410"/>
    <w:rsid w:val="00323BFC"/>
    <w:rsid w:val="0032574A"/>
    <w:rsid w:val="00327301"/>
    <w:rsid w:val="0032797F"/>
    <w:rsid w:val="00330ECF"/>
    <w:rsid w:val="0033476A"/>
    <w:rsid w:val="00335E92"/>
    <w:rsid w:val="003377C6"/>
    <w:rsid w:val="003405E3"/>
    <w:rsid w:val="00347BE2"/>
    <w:rsid w:val="00354A66"/>
    <w:rsid w:val="00355740"/>
    <w:rsid w:val="003563A4"/>
    <w:rsid w:val="00357F55"/>
    <w:rsid w:val="00361BF7"/>
    <w:rsid w:val="0036425D"/>
    <w:rsid w:val="00366851"/>
    <w:rsid w:val="00367071"/>
    <w:rsid w:val="00367C62"/>
    <w:rsid w:val="0037146B"/>
    <w:rsid w:val="0037297D"/>
    <w:rsid w:val="0037644C"/>
    <w:rsid w:val="00381DFC"/>
    <w:rsid w:val="00382C34"/>
    <w:rsid w:val="003902AE"/>
    <w:rsid w:val="00390A77"/>
    <w:rsid w:val="00390E0A"/>
    <w:rsid w:val="00392C10"/>
    <w:rsid w:val="00393B11"/>
    <w:rsid w:val="00396D6B"/>
    <w:rsid w:val="003A4775"/>
    <w:rsid w:val="003A7052"/>
    <w:rsid w:val="003B33E4"/>
    <w:rsid w:val="003B33F8"/>
    <w:rsid w:val="003B4445"/>
    <w:rsid w:val="003B52B9"/>
    <w:rsid w:val="003B5862"/>
    <w:rsid w:val="003C20C3"/>
    <w:rsid w:val="003C21AA"/>
    <w:rsid w:val="003C2223"/>
    <w:rsid w:val="003C2338"/>
    <w:rsid w:val="003C39CE"/>
    <w:rsid w:val="003C5CB5"/>
    <w:rsid w:val="003C69A2"/>
    <w:rsid w:val="003D336E"/>
    <w:rsid w:val="003D5BF2"/>
    <w:rsid w:val="003D6BB1"/>
    <w:rsid w:val="003D7492"/>
    <w:rsid w:val="003E06E7"/>
    <w:rsid w:val="003E17F2"/>
    <w:rsid w:val="003E337A"/>
    <w:rsid w:val="003E5716"/>
    <w:rsid w:val="003E6D55"/>
    <w:rsid w:val="003E721E"/>
    <w:rsid w:val="003F03FA"/>
    <w:rsid w:val="003F106A"/>
    <w:rsid w:val="003F19D5"/>
    <w:rsid w:val="003F1FF5"/>
    <w:rsid w:val="003F4020"/>
    <w:rsid w:val="003F404D"/>
    <w:rsid w:val="003F463C"/>
    <w:rsid w:val="003F490F"/>
    <w:rsid w:val="003F7D85"/>
    <w:rsid w:val="004004B3"/>
    <w:rsid w:val="00404A4E"/>
    <w:rsid w:val="00404E5D"/>
    <w:rsid w:val="00404F5E"/>
    <w:rsid w:val="004058B9"/>
    <w:rsid w:val="00405AAF"/>
    <w:rsid w:val="00411640"/>
    <w:rsid w:val="00411999"/>
    <w:rsid w:val="00412FB1"/>
    <w:rsid w:val="00421E38"/>
    <w:rsid w:val="00422C44"/>
    <w:rsid w:val="00423C6D"/>
    <w:rsid w:val="0042725E"/>
    <w:rsid w:val="00427A0D"/>
    <w:rsid w:val="004328FC"/>
    <w:rsid w:val="0043408E"/>
    <w:rsid w:val="00436CF5"/>
    <w:rsid w:val="00437030"/>
    <w:rsid w:val="00440055"/>
    <w:rsid w:val="00443CEA"/>
    <w:rsid w:val="00443EB0"/>
    <w:rsid w:val="00444E55"/>
    <w:rsid w:val="0045052D"/>
    <w:rsid w:val="00450701"/>
    <w:rsid w:val="004555C6"/>
    <w:rsid w:val="00460270"/>
    <w:rsid w:val="00462257"/>
    <w:rsid w:val="00472F1A"/>
    <w:rsid w:val="00474265"/>
    <w:rsid w:val="00474E7C"/>
    <w:rsid w:val="0047699B"/>
    <w:rsid w:val="004770B8"/>
    <w:rsid w:val="00480C03"/>
    <w:rsid w:val="00481546"/>
    <w:rsid w:val="00483296"/>
    <w:rsid w:val="00486086"/>
    <w:rsid w:val="004905A1"/>
    <w:rsid w:val="00491DC9"/>
    <w:rsid w:val="00492E57"/>
    <w:rsid w:val="004940DF"/>
    <w:rsid w:val="004951D2"/>
    <w:rsid w:val="004960A8"/>
    <w:rsid w:val="00496DA9"/>
    <w:rsid w:val="004972EB"/>
    <w:rsid w:val="004A31A3"/>
    <w:rsid w:val="004A639F"/>
    <w:rsid w:val="004A6467"/>
    <w:rsid w:val="004A6727"/>
    <w:rsid w:val="004B5AB7"/>
    <w:rsid w:val="004B6903"/>
    <w:rsid w:val="004C19E4"/>
    <w:rsid w:val="004C2319"/>
    <w:rsid w:val="004C262F"/>
    <w:rsid w:val="004C3A54"/>
    <w:rsid w:val="004C461C"/>
    <w:rsid w:val="004C4F85"/>
    <w:rsid w:val="004C5119"/>
    <w:rsid w:val="004C74C2"/>
    <w:rsid w:val="004D1269"/>
    <w:rsid w:val="004D238B"/>
    <w:rsid w:val="004D43C5"/>
    <w:rsid w:val="004D441B"/>
    <w:rsid w:val="004D4863"/>
    <w:rsid w:val="004D5388"/>
    <w:rsid w:val="004D56A6"/>
    <w:rsid w:val="004E12BF"/>
    <w:rsid w:val="004E45EA"/>
    <w:rsid w:val="004E5916"/>
    <w:rsid w:val="004E7D2E"/>
    <w:rsid w:val="004F10AE"/>
    <w:rsid w:val="004F1270"/>
    <w:rsid w:val="004F20F5"/>
    <w:rsid w:val="004F65F1"/>
    <w:rsid w:val="0050326C"/>
    <w:rsid w:val="00504BFD"/>
    <w:rsid w:val="00506988"/>
    <w:rsid w:val="00511BB3"/>
    <w:rsid w:val="00512345"/>
    <w:rsid w:val="005140D5"/>
    <w:rsid w:val="0051422B"/>
    <w:rsid w:val="005167DA"/>
    <w:rsid w:val="00520C7C"/>
    <w:rsid w:val="005219BD"/>
    <w:rsid w:val="005234E2"/>
    <w:rsid w:val="00523C41"/>
    <w:rsid w:val="00524EAC"/>
    <w:rsid w:val="0052622F"/>
    <w:rsid w:val="00526EC4"/>
    <w:rsid w:val="005301F8"/>
    <w:rsid w:val="00530C6C"/>
    <w:rsid w:val="00533D03"/>
    <w:rsid w:val="00536313"/>
    <w:rsid w:val="0053668C"/>
    <w:rsid w:val="0053738C"/>
    <w:rsid w:val="00540992"/>
    <w:rsid w:val="00541820"/>
    <w:rsid w:val="00541F93"/>
    <w:rsid w:val="0054275A"/>
    <w:rsid w:val="00542D33"/>
    <w:rsid w:val="00543BBC"/>
    <w:rsid w:val="00544620"/>
    <w:rsid w:val="0054665C"/>
    <w:rsid w:val="00546D13"/>
    <w:rsid w:val="0054793B"/>
    <w:rsid w:val="00550479"/>
    <w:rsid w:val="00555954"/>
    <w:rsid w:val="00560C11"/>
    <w:rsid w:val="00561060"/>
    <w:rsid w:val="00562FB1"/>
    <w:rsid w:val="00567347"/>
    <w:rsid w:val="00567D8A"/>
    <w:rsid w:val="00571E8A"/>
    <w:rsid w:val="00576291"/>
    <w:rsid w:val="00577AC9"/>
    <w:rsid w:val="00581041"/>
    <w:rsid w:val="00582E53"/>
    <w:rsid w:val="00583A9E"/>
    <w:rsid w:val="00583C26"/>
    <w:rsid w:val="00584CAA"/>
    <w:rsid w:val="0058515C"/>
    <w:rsid w:val="0058712D"/>
    <w:rsid w:val="0058734E"/>
    <w:rsid w:val="005918AE"/>
    <w:rsid w:val="00591A5D"/>
    <w:rsid w:val="00594F20"/>
    <w:rsid w:val="005A00E1"/>
    <w:rsid w:val="005A18FE"/>
    <w:rsid w:val="005A445D"/>
    <w:rsid w:val="005A6622"/>
    <w:rsid w:val="005A7178"/>
    <w:rsid w:val="005B1DEB"/>
    <w:rsid w:val="005B25E7"/>
    <w:rsid w:val="005B2CEA"/>
    <w:rsid w:val="005B70CF"/>
    <w:rsid w:val="005C092B"/>
    <w:rsid w:val="005C4A34"/>
    <w:rsid w:val="005C4E75"/>
    <w:rsid w:val="005D3005"/>
    <w:rsid w:val="005D4CF3"/>
    <w:rsid w:val="005D7147"/>
    <w:rsid w:val="005D7514"/>
    <w:rsid w:val="005E03B7"/>
    <w:rsid w:val="005E08AC"/>
    <w:rsid w:val="005E0967"/>
    <w:rsid w:val="005E1613"/>
    <w:rsid w:val="005E20E6"/>
    <w:rsid w:val="005E23F3"/>
    <w:rsid w:val="005E5342"/>
    <w:rsid w:val="005F3E7C"/>
    <w:rsid w:val="005F4EFE"/>
    <w:rsid w:val="005F4F02"/>
    <w:rsid w:val="005F7783"/>
    <w:rsid w:val="00601427"/>
    <w:rsid w:val="00607027"/>
    <w:rsid w:val="00612085"/>
    <w:rsid w:val="006138FB"/>
    <w:rsid w:val="00614221"/>
    <w:rsid w:val="00615661"/>
    <w:rsid w:val="00615EA8"/>
    <w:rsid w:val="00616513"/>
    <w:rsid w:val="006168E9"/>
    <w:rsid w:val="006301CF"/>
    <w:rsid w:val="00630462"/>
    <w:rsid w:val="00631386"/>
    <w:rsid w:val="006317B7"/>
    <w:rsid w:val="00633564"/>
    <w:rsid w:val="00633C6E"/>
    <w:rsid w:val="0063448A"/>
    <w:rsid w:val="00635807"/>
    <w:rsid w:val="00641532"/>
    <w:rsid w:val="00645311"/>
    <w:rsid w:val="0064705B"/>
    <w:rsid w:val="00650213"/>
    <w:rsid w:val="00650B27"/>
    <w:rsid w:val="006511BC"/>
    <w:rsid w:val="006523E1"/>
    <w:rsid w:val="00653CE9"/>
    <w:rsid w:val="0066113E"/>
    <w:rsid w:val="006629C3"/>
    <w:rsid w:val="00664215"/>
    <w:rsid w:val="00664601"/>
    <w:rsid w:val="00664BCF"/>
    <w:rsid w:val="00664F64"/>
    <w:rsid w:val="00665FCF"/>
    <w:rsid w:val="00667680"/>
    <w:rsid w:val="00670162"/>
    <w:rsid w:val="00674996"/>
    <w:rsid w:val="00682AED"/>
    <w:rsid w:val="00687849"/>
    <w:rsid w:val="00687A52"/>
    <w:rsid w:val="006903F9"/>
    <w:rsid w:val="006911C4"/>
    <w:rsid w:val="00691C2C"/>
    <w:rsid w:val="0069312D"/>
    <w:rsid w:val="00696E08"/>
    <w:rsid w:val="006974DE"/>
    <w:rsid w:val="006A1EB9"/>
    <w:rsid w:val="006A4784"/>
    <w:rsid w:val="006A657C"/>
    <w:rsid w:val="006B0AF4"/>
    <w:rsid w:val="006B4A0C"/>
    <w:rsid w:val="006B7656"/>
    <w:rsid w:val="006C25DB"/>
    <w:rsid w:val="006C54AB"/>
    <w:rsid w:val="006C7775"/>
    <w:rsid w:val="006D0988"/>
    <w:rsid w:val="006D2D7A"/>
    <w:rsid w:val="006D3D71"/>
    <w:rsid w:val="006D61EA"/>
    <w:rsid w:val="006D6694"/>
    <w:rsid w:val="006E6810"/>
    <w:rsid w:val="006E6831"/>
    <w:rsid w:val="006F31A0"/>
    <w:rsid w:val="006F407A"/>
    <w:rsid w:val="006F6B16"/>
    <w:rsid w:val="0070004A"/>
    <w:rsid w:val="0070070A"/>
    <w:rsid w:val="007007E8"/>
    <w:rsid w:val="00700CC2"/>
    <w:rsid w:val="00705BA4"/>
    <w:rsid w:val="007075AC"/>
    <w:rsid w:val="007104B3"/>
    <w:rsid w:val="00710978"/>
    <w:rsid w:val="007153B6"/>
    <w:rsid w:val="00717D14"/>
    <w:rsid w:val="007214F9"/>
    <w:rsid w:val="007304DF"/>
    <w:rsid w:val="0073281E"/>
    <w:rsid w:val="00734E65"/>
    <w:rsid w:val="0074325F"/>
    <w:rsid w:val="007432BB"/>
    <w:rsid w:val="0075170E"/>
    <w:rsid w:val="00754D8D"/>
    <w:rsid w:val="0075663D"/>
    <w:rsid w:val="00756C8C"/>
    <w:rsid w:val="007603D0"/>
    <w:rsid w:val="007616B0"/>
    <w:rsid w:val="00762702"/>
    <w:rsid w:val="00762D1B"/>
    <w:rsid w:val="00763D10"/>
    <w:rsid w:val="00766BD6"/>
    <w:rsid w:val="00767A49"/>
    <w:rsid w:val="00767B36"/>
    <w:rsid w:val="00771113"/>
    <w:rsid w:val="00771F15"/>
    <w:rsid w:val="0077240E"/>
    <w:rsid w:val="00781095"/>
    <w:rsid w:val="00781FF3"/>
    <w:rsid w:val="00786E2D"/>
    <w:rsid w:val="0079566D"/>
    <w:rsid w:val="00797F6D"/>
    <w:rsid w:val="007A1F84"/>
    <w:rsid w:val="007A59AC"/>
    <w:rsid w:val="007A658F"/>
    <w:rsid w:val="007A7F3D"/>
    <w:rsid w:val="007B0B4D"/>
    <w:rsid w:val="007B25B1"/>
    <w:rsid w:val="007B509F"/>
    <w:rsid w:val="007B599C"/>
    <w:rsid w:val="007C15E8"/>
    <w:rsid w:val="007C3263"/>
    <w:rsid w:val="007C3784"/>
    <w:rsid w:val="007C52D7"/>
    <w:rsid w:val="007C59A3"/>
    <w:rsid w:val="007C5BBC"/>
    <w:rsid w:val="007C64D0"/>
    <w:rsid w:val="007C706D"/>
    <w:rsid w:val="007C78AD"/>
    <w:rsid w:val="007D1562"/>
    <w:rsid w:val="007D1D1C"/>
    <w:rsid w:val="007D2489"/>
    <w:rsid w:val="007D30BC"/>
    <w:rsid w:val="007D33DF"/>
    <w:rsid w:val="007D4F65"/>
    <w:rsid w:val="007D53B3"/>
    <w:rsid w:val="007D58A3"/>
    <w:rsid w:val="007D5F5D"/>
    <w:rsid w:val="007D7D6C"/>
    <w:rsid w:val="007E07E5"/>
    <w:rsid w:val="007E0CE6"/>
    <w:rsid w:val="007E455D"/>
    <w:rsid w:val="007F185A"/>
    <w:rsid w:val="007F2626"/>
    <w:rsid w:val="007F4BC5"/>
    <w:rsid w:val="007F5FAD"/>
    <w:rsid w:val="007F7EF8"/>
    <w:rsid w:val="00800FD0"/>
    <w:rsid w:val="00802E61"/>
    <w:rsid w:val="00803D76"/>
    <w:rsid w:val="00806ACF"/>
    <w:rsid w:val="00807B49"/>
    <w:rsid w:val="00810B3B"/>
    <w:rsid w:val="00811E05"/>
    <w:rsid w:val="00814620"/>
    <w:rsid w:val="00814F13"/>
    <w:rsid w:val="0081585E"/>
    <w:rsid w:val="008160E8"/>
    <w:rsid w:val="00816543"/>
    <w:rsid w:val="0082040B"/>
    <w:rsid w:val="0082233A"/>
    <w:rsid w:val="00823E65"/>
    <w:rsid w:val="008246FE"/>
    <w:rsid w:val="00826821"/>
    <w:rsid w:val="00826D27"/>
    <w:rsid w:val="008275B1"/>
    <w:rsid w:val="00830317"/>
    <w:rsid w:val="00832908"/>
    <w:rsid w:val="00832EF2"/>
    <w:rsid w:val="00833469"/>
    <w:rsid w:val="008338D7"/>
    <w:rsid w:val="00834F37"/>
    <w:rsid w:val="00835CA9"/>
    <w:rsid w:val="00837254"/>
    <w:rsid w:val="00837FE8"/>
    <w:rsid w:val="00840456"/>
    <w:rsid w:val="00841222"/>
    <w:rsid w:val="00844388"/>
    <w:rsid w:val="00851970"/>
    <w:rsid w:val="00852A90"/>
    <w:rsid w:val="00854F16"/>
    <w:rsid w:val="008559BB"/>
    <w:rsid w:val="00856A28"/>
    <w:rsid w:val="0085761A"/>
    <w:rsid w:val="00863176"/>
    <w:rsid w:val="0086319C"/>
    <w:rsid w:val="0086342F"/>
    <w:rsid w:val="008665D7"/>
    <w:rsid w:val="00866E61"/>
    <w:rsid w:val="008674AD"/>
    <w:rsid w:val="008709B0"/>
    <w:rsid w:val="00872337"/>
    <w:rsid w:val="0087277F"/>
    <w:rsid w:val="00872C90"/>
    <w:rsid w:val="00872E6E"/>
    <w:rsid w:val="0087306E"/>
    <w:rsid w:val="0087475A"/>
    <w:rsid w:val="008755F6"/>
    <w:rsid w:val="00877F36"/>
    <w:rsid w:val="00880A05"/>
    <w:rsid w:val="00882EC1"/>
    <w:rsid w:val="008853F4"/>
    <w:rsid w:val="00886145"/>
    <w:rsid w:val="0088616A"/>
    <w:rsid w:val="008901DE"/>
    <w:rsid w:val="00892EF5"/>
    <w:rsid w:val="008937D2"/>
    <w:rsid w:val="008945CE"/>
    <w:rsid w:val="008949AA"/>
    <w:rsid w:val="008949C2"/>
    <w:rsid w:val="00895481"/>
    <w:rsid w:val="0089667F"/>
    <w:rsid w:val="0089680C"/>
    <w:rsid w:val="00897B22"/>
    <w:rsid w:val="00897F78"/>
    <w:rsid w:val="008A5180"/>
    <w:rsid w:val="008A61D9"/>
    <w:rsid w:val="008B0491"/>
    <w:rsid w:val="008B0628"/>
    <w:rsid w:val="008B0DFD"/>
    <w:rsid w:val="008B1245"/>
    <w:rsid w:val="008B1492"/>
    <w:rsid w:val="008B1EB1"/>
    <w:rsid w:val="008B34AF"/>
    <w:rsid w:val="008B35AB"/>
    <w:rsid w:val="008B3CDF"/>
    <w:rsid w:val="008B7212"/>
    <w:rsid w:val="008B7A39"/>
    <w:rsid w:val="008B7E4E"/>
    <w:rsid w:val="008C143C"/>
    <w:rsid w:val="008D0417"/>
    <w:rsid w:val="008D1BA8"/>
    <w:rsid w:val="008D4175"/>
    <w:rsid w:val="008E136B"/>
    <w:rsid w:val="008E1B52"/>
    <w:rsid w:val="008E24F6"/>
    <w:rsid w:val="008E2EB0"/>
    <w:rsid w:val="008E4186"/>
    <w:rsid w:val="008E53AF"/>
    <w:rsid w:val="008E5595"/>
    <w:rsid w:val="008E732B"/>
    <w:rsid w:val="008E773C"/>
    <w:rsid w:val="008F0FDB"/>
    <w:rsid w:val="008F3D7B"/>
    <w:rsid w:val="008F58A3"/>
    <w:rsid w:val="00902BF4"/>
    <w:rsid w:val="00902E9C"/>
    <w:rsid w:val="00905E3A"/>
    <w:rsid w:val="00911824"/>
    <w:rsid w:val="00911B80"/>
    <w:rsid w:val="009125B6"/>
    <w:rsid w:val="009165DD"/>
    <w:rsid w:val="0091764C"/>
    <w:rsid w:val="00917BEE"/>
    <w:rsid w:val="00917D75"/>
    <w:rsid w:val="0092140C"/>
    <w:rsid w:val="009219D6"/>
    <w:rsid w:val="00921CA2"/>
    <w:rsid w:val="0092304F"/>
    <w:rsid w:val="00923290"/>
    <w:rsid w:val="00923A59"/>
    <w:rsid w:val="009302C0"/>
    <w:rsid w:val="00930302"/>
    <w:rsid w:val="00931D6E"/>
    <w:rsid w:val="00934351"/>
    <w:rsid w:val="0093445E"/>
    <w:rsid w:val="009349CC"/>
    <w:rsid w:val="00934C45"/>
    <w:rsid w:val="00934DA9"/>
    <w:rsid w:val="00940A9F"/>
    <w:rsid w:val="009422DE"/>
    <w:rsid w:val="00942431"/>
    <w:rsid w:val="0094402F"/>
    <w:rsid w:val="009452F1"/>
    <w:rsid w:val="0094643C"/>
    <w:rsid w:val="009478C6"/>
    <w:rsid w:val="00947FFD"/>
    <w:rsid w:val="009539B4"/>
    <w:rsid w:val="009563E9"/>
    <w:rsid w:val="009569C1"/>
    <w:rsid w:val="0096486E"/>
    <w:rsid w:val="0096492B"/>
    <w:rsid w:val="009703FF"/>
    <w:rsid w:val="0097077A"/>
    <w:rsid w:val="009768E6"/>
    <w:rsid w:val="00976E70"/>
    <w:rsid w:val="009803BF"/>
    <w:rsid w:val="00982408"/>
    <w:rsid w:val="00983054"/>
    <w:rsid w:val="00983E8F"/>
    <w:rsid w:val="00984072"/>
    <w:rsid w:val="00984D6B"/>
    <w:rsid w:val="00991366"/>
    <w:rsid w:val="009A1144"/>
    <w:rsid w:val="009A3B6D"/>
    <w:rsid w:val="009A6DCA"/>
    <w:rsid w:val="009B057B"/>
    <w:rsid w:val="009B1D2C"/>
    <w:rsid w:val="009B1DE7"/>
    <w:rsid w:val="009B1EEC"/>
    <w:rsid w:val="009B6330"/>
    <w:rsid w:val="009B68E1"/>
    <w:rsid w:val="009B6B99"/>
    <w:rsid w:val="009B786D"/>
    <w:rsid w:val="009C15A4"/>
    <w:rsid w:val="009C2D36"/>
    <w:rsid w:val="009C3198"/>
    <w:rsid w:val="009C6635"/>
    <w:rsid w:val="009C6B8A"/>
    <w:rsid w:val="009C7AB2"/>
    <w:rsid w:val="009D0816"/>
    <w:rsid w:val="009D0FAB"/>
    <w:rsid w:val="009D53F7"/>
    <w:rsid w:val="009D6CBF"/>
    <w:rsid w:val="009D7267"/>
    <w:rsid w:val="009D7449"/>
    <w:rsid w:val="009D7ABF"/>
    <w:rsid w:val="009E2286"/>
    <w:rsid w:val="009E4683"/>
    <w:rsid w:val="009E488B"/>
    <w:rsid w:val="009E6FDA"/>
    <w:rsid w:val="009E78F5"/>
    <w:rsid w:val="009F0370"/>
    <w:rsid w:val="00A02799"/>
    <w:rsid w:val="00A031C7"/>
    <w:rsid w:val="00A04E2C"/>
    <w:rsid w:val="00A07C9C"/>
    <w:rsid w:val="00A07D91"/>
    <w:rsid w:val="00A07DD2"/>
    <w:rsid w:val="00A10229"/>
    <w:rsid w:val="00A11842"/>
    <w:rsid w:val="00A1328B"/>
    <w:rsid w:val="00A149C3"/>
    <w:rsid w:val="00A17E50"/>
    <w:rsid w:val="00A20C73"/>
    <w:rsid w:val="00A24A5B"/>
    <w:rsid w:val="00A268ED"/>
    <w:rsid w:val="00A26E10"/>
    <w:rsid w:val="00A302E0"/>
    <w:rsid w:val="00A3052D"/>
    <w:rsid w:val="00A30E09"/>
    <w:rsid w:val="00A321F7"/>
    <w:rsid w:val="00A32385"/>
    <w:rsid w:val="00A35B65"/>
    <w:rsid w:val="00A369A4"/>
    <w:rsid w:val="00A441FB"/>
    <w:rsid w:val="00A473CC"/>
    <w:rsid w:val="00A50448"/>
    <w:rsid w:val="00A54D49"/>
    <w:rsid w:val="00A55A67"/>
    <w:rsid w:val="00A55CA9"/>
    <w:rsid w:val="00A60F20"/>
    <w:rsid w:val="00A6179B"/>
    <w:rsid w:val="00A62F65"/>
    <w:rsid w:val="00A64832"/>
    <w:rsid w:val="00A67590"/>
    <w:rsid w:val="00A67B6F"/>
    <w:rsid w:val="00A67BF8"/>
    <w:rsid w:val="00A73039"/>
    <w:rsid w:val="00A752A1"/>
    <w:rsid w:val="00A75A69"/>
    <w:rsid w:val="00A75E0B"/>
    <w:rsid w:val="00A80546"/>
    <w:rsid w:val="00A80642"/>
    <w:rsid w:val="00A83D5F"/>
    <w:rsid w:val="00A83E67"/>
    <w:rsid w:val="00A84A4D"/>
    <w:rsid w:val="00A84D6F"/>
    <w:rsid w:val="00A851CC"/>
    <w:rsid w:val="00A86073"/>
    <w:rsid w:val="00A90F15"/>
    <w:rsid w:val="00A92110"/>
    <w:rsid w:val="00A92C83"/>
    <w:rsid w:val="00A92ECA"/>
    <w:rsid w:val="00A93344"/>
    <w:rsid w:val="00A9349A"/>
    <w:rsid w:val="00A942A6"/>
    <w:rsid w:val="00A959C7"/>
    <w:rsid w:val="00AA0073"/>
    <w:rsid w:val="00AA38A0"/>
    <w:rsid w:val="00AA3BF0"/>
    <w:rsid w:val="00AA56E3"/>
    <w:rsid w:val="00AA7897"/>
    <w:rsid w:val="00AB04A1"/>
    <w:rsid w:val="00AB0C26"/>
    <w:rsid w:val="00AB0D2C"/>
    <w:rsid w:val="00AB25A2"/>
    <w:rsid w:val="00AB6BAF"/>
    <w:rsid w:val="00AC17ED"/>
    <w:rsid w:val="00AC3169"/>
    <w:rsid w:val="00AC575F"/>
    <w:rsid w:val="00AC683A"/>
    <w:rsid w:val="00AC6FD6"/>
    <w:rsid w:val="00AD1F6C"/>
    <w:rsid w:val="00AD3BA8"/>
    <w:rsid w:val="00AD3DD7"/>
    <w:rsid w:val="00AD4457"/>
    <w:rsid w:val="00AE078A"/>
    <w:rsid w:val="00AE1D23"/>
    <w:rsid w:val="00AE4493"/>
    <w:rsid w:val="00AF11AC"/>
    <w:rsid w:val="00AF1294"/>
    <w:rsid w:val="00AF1CE3"/>
    <w:rsid w:val="00AF1EF7"/>
    <w:rsid w:val="00AF5876"/>
    <w:rsid w:val="00AF590F"/>
    <w:rsid w:val="00B01AE7"/>
    <w:rsid w:val="00B03A5F"/>
    <w:rsid w:val="00B03D0A"/>
    <w:rsid w:val="00B049BB"/>
    <w:rsid w:val="00B04FF9"/>
    <w:rsid w:val="00B05355"/>
    <w:rsid w:val="00B05D7B"/>
    <w:rsid w:val="00B06CB5"/>
    <w:rsid w:val="00B070EA"/>
    <w:rsid w:val="00B07762"/>
    <w:rsid w:val="00B12255"/>
    <w:rsid w:val="00B14693"/>
    <w:rsid w:val="00B1492C"/>
    <w:rsid w:val="00B200A2"/>
    <w:rsid w:val="00B215DD"/>
    <w:rsid w:val="00B216B8"/>
    <w:rsid w:val="00B217BA"/>
    <w:rsid w:val="00B22F33"/>
    <w:rsid w:val="00B236B6"/>
    <w:rsid w:val="00B236CB"/>
    <w:rsid w:val="00B25944"/>
    <w:rsid w:val="00B27AF0"/>
    <w:rsid w:val="00B31FEB"/>
    <w:rsid w:val="00B37CFF"/>
    <w:rsid w:val="00B42316"/>
    <w:rsid w:val="00B43004"/>
    <w:rsid w:val="00B43006"/>
    <w:rsid w:val="00B43344"/>
    <w:rsid w:val="00B435CF"/>
    <w:rsid w:val="00B4390B"/>
    <w:rsid w:val="00B43C08"/>
    <w:rsid w:val="00B43F84"/>
    <w:rsid w:val="00B4473E"/>
    <w:rsid w:val="00B4527C"/>
    <w:rsid w:val="00B45783"/>
    <w:rsid w:val="00B46EE8"/>
    <w:rsid w:val="00B50957"/>
    <w:rsid w:val="00B57918"/>
    <w:rsid w:val="00B60AEC"/>
    <w:rsid w:val="00B62C67"/>
    <w:rsid w:val="00B64A61"/>
    <w:rsid w:val="00B64FEB"/>
    <w:rsid w:val="00B661E3"/>
    <w:rsid w:val="00B67014"/>
    <w:rsid w:val="00B67FF2"/>
    <w:rsid w:val="00B746BA"/>
    <w:rsid w:val="00B75E58"/>
    <w:rsid w:val="00B80D0C"/>
    <w:rsid w:val="00B81938"/>
    <w:rsid w:val="00B828D8"/>
    <w:rsid w:val="00B92FCC"/>
    <w:rsid w:val="00B961F1"/>
    <w:rsid w:val="00B96DF3"/>
    <w:rsid w:val="00BA140A"/>
    <w:rsid w:val="00BA20F0"/>
    <w:rsid w:val="00BA284C"/>
    <w:rsid w:val="00BA3576"/>
    <w:rsid w:val="00BA3630"/>
    <w:rsid w:val="00BA5306"/>
    <w:rsid w:val="00BA582C"/>
    <w:rsid w:val="00BB0D22"/>
    <w:rsid w:val="00BB1279"/>
    <w:rsid w:val="00BB2292"/>
    <w:rsid w:val="00BB57C0"/>
    <w:rsid w:val="00BB76EC"/>
    <w:rsid w:val="00BC1FD8"/>
    <w:rsid w:val="00BC2D56"/>
    <w:rsid w:val="00BC40F0"/>
    <w:rsid w:val="00BC40F1"/>
    <w:rsid w:val="00BC6A5B"/>
    <w:rsid w:val="00BD231A"/>
    <w:rsid w:val="00BD7002"/>
    <w:rsid w:val="00BE0319"/>
    <w:rsid w:val="00BE11F0"/>
    <w:rsid w:val="00BE1B97"/>
    <w:rsid w:val="00BE200E"/>
    <w:rsid w:val="00BE6D2F"/>
    <w:rsid w:val="00BE6E83"/>
    <w:rsid w:val="00BE7A39"/>
    <w:rsid w:val="00BF068F"/>
    <w:rsid w:val="00BF244E"/>
    <w:rsid w:val="00BF36DC"/>
    <w:rsid w:val="00BF5A94"/>
    <w:rsid w:val="00BF7258"/>
    <w:rsid w:val="00BF7886"/>
    <w:rsid w:val="00C02232"/>
    <w:rsid w:val="00C032DA"/>
    <w:rsid w:val="00C05C1D"/>
    <w:rsid w:val="00C07477"/>
    <w:rsid w:val="00C07BEA"/>
    <w:rsid w:val="00C10425"/>
    <w:rsid w:val="00C11524"/>
    <w:rsid w:val="00C129FB"/>
    <w:rsid w:val="00C1632C"/>
    <w:rsid w:val="00C17260"/>
    <w:rsid w:val="00C17906"/>
    <w:rsid w:val="00C17C37"/>
    <w:rsid w:val="00C17F9E"/>
    <w:rsid w:val="00C20FD4"/>
    <w:rsid w:val="00C21C7C"/>
    <w:rsid w:val="00C2479F"/>
    <w:rsid w:val="00C253A6"/>
    <w:rsid w:val="00C276A7"/>
    <w:rsid w:val="00C30225"/>
    <w:rsid w:val="00C322AC"/>
    <w:rsid w:val="00C33C5C"/>
    <w:rsid w:val="00C36B99"/>
    <w:rsid w:val="00C41531"/>
    <w:rsid w:val="00C41967"/>
    <w:rsid w:val="00C42295"/>
    <w:rsid w:val="00C42428"/>
    <w:rsid w:val="00C4276C"/>
    <w:rsid w:val="00C44682"/>
    <w:rsid w:val="00C45D12"/>
    <w:rsid w:val="00C469F6"/>
    <w:rsid w:val="00C470A4"/>
    <w:rsid w:val="00C47561"/>
    <w:rsid w:val="00C52C8C"/>
    <w:rsid w:val="00C543AD"/>
    <w:rsid w:val="00C561AA"/>
    <w:rsid w:val="00C56267"/>
    <w:rsid w:val="00C5703E"/>
    <w:rsid w:val="00C5770C"/>
    <w:rsid w:val="00C60031"/>
    <w:rsid w:val="00C61860"/>
    <w:rsid w:val="00C62832"/>
    <w:rsid w:val="00C62B58"/>
    <w:rsid w:val="00C64224"/>
    <w:rsid w:val="00C65841"/>
    <w:rsid w:val="00C65DED"/>
    <w:rsid w:val="00C67190"/>
    <w:rsid w:val="00C708BA"/>
    <w:rsid w:val="00C7393B"/>
    <w:rsid w:val="00C749F0"/>
    <w:rsid w:val="00C74E96"/>
    <w:rsid w:val="00C74FBF"/>
    <w:rsid w:val="00C7613F"/>
    <w:rsid w:val="00C81FC4"/>
    <w:rsid w:val="00C85DA5"/>
    <w:rsid w:val="00C86B82"/>
    <w:rsid w:val="00C9230C"/>
    <w:rsid w:val="00C940B9"/>
    <w:rsid w:val="00C94255"/>
    <w:rsid w:val="00C94360"/>
    <w:rsid w:val="00CA4117"/>
    <w:rsid w:val="00CA4E22"/>
    <w:rsid w:val="00CA530B"/>
    <w:rsid w:val="00CA6255"/>
    <w:rsid w:val="00CA7BFE"/>
    <w:rsid w:val="00CB091C"/>
    <w:rsid w:val="00CB1A87"/>
    <w:rsid w:val="00CB1DB5"/>
    <w:rsid w:val="00CB2D94"/>
    <w:rsid w:val="00CB3DA2"/>
    <w:rsid w:val="00CB4074"/>
    <w:rsid w:val="00CB4D45"/>
    <w:rsid w:val="00CB52BA"/>
    <w:rsid w:val="00CB7F32"/>
    <w:rsid w:val="00CC0538"/>
    <w:rsid w:val="00CC09FA"/>
    <w:rsid w:val="00CC1AEC"/>
    <w:rsid w:val="00CC5DFE"/>
    <w:rsid w:val="00CD3417"/>
    <w:rsid w:val="00CD3E74"/>
    <w:rsid w:val="00CD47E6"/>
    <w:rsid w:val="00CD4DA0"/>
    <w:rsid w:val="00CD62B1"/>
    <w:rsid w:val="00CD6A11"/>
    <w:rsid w:val="00CE165E"/>
    <w:rsid w:val="00CE2008"/>
    <w:rsid w:val="00CE3838"/>
    <w:rsid w:val="00CE4222"/>
    <w:rsid w:val="00CE76E7"/>
    <w:rsid w:val="00CE7C26"/>
    <w:rsid w:val="00CE7F24"/>
    <w:rsid w:val="00CF0CD7"/>
    <w:rsid w:val="00CF1319"/>
    <w:rsid w:val="00CF186B"/>
    <w:rsid w:val="00CF24ED"/>
    <w:rsid w:val="00CF4BCB"/>
    <w:rsid w:val="00CF4BFE"/>
    <w:rsid w:val="00CF4F52"/>
    <w:rsid w:val="00D00B36"/>
    <w:rsid w:val="00D017EF"/>
    <w:rsid w:val="00D0323B"/>
    <w:rsid w:val="00D04F03"/>
    <w:rsid w:val="00D13C1C"/>
    <w:rsid w:val="00D13E81"/>
    <w:rsid w:val="00D167E2"/>
    <w:rsid w:val="00D21222"/>
    <w:rsid w:val="00D304F0"/>
    <w:rsid w:val="00D348D8"/>
    <w:rsid w:val="00D36B2B"/>
    <w:rsid w:val="00D36FF9"/>
    <w:rsid w:val="00D37907"/>
    <w:rsid w:val="00D37AF4"/>
    <w:rsid w:val="00D42D7D"/>
    <w:rsid w:val="00D5275C"/>
    <w:rsid w:val="00D55D04"/>
    <w:rsid w:val="00D56B4D"/>
    <w:rsid w:val="00D60F2A"/>
    <w:rsid w:val="00D6144E"/>
    <w:rsid w:val="00D62102"/>
    <w:rsid w:val="00D63E4D"/>
    <w:rsid w:val="00D63EDB"/>
    <w:rsid w:val="00D645FA"/>
    <w:rsid w:val="00D65327"/>
    <w:rsid w:val="00D70390"/>
    <w:rsid w:val="00D71E37"/>
    <w:rsid w:val="00D72976"/>
    <w:rsid w:val="00D754F9"/>
    <w:rsid w:val="00D75BC6"/>
    <w:rsid w:val="00D75EE8"/>
    <w:rsid w:val="00D77F39"/>
    <w:rsid w:val="00D80AEE"/>
    <w:rsid w:val="00D81AB4"/>
    <w:rsid w:val="00D86AA9"/>
    <w:rsid w:val="00D90BB4"/>
    <w:rsid w:val="00D96038"/>
    <w:rsid w:val="00D9623B"/>
    <w:rsid w:val="00D97084"/>
    <w:rsid w:val="00D977D5"/>
    <w:rsid w:val="00DA066E"/>
    <w:rsid w:val="00DA0FE0"/>
    <w:rsid w:val="00DA4915"/>
    <w:rsid w:val="00DA52A2"/>
    <w:rsid w:val="00DB4261"/>
    <w:rsid w:val="00DB52FB"/>
    <w:rsid w:val="00DB5971"/>
    <w:rsid w:val="00DC0D4D"/>
    <w:rsid w:val="00DC252A"/>
    <w:rsid w:val="00DC4802"/>
    <w:rsid w:val="00DC511C"/>
    <w:rsid w:val="00DD35D3"/>
    <w:rsid w:val="00DD41C1"/>
    <w:rsid w:val="00DE5B0C"/>
    <w:rsid w:val="00DE66AB"/>
    <w:rsid w:val="00DE6F07"/>
    <w:rsid w:val="00DF1989"/>
    <w:rsid w:val="00DF1F53"/>
    <w:rsid w:val="00DF30F6"/>
    <w:rsid w:val="00DF353D"/>
    <w:rsid w:val="00DF3C12"/>
    <w:rsid w:val="00DF45F3"/>
    <w:rsid w:val="00DF4817"/>
    <w:rsid w:val="00DF6245"/>
    <w:rsid w:val="00DF6B8B"/>
    <w:rsid w:val="00E02218"/>
    <w:rsid w:val="00E0463E"/>
    <w:rsid w:val="00E04776"/>
    <w:rsid w:val="00E111A5"/>
    <w:rsid w:val="00E12212"/>
    <w:rsid w:val="00E12C3B"/>
    <w:rsid w:val="00E14E24"/>
    <w:rsid w:val="00E16F21"/>
    <w:rsid w:val="00E2030F"/>
    <w:rsid w:val="00E2059D"/>
    <w:rsid w:val="00E21162"/>
    <w:rsid w:val="00E21E4F"/>
    <w:rsid w:val="00E254BE"/>
    <w:rsid w:val="00E2631E"/>
    <w:rsid w:val="00E2714D"/>
    <w:rsid w:val="00E2738A"/>
    <w:rsid w:val="00E343E5"/>
    <w:rsid w:val="00E3709E"/>
    <w:rsid w:val="00E40286"/>
    <w:rsid w:val="00E40E3A"/>
    <w:rsid w:val="00E417D3"/>
    <w:rsid w:val="00E504E9"/>
    <w:rsid w:val="00E513FB"/>
    <w:rsid w:val="00E5234E"/>
    <w:rsid w:val="00E52A31"/>
    <w:rsid w:val="00E55B19"/>
    <w:rsid w:val="00E57317"/>
    <w:rsid w:val="00E602F0"/>
    <w:rsid w:val="00E618AA"/>
    <w:rsid w:val="00E63D2C"/>
    <w:rsid w:val="00E63FE2"/>
    <w:rsid w:val="00E65CC5"/>
    <w:rsid w:val="00E66D6F"/>
    <w:rsid w:val="00E66E0F"/>
    <w:rsid w:val="00E703D9"/>
    <w:rsid w:val="00E71216"/>
    <w:rsid w:val="00E71DC5"/>
    <w:rsid w:val="00E73235"/>
    <w:rsid w:val="00E733A7"/>
    <w:rsid w:val="00E74576"/>
    <w:rsid w:val="00E76D59"/>
    <w:rsid w:val="00E774BD"/>
    <w:rsid w:val="00E83FF3"/>
    <w:rsid w:val="00E8755D"/>
    <w:rsid w:val="00E92328"/>
    <w:rsid w:val="00E940FA"/>
    <w:rsid w:val="00E95A75"/>
    <w:rsid w:val="00E95AD4"/>
    <w:rsid w:val="00EA1ADE"/>
    <w:rsid w:val="00EA5914"/>
    <w:rsid w:val="00EA77BA"/>
    <w:rsid w:val="00EA7EDB"/>
    <w:rsid w:val="00EB1ED7"/>
    <w:rsid w:val="00EB581F"/>
    <w:rsid w:val="00EB5F05"/>
    <w:rsid w:val="00EC60C0"/>
    <w:rsid w:val="00EC69A8"/>
    <w:rsid w:val="00EC7D50"/>
    <w:rsid w:val="00ED198B"/>
    <w:rsid w:val="00ED55E9"/>
    <w:rsid w:val="00ED5887"/>
    <w:rsid w:val="00ED7537"/>
    <w:rsid w:val="00ED764C"/>
    <w:rsid w:val="00EE3519"/>
    <w:rsid w:val="00EE5AD9"/>
    <w:rsid w:val="00EF2D61"/>
    <w:rsid w:val="00EF6132"/>
    <w:rsid w:val="00EF6281"/>
    <w:rsid w:val="00EF6784"/>
    <w:rsid w:val="00F03935"/>
    <w:rsid w:val="00F07377"/>
    <w:rsid w:val="00F15996"/>
    <w:rsid w:val="00F16D80"/>
    <w:rsid w:val="00F2176C"/>
    <w:rsid w:val="00F21868"/>
    <w:rsid w:val="00F22957"/>
    <w:rsid w:val="00F279CA"/>
    <w:rsid w:val="00F4135C"/>
    <w:rsid w:val="00F41574"/>
    <w:rsid w:val="00F44D5F"/>
    <w:rsid w:val="00F44FAC"/>
    <w:rsid w:val="00F47413"/>
    <w:rsid w:val="00F50291"/>
    <w:rsid w:val="00F53998"/>
    <w:rsid w:val="00F5461D"/>
    <w:rsid w:val="00F55904"/>
    <w:rsid w:val="00F57F91"/>
    <w:rsid w:val="00F611AA"/>
    <w:rsid w:val="00F64560"/>
    <w:rsid w:val="00F64727"/>
    <w:rsid w:val="00F664BA"/>
    <w:rsid w:val="00F677A2"/>
    <w:rsid w:val="00F7160F"/>
    <w:rsid w:val="00F748F8"/>
    <w:rsid w:val="00F74A57"/>
    <w:rsid w:val="00F80E17"/>
    <w:rsid w:val="00F8256F"/>
    <w:rsid w:val="00F85E0E"/>
    <w:rsid w:val="00F869BE"/>
    <w:rsid w:val="00F86ECC"/>
    <w:rsid w:val="00F90F29"/>
    <w:rsid w:val="00FA0A2B"/>
    <w:rsid w:val="00FA157B"/>
    <w:rsid w:val="00FA768B"/>
    <w:rsid w:val="00FB0161"/>
    <w:rsid w:val="00FB313A"/>
    <w:rsid w:val="00FB4EB0"/>
    <w:rsid w:val="00FB5205"/>
    <w:rsid w:val="00FC2071"/>
    <w:rsid w:val="00FC22AF"/>
    <w:rsid w:val="00FC2391"/>
    <w:rsid w:val="00FC28C9"/>
    <w:rsid w:val="00FC291F"/>
    <w:rsid w:val="00FC3320"/>
    <w:rsid w:val="00FC4CB6"/>
    <w:rsid w:val="00FC64BF"/>
    <w:rsid w:val="00FD0812"/>
    <w:rsid w:val="00FD100E"/>
    <w:rsid w:val="00FD3BA8"/>
    <w:rsid w:val="00FD4D59"/>
    <w:rsid w:val="00FD7044"/>
    <w:rsid w:val="00FE1E0E"/>
    <w:rsid w:val="00FE3611"/>
    <w:rsid w:val="00FE40F6"/>
    <w:rsid w:val="00FE4A6A"/>
    <w:rsid w:val="00FE508B"/>
    <w:rsid w:val="00FF046F"/>
    <w:rsid w:val="00FF2592"/>
    <w:rsid w:val="00FF2935"/>
    <w:rsid w:val="00FF2BDA"/>
    <w:rsid w:val="01183111"/>
    <w:rsid w:val="0125204F"/>
    <w:rsid w:val="016210FD"/>
    <w:rsid w:val="0166457E"/>
    <w:rsid w:val="01865733"/>
    <w:rsid w:val="01A06E9D"/>
    <w:rsid w:val="023A109F"/>
    <w:rsid w:val="02441F1E"/>
    <w:rsid w:val="02510197"/>
    <w:rsid w:val="0294218E"/>
    <w:rsid w:val="02C72207"/>
    <w:rsid w:val="02CA7215"/>
    <w:rsid w:val="02D93C69"/>
    <w:rsid w:val="02E71D51"/>
    <w:rsid w:val="0305754E"/>
    <w:rsid w:val="032D4760"/>
    <w:rsid w:val="032D7033"/>
    <w:rsid w:val="0333242E"/>
    <w:rsid w:val="03586C8C"/>
    <w:rsid w:val="03B80F4C"/>
    <w:rsid w:val="03B93EF4"/>
    <w:rsid w:val="03DE64EE"/>
    <w:rsid w:val="04417E07"/>
    <w:rsid w:val="045D1075"/>
    <w:rsid w:val="046D109D"/>
    <w:rsid w:val="04AE1CD1"/>
    <w:rsid w:val="04AE6573"/>
    <w:rsid w:val="04C826FC"/>
    <w:rsid w:val="04D710AE"/>
    <w:rsid w:val="04FC3AE4"/>
    <w:rsid w:val="052158F5"/>
    <w:rsid w:val="05431AC5"/>
    <w:rsid w:val="055B4129"/>
    <w:rsid w:val="058F525E"/>
    <w:rsid w:val="05D64F65"/>
    <w:rsid w:val="05E41A4E"/>
    <w:rsid w:val="061B3D3D"/>
    <w:rsid w:val="06347F2F"/>
    <w:rsid w:val="064F716B"/>
    <w:rsid w:val="068B5D38"/>
    <w:rsid w:val="06B8742D"/>
    <w:rsid w:val="06D575E9"/>
    <w:rsid w:val="06E8731C"/>
    <w:rsid w:val="06F265AD"/>
    <w:rsid w:val="06F90833"/>
    <w:rsid w:val="071E5658"/>
    <w:rsid w:val="07930250"/>
    <w:rsid w:val="07AF39D1"/>
    <w:rsid w:val="07DE28D4"/>
    <w:rsid w:val="080E4270"/>
    <w:rsid w:val="084A7B62"/>
    <w:rsid w:val="087F1930"/>
    <w:rsid w:val="088272FC"/>
    <w:rsid w:val="08A7247E"/>
    <w:rsid w:val="08A728CF"/>
    <w:rsid w:val="08A84A40"/>
    <w:rsid w:val="08F834BD"/>
    <w:rsid w:val="09077DF6"/>
    <w:rsid w:val="091241C8"/>
    <w:rsid w:val="09376339"/>
    <w:rsid w:val="09B13A45"/>
    <w:rsid w:val="09B72FD5"/>
    <w:rsid w:val="09BE6112"/>
    <w:rsid w:val="09E177E9"/>
    <w:rsid w:val="0A6C3DC0"/>
    <w:rsid w:val="0AAC7535"/>
    <w:rsid w:val="0AE41BA8"/>
    <w:rsid w:val="0AFC15E8"/>
    <w:rsid w:val="0AFD6D5D"/>
    <w:rsid w:val="0B0D109F"/>
    <w:rsid w:val="0B3D575C"/>
    <w:rsid w:val="0B4E404E"/>
    <w:rsid w:val="0B8D6294"/>
    <w:rsid w:val="0B904D38"/>
    <w:rsid w:val="0B987180"/>
    <w:rsid w:val="0BA35E5E"/>
    <w:rsid w:val="0BA70E60"/>
    <w:rsid w:val="0BE1433A"/>
    <w:rsid w:val="0C040E46"/>
    <w:rsid w:val="0C126BE9"/>
    <w:rsid w:val="0C6032F9"/>
    <w:rsid w:val="0C6C6699"/>
    <w:rsid w:val="0C8F023A"/>
    <w:rsid w:val="0D2766C4"/>
    <w:rsid w:val="0D2E7A52"/>
    <w:rsid w:val="0DD248FB"/>
    <w:rsid w:val="0DD423A8"/>
    <w:rsid w:val="0DE74A3D"/>
    <w:rsid w:val="0DF0188C"/>
    <w:rsid w:val="0DF46805"/>
    <w:rsid w:val="0E071816"/>
    <w:rsid w:val="0E130328"/>
    <w:rsid w:val="0E14510B"/>
    <w:rsid w:val="0E5E4367"/>
    <w:rsid w:val="0E791344"/>
    <w:rsid w:val="0E8C2C83"/>
    <w:rsid w:val="0E975183"/>
    <w:rsid w:val="0E9E4764"/>
    <w:rsid w:val="0EB9159E"/>
    <w:rsid w:val="0ECB20BE"/>
    <w:rsid w:val="0ECC7523"/>
    <w:rsid w:val="0F087E2F"/>
    <w:rsid w:val="0F0E7B3C"/>
    <w:rsid w:val="0F5301E5"/>
    <w:rsid w:val="0F821592"/>
    <w:rsid w:val="0F96368D"/>
    <w:rsid w:val="0FAD1102"/>
    <w:rsid w:val="0FBE7ED7"/>
    <w:rsid w:val="0FC91CB4"/>
    <w:rsid w:val="0FE30140"/>
    <w:rsid w:val="106D6186"/>
    <w:rsid w:val="10795489"/>
    <w:rsid w:val="10953945"/>
    <w:rsid w:val="109A22B0"/>
    <w:rsid w:val="10ED0DA6"/>
    <w:rsid w:val="115B7B4E"/>
    <w:rsid w:val="119368FA"/>
    <w:rsid w:val="11A11963"/>
    <w:rsid w:val="11C03DEA"/>
    <w:rsid w:val="11C20FE9"/>
    <w:rsid w:val="11CF41B2"/>
    <w:rsid w:val="11E85901"/>
    <w:rsid w:val="126D4DDF"/>
    <w:rsid w:val="127C7ED8"/>
    <w:rsid w:val="12D7082D"/>
    <w:rsid w:val="12F942BB"/>
    <w:rsid w:val="13DA4490"/>
    <w:rsid w:val="14055456"/>
    <w:rsid w:val="1410241B"/>
    <w:rsid w:val="146A4AEC"/>
    <w:rsid w:val="1492196B"/>
    <w:rsid w:val="14A1264A"/>
    <w:rsid w:val="14A14FAE"/>
    <w:rsid w:val="14A237DC"/>
    <w:rsid w:val="14C17805"/>
    <w:rsid w:val="15455939"/>
    <w:rsid w:val="154D47EE"/>
    <w:rsid w:val="1578500A"/>
    <w:rsid w:val="15937A9B"/>
    <w:rsid w:val="15B716F5"/>
    <w:rsid w:val="15D53382"/>
    <w:rsid w:val="160A3D95"/>
    <w:rsid w:val="16133C89"/>
    <w:rsid w:val="169A0A5A"/>
    <w:rsid w:val="16EA10E2"/>
    <w:rsid w:val="16F13FCB"/>
    <w:rsid w:val="171A2DA3"/>
    <w:rsid w:val="17253C74"/>
    <w:rsid w:val="17364B64"/>
    <w:rsid w:val="17400B06"/>
    <w:rsid w:val="17914727"/>
    <w:rsid w:val="17A22D12"/>
    <w:rsid w:val="17A41D79"/>
    <w:rsid w:val="17D45E88"/>
    <w:rsid w:val="18657FD3"/>
    <w:rsid w:val="187529D9"/>
    <w:rsid w:val="187F540D"/>
    <w:rsid w:val="18CA4D24"/>
    <w:rsid w:val="19167A27"/>
    <w:rsid w:val="19444033"/>
    <w:rsid w:val="194F153B"/>
    <w:rsid w:val="1980048D"/>
    <w:rsid w:val="19855E4D"/>
    <w:rsid w:val="198804EA"/>
    <w:rsid w:val="199708B4"/>
    <w:rsid w:val="19A35684"/>
    <w:rsid w:val="19A8223C"/>
    <w:rsid w:val="19C01A32"/>
    <w:rsid w:val="19C85E69"/>
    <w:rsid w:val="1A1A43C2"/>
    <w:rsid w:val="1A645D78"/>
    <w:rsid w:val="1A913C2A"/>
    <w:rsid w:val="1AB901AA"/>
    <w:rsid w:val="1ABA3711"/>
    <w:rsid w:val="1ACC2EC5"/>
    <w:rsid w:val="1B2B3823"/>
    <w:rsid w:val="1B3604F2"/>
    <w:rsid w:val="1B367A94"/>
    <w:rsid w:val="1B391536"/>
    <w:rsid w:val="1B481CDF"/>
    <w:rsid w:val="1B7D7F7E"/>
    <w:rsid w:val="1BE0460E"/>
    <w:rsid w:val="1C770035"/>
    <w:rsid w:val="1C7F3E27"/>
    <w:rsid w:val="1C934265"/>
    <w:rsid w:val="1CA53161"/>
    <w:rsid w:val="1CA9356C"/>
    <w:rsid w:val="1CB60D97"/>
    <w:rsid w:val="1CC41839"/>
    <w:rsid w:val="1CCC06EE"/>
    <w:rsid w:val="1CD540C4"/>
    <w:rsid w:val="1CE82FAE"/>
    <w:rsid w:val="1D172F01"/>
    <w:rsid w:val="1D4B7A4A"/>
    <w:rsid w:val="1D6B5FA6"/>
    <w:rsid w:val="1DE5415D"/>
    <w:rsid w:val="1E0730ED"/>
    <w:rsid w:val="1E2C7696"/>
    <w:rsid w:val="1E4A23BC"/>
    <w:rsid w:val="1E5D0198"/>
    <w:rsid w:val="1E6A2247"/>
    <w:rsid w:val="1E6C78AD"/>
    <w:rsid w:val="1EC73863"/>
    <w:rsid w:val="1EFC175F"/>
    <w:rsid w:val="1F066139"/>
    <w:rsid w:val="1FDB5818"/>
    <w:rsid w:val="201C2D22"/>
    <w:rsid w:val="204131A1"/>
    <w:rsid w:val="20462111"/>
    <w:rsid w:val="205A1343"/>
    <w:rsid w:val="206A11BC"/>
    <w:rsid w:val="20B724D5"/>
    <w:rsid w:val="21132B7C"/>
    <w:rsid w:val="215313DE"/>
    <w:rsid w:val="216E0AF3"/>
    <w:rsid w:val="21A10725"/>
    <w:rsid w:val="21D94E53"/>
    <w:rsid w:val="21E94BEF"/>
    <w:rsid w:val="22AE21A3"/>
    <w:rsid w:val="22C541CF"/>
    <w:rsid w:val="22F26762"/>
    <w:rsid w:val="22F3461B"/>
    <w:rsid w:val="238D685A"/>
    <w:rsid w:val="23A31DC3"/>
    <w:rsid w:val="23AF71DA"/>
    <w:rsid w:val="23C10B07"/>
    <w:rsid w:val="23C75000"/>
    <w:rsid w:val="24223CEC"/>
    <w:rsid w:val="247C56A2"/>
    <w:rsid w:val="248C0A40"/>
    <w:rsid w:val="24A819DF"/>
    <w:rsid w:val="24E54A43"/>
    <w:rsid w:val="25AB104A"/>
    <w:rsid w:val="25D37B28"/>
    <w:rsid w:val="25E12217"/>
    <w:rsid w:val="26323CB8"/>
    <w:rsid w:val="26555BF8"/>
    <w:rsid w:val="26893043"/>
    <w:rsid w:val="269A7D3C"/>
    <w:rsid w:val="26D0702D"/>
    <w:rsid w:val="270E5FB0"/>
    <w:rsid w:val="27EC5A7D"/>
    <w:rsid w:val="27F751B9"/>
    <w:rsid w:val="27FA58DE"/>
    <w:rsid w:val="281C4006"/>
    <w:rsid w:val="2841391F"/>
    <w:rsid w:val="28452D46"/>
    <w:rsid w:val="2872534E"/>
    <w:rsid w:val="28A571DE"/>
    <w:rsid w:val="28BB61E6"/>
    <w:rsid w:val="28F33A63"/>
    <w:rsid w:val="29121B7F"/>
    <w:rsid w:val="29440026"/>
    <w:rsid w:val="29447DE6"/>
    <w:rsid w:val="295973BD"/>
    <w:rsid w:val="298720F0"/>
    <w:rsid w:val="29C0782D"/>
    <w:rsid w:val="29D52BB5"/>
    <w:rsid w:val="29E81930"/>
    <w:rsid w:val="29F55728"/>
    <w:rsid w:val="29FA3933"/>
    <w:rsid w:val="2A273408"/>
    <w:rsid w:val="2A723A7C"/>
    <w:rsid w:val="2A731D21"/>
    <w:rsid w:val="2A7F3244"/>
    <w:rsid w:val="2AB949A8"/>
    <w:rsid w:val="2ACD0453"/>
    <w:rsid w:val="2ACE3A90"/>
    <w:rsid w:val="2B0A5203"/>
    <w:rsid w:val="2B1238AE"/>
    <w:rsid w:val="2B1D1F25"/>
    <w:rsid w:val="2B252A91"/>
    <w:rsid w:val="2B4017F0"/>
    <w:rsid w:val="2B6348E0"/>
    <w:rsid w:val="2B786611"/>
    <w:rsid w:val="2B970537"/>
    <w:rsid w:val="2BE76212"/>
    <w:rsid w:val="2C09185D"/>
    <w:rsid w:val="2C0F7531"/>
    <w:rsid w:val="2C7A0167"/>
    <w:rsid w:val="2C8F33BD"/>
    <w:rsid w:val="2C8F54B1"/>
    <w:rsid w:val="2D03015C"/>
    <w:rsid w:val="2D5662C8"/>
    <w:rsid w:val="2D8868B3"/>
    <w:rsid w:val="2DF56335"/>
    <w:rsid w:val="2DF9286A"/>
    <w:rsid w:val="2ED6443A"/>
    <w:rsid w:val="2EE138F7"/>
    <w:rsid w:val="2F0C4BE3"/>
    <w:rsid w:val="2F2B5748"/>
    <w:rsid w:val="2F377CAB"/>
    <w:rsid w:val="2F4D1ED1"/>
    <w:rsid w:val="2F5415D0"/>
    <w:rsid w:val="2FCB61DD"/>
    <w:rsid w:val="2FE34275"/>
    <w:rsid w:val="30952D41"/>
    <w:rsid w:val="30DD0CC4"/>
    <w:rsid w:val="30E271B6"/>
    <w:rsid w:val="31397F4B"/>
    <w:rsid w:val="31541DBA"/>
    <w:rsid w:val="315471D8"/>
    <w:rsid w:val="317070E4"/>
    <w:rsid w:val="31775428"/>
    <w:rsid w:val="318F7220"/>
    <w:rsid w:val="31B63FAB"/>
    <w:rsid w:val="31D25FD2"/>
    <w:rsid w:val="31D65E3F"/>
    <w:rsid w:val="31EB672C"/>
    <w:rsid w:val="31F02617"/>
    <w:rsid w:val="329A6E6D"/>
    <w:rsid w:val="32DC4272"/>
    <w:rsid w:val="32F72511"/>
    <w:rsid w:val="33150BE9"/>
    <w:rsid w:val="336C775A"/>
    <w:rsid w:val="33725861"/>
    <w:rsid w:val="339F106A"/>
    <w:rsid w:val="33CF4883"/>
    <w:rsid w:val="33D62126"/>
    <w:rsid w:val="33D75E9F"/>
    <w:rsid w:val="33DE375D"/>
    <w:rsid w:val="33F71B1A"/>
    <w:rsid w:val="342E014E"/>
    <w:rsid w:val="346A0719"/>
    <w:rsid w:val="34B306BA"/>
    <w:rsid w:val="34BC46A1"/>
    <w:rsid w:val="34D36666"/>
    <w:rsid w:val="34F146C2"/>
    <w:rsid w:val="351358AA"/>
    <w:rsid w:val="35303AB8"/>
    <w:rsid w:val="35324607"/>
    <w:rsid w:val="356D6ABA"/>
    <w:rsid w:val="36070CBD"/>
    <w:rsid w:val="363277FD"/>
    <w:rsid w:val="36483084"/>
    <w:rsid w:val="365E57FF"/>
    <w:rsid w:val="3662296A"/>
    <w:rsid w:val="366A70C8"/>
    <w:rsid w:val="36AF7935"/>
    <w:rsid w:val="36B928EF"/>
    <w:rsid w:val="36D901FE"/>
    <w:rsid w:val="37164F30"/>
    <w:rsid w:val="37215DAE"/>
    <w:rsid w:val="372B7BCD"/>
    <w:rsid w:val="37461808"/>
    <w:rsid w:val="376728C4"/>
    <w:rsid w:val="376E08C8"/>
    <w:rsid w:val="379067CC"/>
    <w:rsid w:val="37F60FE9"/>
    <w:rsid w:val="38021539"/>
    <w:rsid w:val="380A28CA"/>
    <w:rsid w:val="383A2C56"/>
    <w:rsid w:val="38514471"/>
    <w:rsid w:val="388C6E04"/>
    <w:rsid w:val="389A5030"/>
    <w:rsid w:val="38A327F3"/>
    <w:rsid w:val="38E250CA"/>
    <w:rsid w:val="39B95231"/>
    <w:rsid w:val="39E7313A"/>
    <w:rsid w:val="39EC1C54"/>
    <w:rsid w:val="3A1F19CA"/>
    <w:rsid w:val="3A2F206E"/>
    <w:rsid w:val="3A8B731D"/>
    <w:rsid w:val="3A946897"/>
    <w:rsid w:val="3A9B7C32"/>
    <w:rsid w:val="3AAE4F93"/>
    <w:rsid w:val="3ACB48BB"/>
    <w:rsid w:val="3AD25272"/>
    <w:rsid w:val="3AFC6ED7"/>
    <w:rsid w:val="3B0112DE"/>
    <w:rsid w:val="3B282FD3"/>
    <w:rsid w:val="3B375346"/>
    <w:rsid w:val="3B5129DA"/>
    <w:rsid w:val="3B5B20B0"/>
    <w:rsid w:val="3BA33E48"/>
    <w:rsid w:val="3BBB7E54"/>
    <w:rsid w:val="3BBD0A54"/>
    <w:rsid w:val="3BBE58F0"/>
    <w:rsid w:val="3BDA41CF"/>
    <w:rsid w:val="3BE4409F"/>
    <w:rsid w:val="3C1557B6"/>
    <w:rsid w:val="3C663A24"/>
    <w:rsid w:val="3C75422F"/>
    <w:rsid w:val="3C7F41CC"/>
    <w:rsid w:val="3C9F32D2"/>
    <w:rsid w:val="3CAE272D"/>
    <w:rsid w:val="3D015D3A"/>
    <w:rsid w:val="3D386234"/>
    <w:rsid w:val="3D5B369C"/>
    <w:rsid w:val="3D6406AA"/>
    <w:rsid w:val="3D7B0470"/>
    <w:rsid w:val="3D9D034F"/>
    <w:rsid w:val="3DB8289D"/>
    <w:rsid w:val="3DD07A03"/>
    <w:rsid w:val="3DE32F0A"/>
    <w:rsid w:val="3E23065E"/>
    <w:rsid w:val="3E585D6B"/>
    <w:rsid w:val="3E591B97"/>
    <w:rsid w:val="3EC75511"/>
    <w:rsid w:val="3F41523B"/>
    <w:rsid w:val="3F5D34CD"/>
    <w:rsid w:val="3F9B2476"/>
    <w:rsid w:val="3FC12A9B"/>
    <w:rsid w:val="40287B7C"/>
    <w:rsid w:val="402B55A8"/>
    <w:rsid w:val="403A4B1E"/>
    <w:rsid w:val="40516350"/>
    <w:rsid w:val="4081490E"/>
    <w:rsid w:val="408F79A5"/>
    <w:rsid w:val="40B17223"/>
    <w:rsid w:val="40C96B6F"/>
    <w:rsid w:val="4113146D"/>
    <w:rsid w:val="41B62723"/>
    <w:rsid w:val="41C474D0"/>
    <w:rsid w:val="41C8474B"/>
    <w:rsid w:val="41CD47B2"/>
    <w:rsid w:val="423B584A"/>
    <w:rsid w:val="42950C0F"/>
    <w:rsid w:val="43166C1A"/>
    <w:rsid w:val="43291B47"/>
    <w:rsid w:val="432F247C"/>
    <w:rsid w:val="43625A2A"/>
    <w:rsid w:val="437F06E0"/>
    <w:rsid w:val="439E3592"/>
    <w:rsid w:val="43C31F9B"/>
    <w:rsid w:val="43D14C90"/>
    <w:rsid w:val="44093E52"/>
    <w:rsid w:val="44475071"/>
    <w:rsid w:val="445E3AFF"/>
    <w:rsid w:val="44612E7B"/>
    <w:rsid w:val="44753B35"/>
    <w:rsid w:val="448160DE"/>
    <w:rsid w:val="4485333D"/>
    <w:rsid w:val="4490793F"/>
    <w:rsid w:val="449625EA"/>
    <w:rsid w:val="44A571E8"/>
    <w:rsid w:val="45343151"/>
    <w:rsid w:val="456F5F37"/>
    <w:rsid w:val="45A1539D"/>
    <w:rsid w:val="45BE1410"/>
    <w:rsid w:val="45CA5863"/>
    <w:rsid w:val="45E00434"/>
    <w:rsid w:val="45F047F0"/>
    <w:rsid w:val="45F4583A"/>
    <w:rsid w:val="46054912"/>
    <w:rsid w:val="46112717"/>
    <w:rsid w:val="46307B3F"/>
    <w:rsid w:val="46317690"/>
    <w:rsid w:val="466513CA"/>
    <w:rsid w:val="469448BA"/>
    <w:rsid w:val="46C422B2"/>
    <w:rsid w:val="46C818F2"/>
    <w:rsid w:val="46DC1289"/>
    <w:rsid w:val="472655E6"/>
    <w:rsid w:val="477D2815"/>
    <w:rsid w:val="47841A42"/>
    <w:rsid w:val="47982EAF"/>
    <w:rsid w:val="47CA38F8"/>
    <w:rsid w:val="481B63B6"/>
    <w:rsid w:val="487550B7"/>
    <w:rsid w:val="48B40105"/>
    <w:rsid w:val="48C20A74"/>
    <w:rsid w:val="48D569F9"/>
    <w:rsid w:val="48D83D6A"/>
    <w:rsid w:val="48EE7ABB"/>
    <w:rsid w:val="48F202EF"/>
    <w:rsid w:val="49747127"/>
    <w:rsid w:val="49B35FD2"/>
    <w:rsid w:val="49B45B0A"/>
    <w:rsid w:val="49BF4D9E"/>
    <w:rsid w:val="49D337CF"/>
    <w:rsid w:val="4A2319E6"/>
    <w:rsid w:val="4A642CF0"/>
    <w:rsid w:val="4A8E3303"/>
    <w:rsid w:val="4AC565F9"/>
    <w:rsid w:val="4AF07AF1"/>
    <w:rsid w:val="4B182BCD"/>
    <w:rsid w:val="4B37551E"/>
    <w:rsid w:val="4B382CE5"/>
    <w:rsid w:val="4B4439C2"/>
    <w:rsid w:val="4BD110E2"/>
    <w:rsid w:val="4C261319"/>
    <w:rsid w:val="4C261844"/>
    <w:rsid w:val="4C3E48B5"/>
    <w:rsid w:val="4C5E4F57"/>
    <w:rsid w:val="4C6F4027"/>
    <w:rsid w:val="4C975D73"/>
    <w:rsid w:val="4CDF1128"/>
    <w:rsid w:val="4D0B54AD"/>
    <w:rsid w:val="4D16026A"/>
    <w:rsid w:val="4D221AE1"/>
    <w:rsid w:val="4D2A1AB4"/>
    <w:rsid w:val="4D633045"/>
    <w:rsid w:val="4D8C1650"/>
    <w:rsid w:val="4DBA72D7"/>
    <w:rsid w:val="4DBD57AB"/>
    <w:rsid w:val="4E1C4782"/>
    <w:rsid w:val="4E471E75"/>
    <w:rsid w:val="4E64507F"/>
    <w:rsid w:val="4E8D3684"/>
    <w:rsid w:val="4E957926"/>
    <w:rsid w:val="4F1E7270"/>
    <w:rsid w:val="4F224D8D"/>
    <w:rsid w:val="4F2C30EB"/>
    <w:rsid w:val="4F974A08"/>
    <w:rsid w:val="4FB54E8E"/>
    <w:rsid w:val="4FCD667C"/>
    <w:rsid w:val="4FE237A9"/>
    <w:rsid w:val="501D04CE"/>
    <w:rsid w:val="501D387E"/>
    <w:rsid w:val="50493828"/>
    <w:rsid w:val="50591CBD"/>
    <w:rsid w:val="5076286F"/>
    <w:rsid w:val="50957359"/>
    <w:rsid w:val="509F6EC6"/>
    <w:rsid w:val="510D6CCE"/>
    <w:rsid w:val="511E659C"/>
    <w:rsid w:val="512B1283"/>
    <w:rsid w:val="51493A4C"/>
    <w:rsid w:val="517D5E7F"/>
    <w:rsid w:val="520143BB"/>
    <w:rsid w:val="520E29DF"/>
    <w:rsid w:val="5237602E"/>
    <w:rsid w:val="52397BDB"/>
    <w:rsid w:val="5261421A"/>
    <w:rsid w:val="52874813"/>
    <w:rsid w:val="52986A2B"/>
    <w:rsid w:val="52A068B2"/>
    <w:rsid w:val="53034162"/>
    <w:rsid w:val="53182FAD"/>
    <w:rsid w:val="53283BC9"/>
    <w:rsid w:val="53542C10"/>
    <w:rsid w:val="535A78E2"/>
    <w:rsid w:val="536F17F8"/>
    <w:rsid w:val="53874D93"/>
    <w:rsid w:val="53932FF4"/>
    <w:rsid w:val="53CC09F8"/>
    <w:rsid w:val="53DC53F9"/>
    <w:rsid w:val="543071D9"/>
    <w:rsid w:val="543C16DA"/>
    <w:rsid w:val="54843081"/>
    <w:rsid w:val="54E720BB"/>
    <w:rsid w:val="551B4A12"/>
    <w:rsid w:val="5588094F"/>
    <w:rsid w:val="558A2919"/>
    <w:rsid w:val="5634588C"/>
    <w:rsid w:val="56615E0C"/>
    <w:rsid w:val="566B0022"/>
    <w:rsid w:val="567846EC"/>
    <w:rsid w:val="56AC0B61"/>
    <w:rsid w:val="56B45E9F"/>
    <w:rsid w:val="5714693E"/>
    <w:rsid w:val="57272B15"/>
    <w:rsid w:val="57444EF5"/>
    <w:rsid w:val="575C16B2"/>
    <w:rsid w:val="57966F2A"/>
    <w:rsid w:val="57AD207D"/>
    <w:rsid w:val="5806097D"/>
    <w:rsid w:val="58134E48"/>
    <w:rsid w:val="583A6878"/>
    <w:rsid w:val="587873A1"/>
    <w:rsid w:val="5889335C"/>
    <w:rsid w:val="58B80B09"/>
    <w:rsid w:val="58C500FD"/>
    <w:rsid w:val="58DC7930"/>
    <w:rsid w:val="590C03A2"/>
    <w:rsid w:val="596334BB"/>
    <w:rsid w:val="59727BBE"/>
    <w:rsid w:val="59964C22"/>
    <w:rsid w:val="59A541C5"/>
    <w:rsid w:val="59A97E57"/>
    <w:rsid w:val="5A112DD4"/>
    <w:rsid w:val="5A4A24F3"/>
    <w:rsid w:val="5A4A746C"/>
    <w:rsid w:val="5A5B1C29"/>
    <w:rsid w:val="5A7F2300"/>
    <w:rsid w:val="5AC41420"/>
    <w:rsid w:val="5AED49A0"/>
    <w:rsid w:val="5B92709A"/>
    <w:rsid w:val="5BD112A2"/>
    <w:rsid w:val="5BDA5CF3"/>
    <w:rsid w:val="5BFE0297"/>
    <w:rsid w:val="5C161EDE"/>
    <w:rsid w:val="5C207B33"/>
    <w:rsid w:val="5C240F28"/>
    <w:rsid w:val="5C880D1C"/>
    <w:rsid w:val="5CA91A5D"/>
    <w:rsid w:val="5D04082A"/>
    <w:rsid w:val="5D2914FD"/>
    <w:rsid w:val="5D5E4DB7"/>
    <w:rsid w:val="5D611791"/>
    <w:rsid w:val="5D755C5D"/>
    <w:rsid w:val="5DAE0264"/>
    <w:rsid w:val="5DD5494D"/>
    <w:rsid w:val="5DDC3F2E"/>
    <w:rsid w:val="5DDE74C5"/>
    <w:rsid w:val="5E205066"/>
    <w:rsid w:val="5E7615E3"/>
    <w:rsid w:val="5E8819C0"/>
    <w:rsid w:val="5E916AC6"/>
    <w:rsid w:val="5E9640DD"/>
    <w:rsid w:val="5E992621"/>
    <w:rsid w:val="5EC67DA5"/>
    <w:rsid w:val="5ECA7562"/>
    <w:rsid w:val="5ED247CC"/>
    <w:rsid w:val="5F3A0F0C"/>
    <w:rsid w:val="5F58262D"/>
    <w:rsid w:val="5F6419A2"/>
    <w:rsid w:val="5F6817F6"/>
    <w:rsid w:val="5F775691"/>
    <w:rsid w:val="600414DC"/>
    <w:rsid w:val="603319A6"/>
    <w:rsid w:val="605F1472"/>
    <w:rsid w:val="60A12843"/>
    <w:rsid w:val="60BA744E"/>
    <w:rsid w:val="60BB23FA"/>
    <w:rsid w:val="60FB49D2"/>
    <w:rsid w:val="6138147B"/>
    <w:rsid w:val="618164DD"/>
    <w:rsid w:val="61D474C9"/>
    <w:rsid w:val="61F77A0A"/>
    <w:rsid w:val="62950A8E"/>
    <w:rsid w:val="629774D1"/>
    <w:rsid w:val="62B339C2"/>
    <w:rsid w:val="62BE64F4"/>
    <w:rsid w:val="62C9714A"/>
    <w:rsid w:val="635B3466"/>
    <w:rsid w:val="637B00FA"/>
    <w:rsid w:val="63C90AB0"/>
    <w:rsid w:val="63DC4C88"/>
    <w:rsid w:val="64234172"/>
    <w:rsid w:val="642B73CD"/>
    <w:rsid w:val="6431668F"/>
    <w:rsid w:val="644D7933"/>
    <w:rsid w:val="64803EF5"/>
    <w:rsid w:val="64835103"/>
    <w:rsid w:val="64970BAF"/>
    <w:rsid w:val="64AA6F1D"/>
    <w:rsid w:val="64F8164D"/>
    <w:rsid w:val="6502427A"/>
    <w:rsid w:val="655C1F5A"/>
    <w:rsid w:val="656C3DE9"/>
    <w:rsid w:val="65715BFD"/>
    <w:rsid w:val="65732D00"/>
    <w:rsid w:val="65B34C8C"/>
    <w:rsid w:val="65C37EAD"/>
    <w:rsid w:val="66050395"/>
    <w:rsid w:val="661A0932"/>
    <w:rsid w:val="66302426"/>
    <w:rsid w:val="66364452"/>
    <w:rsid w:val="6651710F"/>
    <w:rsid w:val="66624588"/>
    <w:rsid w:val="66624590"/>
    <w:rsid w:val="669B6734"/>
    <w:rsid w:val="66BE68C6"/>
    <w:rsid w:val="66C739CD"/>
    <w:rsid w:val="66D90189"/>
    <w:rsid w:val="66E85FB4"/>
    <w:rsid w:val="66F5137F"/>
    <w:rsid w:val="67330E86"/>
    <w:rsid w:val="674033C8"/>
    <w:rsid w:val="67614E4C"/>
    <w:rsid w:val="679C7C07"/>
    <w:rsid w:val="67B37AAD"/>
    <w:rsid w:val="67D03874"/>
    <w:rsid w:val="67F524F3"/>
    <w:rsid w:val="67F92005"/>
    <w:rsid w:val="68025435"/>
    <w:rsid w:val="687E630D"/>
    <w:rsid w:val="688F22C8"/>
    <w:rsid w:val="68C267B6"/>
    <w:rsid w:val="68CF738C"/>
    <w:rsid w:val="68D20407"/>
    <w:rsid w:val="68F20812"/>
    <w:rsid w:val="69021FA8"/>
    <w:rsid w:val="69137A07"/>
    <w:rsid w:val="697415F1"/>
    <w:rsid w:val="697F3ADF"/>
    <w:rsid w:val="69935DE8"/>
    <w:rsid w:val="69DA3ABA"/>
    <w:rsid w:val="6A3762A4"/>
    <w:rsid w:val="6A631F51"/>
    <w:rsid w:val="6A887F5F"/>
    <w:rsid w:val="6AAB7162"/>
    <w:rsid w:val="6AC3566F"/>
    <w:rsid w:val="6B037C3A"/>
    <w:rsid w:val="6B2B4A32"/>
    <w:rsid w:val="6B3A67D0"/>
    <w:rsid w:val="6B4B7556"/>
    <w:rsid w:val="6B6179F5"/>
    <w:rsid w:val="6B7C13D5"/>
    <w:rsid w:val="6BCE135A"/>
    <w:rsid w:val="6BD72D2C"/>
    <w:rsid w:val="6C0652F9"/>
    <w:rsid w:val="6C53512B"/>
    <w:rsid w:val="6C560EC1"/>
    <w:rsid w:val="6C8E0AE9"/>
    <w:rsid w:val="6CA04267"/>
    <w:rsid w:val="6CA63EB8"/>
    <w:rsid w:val="6CB227F2"/>
    <w:rsid w:val="6CC30793"/>
    <w:rsid w:val="6CC8224D"/>
    <w:rsid w:val="6D18328F"/>
    <w:rsid w:val="6D6A3304"/>
    <w:rsid w:val="6D8C5C0C"/>
    <w:rsid w:val="6D8D7335"/>
    <w:rsid w:val="6DF95048"/>
    <w:rsid w:val="6E0472B5"/>
    <w:rsid w:val="6E09753D"/>
    <w:rsid w:val="6E7320EC"/>
    <w:rsid w:val="6EB73860"/>
    <w:rsid w:val="6EF255E1"/>
    <w:rsid w:val="6F3C1C82"/>
    <w:rsid w:val="6F4B5004"/>
    <w:rsid w:val="6F7915DC"/>
    <w:rsid w:val="6F9E02F2"/>
    <w:rsid w:val="6FF00AC7"/>
    <w:rsid w:val="700F01D3"/>
    <w:rsid w:val="7015387B"/>
    <w:rsid w:val="705A41AE"/>
    <w:rsid w:val="70B30B1E"/>
    <w:rsid w:val="70D07922"/>
    <w:rsid w:val="70E14841"/>
    <w:rsid w:val="7113156F"/>
    <w:rsid w:val="713A123F"/>
    <w:rsid w:val="718524BB"/>
    <w:rsid w:val="718631F8"/>
    <w:rsid w:val="71C3299D"/>
    <w:rsid w:val="71CE1DE8"/>
    <w:rsid w:val="71E60A7F"/>
    <w:rsid w:val="72964253"/>
    <w:rsid w:val="72A11576"/>
    <w:rsid w:val="72B56CCB"/>
    <w:rsid w:val="72D46929"/>
    <w:rsid w:val="72D57472"/>
    <w:rsid w:val="72D729DB"/>
    <w:rsid w:val="72EC0317"/>
    <w:rsid w:val="73353469"/>
    <w:rsid w:val="73644117"/>
    <w:rsid w:val="736D3FC9"/>
    <w:rsid w:val="73BF6E3A"/>
    <w:rsid w:val="73D03795"/>
    <w:rsid w:val="74026044"/>
    <w:rsid w:val="74035919"/>
    <w:rsid w:val="741D30BD"/>
    <w:rsid w:val="74213FF1"/>
    <w:rsid w:val="74962374"/>
    <w:rsid w:val="7499627D"/>
    <w:rsid w:val="74C07CAE"/>
    <w:rsid w:val="74FB38D2"/>
    <w:rsid w:val="74FF3D98"/>
    <w:rsid w:val="750E0A19"/>
    <w:rsid w:val="75606932"/>
    <w:rsid w:val="75685790"/>
    <w:rsid w:val="756E5918"/>
    <w:rsid w:val="75712C55"/>
    <w:rsid w:val="75734D20"/>
    <w:rsid w:val="757B7431"/>
    <w:rsid w:val="75C17839"/>
    <w:rsid w:val="75D7226C"/>
    <w:rsid w:val="76332FB4"/>
    <w:rsid w:val="76364E43"/>
    <w:rsid w:val="763C3364"/>
    <w:rsid w:val="763E5F57"/>
    <w:rsid w:val="76740D50"/>
    <w:rsid w:val="769C1001"/>
    <w:rsid w:val="76D8244A"/>
    <w:rsid w:val="76EB38E3"/>
    <w:rsid w:val="775547B2"/>
    <w:rsid w:val="777404D2"/>
    <w:rsid w:val="77F35CA4"/>
    <w:rsid w:val="781D7C27"/>
    <w:rsid w:val="7875145D"/>
    <w:rsid w:val="788809AD"/>
    <w:rsid w:val="78A23E67"/>
    <w:rsid w:val="78AF7473"/>
    <w:rsid w:val="78BB3CBA"/>
    <w:rsid w:val="79291DBD"/>
    <w:rsid w:val="79463D2A"/>
    <w:rsid w:val="79584959"/>
    <w:rsid w:val="796E3278"/>
    <w:rsid w:val="7984574E"/>
    <w:rsid w:val="79B80DE0"/>
    <w:rsid w:val="7A5475D0"/>
    <w:rsid w:val="7A574C10"/>
    <w:rsid w:val="7A7F1A71"/>
    <w:rsid w:val="7AAC0AB8"/>
    <w:rsid w:val="7AAF2356"/>
    <w:rsid w:val="7AD06AA1"/>
    <w:rsid w:val="7B011F41"/>
    <w:rsid w:val="7B0C59FB"/>
    <w:rsid w:val="7B101CDA"/>
    <w:rsid w:val="7B587A97"/>
    <w:rsid w:val="7B7209AE"/>
    <w:rsid w:val="7BD644A9"/>
    <w:rsid w:val="7C162517"/>
    <w:rsid w:val="7C2D3A49"/>
    <w:rsid w:val="7C4371FA"/>
    <w:rsid w:val="7C5950EA"/>
    <w:rsid w:val="7D657644"/>
    <w:rsid w:val="7D670C49"/>
    <w:rsid w:val="7D9A5540"/>
    <w:rsid w:val="7DA16686"/>
    <w:rsid w:val="7DA63EE4"/>
    <w:rsid w:val="7DB40352"/>
    <w:rsid w:val="7DF67493"/>
    <w:rsid w:val="7E3B4056"/>
    <w:rsid w:val="7E8566E3"/>
    <w:rsid w:val="7E8640F9"/>
    <w:rsid w:val="7E8E06E9"/>
    <w:rsid w:val="7EA31D98"/>
    <w:rsid w:val="7EC81C39"/>
    <w:rsid w:val="7EF700DD"/>
    <w:rsid w:val="7F2655FA"/>
    <w:rsid w:val="7F3160FD"/>
    <w:rsid w:val="7F951BF0"/>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35"/>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36"/>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7"/>
    <w:autoRedefine/>
    <w:unhideWhenUsed/>
    <w:qFormat/>
    <w:uiPriority w:val="9"/>
    <w:pPr>
      <w:keepNext/>
      <w:keepLines/>
      <w:outlineLvl w:val="2"/>
    </w:pPr>
    <w:rPr>
      <w:b/>
      <w:bCs/>
      <w:szCs w:val="32"/>
    </w:rPr>
  </w:style>
  <w:style w:type="paragraph" w:styleId="5">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48"/>
    <w:autoRedefine/>
    <w:unhideWhenUsed/>
    <w:qFormat/>
    <w:uiPriority w:val="9"/>
    <w:pPr>
      <w:keepNext/>
      <w:keepLines/>
      <w:spacing w:before="280" w:after="290" w:line="376" w:lineRule="auto"/>
      <w:outlineLvl w:val="4"/>
    </w:pPr>
    <w:rPr>
      <w:b/>
      <w:bCs/>
      <w:szCs w:val="28"/>
    </w:rPr>
  </w:style>
  <w:style w:type="paragraph" w:styleId="7">
    <w:name w:val="heading 6"/>
    <w:basedOn w:val="1"/>
    <w:next w:val="1"/>
    <w:autoRedefine/>
    <w:unhideWhenUsed/>
    <w:qFormat/>
    <w:uiPriority w:val="9"/>
    <w:pPr>
      <w:keepNext/>
      <w:keepLines/>
      <w:outlineLvl w:val="5"/>
    </w:pPr>
    <w:rPr>
      <w:rFonts w:ascii="Cambria" w:hAnsi="Cambria"/>
      <w:bCs/>
      <w:sz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8">
    <w:name w:val="caption"/>
    <w:basedOn w:val="1"/>
    <w:next w:val="1"/>
    <w:autoRedefine/>
    <w:unhideWhenUsed/>
    <w:qFormat/>
    <w:uiPriority w:val="0"/>
    <w:rPr>
      <w:rFonts w:eastAsia="黑体" w:asciiTheme="majorHAnsi" w:hAnsiTheme="majorHAnsi" w:cstheme="majorBidi"/>
      <w:sz w:val="20"/>
      <w:szCs w:val="20"/>
    </w:rPr>
  </w:style>
  <w:style w:type="paragraph" w:styleId="9">
    <w:name w:val="annotation text"/>
    <w:basedOn w:val="1"/>
    <w:link w:val="39"/>
    <w:autoRedefine/>
    <w:unhideWhenUsed/>
    <w:qFormat/>
    <w:uiPriority w:val="99"/>
    <w:pPr>
      <w:jc w:val="left"/>
    </w:pPr>
  </w:style>
  <w:style w:type="paragraph" w:styleId="10">
    <w:name w:val="index 6"/>
    <w:basedOn w:val="1"/>
    <w:next w:val="1"/>
    <w:autoRedefine/>
    <w:semiHidden/>
    <w:qFormat/>
    <w:uiPriority w:val="0"/>
    <w:pPr>
      <w:ind w:firstLine="640" w:firstLineChars="200"/>
    </w:pPr>
    <w:rPr>
      <w:rFonts w:ascii="仿宋_GB2312" w:hAnsi="仿宋_GB2312" w:eastAsia="仿宋_GB2312" w:cs="仿宋_GB2312"/>
      <w:color w:val="0000FF"/>
      <w:sz w:val="32"/>
      <w:szCs w:val="32"/>
    </w:rPr>
  </w:style>
  <w:style w:type="paragraph" w:styleId="11">
    <w:name w:val="Body Text"/>
    <w:basedOn w:val="1"/>
    <w:next w:val="1"/>
    <w:autoRedefine/>
    <w:qFormat/>
    <w:uiPriority w:val="99"/>
    <w:rPr>
      <w:szCs w:val="21"/>
    </w:rPr>
  </w:style>
  <w:style w:type="paragraph" w:styleId="12">
    <w:name w:val="Body Text Indent"/>
    <w:basedOn w:val="1"/>
    <w:link w:val="49"/>
    <w:autoRedefine/>
    <w:qFormat/>
    <w:uiPriority w:val="0"/>
    <w:pPr>
      <w:ind w:left="200" w:leftChars="200"/>
    </w:pPr>
    <w:rPr>
      <w:szCs w:val="21"/>
    </w:rPr>
  </w:style>
  <w:style w:type="paragraph" w:styleId="13">
    <w:name w:val="Plain Text"/>
    <w:basedOn w:val="1"/>
    <w:autoRedefine/>
    <w:qFormat/>
    <w:uiPriority w:val="0"/>
    <w:rPr>
      <w:rFonts w:hint="eastAsia" w:ascii="宋体" w:hAnsi="Courier New" w:eastAsia="宋体" w:cs="Times New Roman"/>
      <w:szCs w:val="20"/>
    </w:rPr>
  </w:style>
  <w:style w:type="paragraph" w:styleId="14">
    <w:name w:val="Body Text Indent 2"/>
    <w:basedOn w:val="1"/>
    <w:next w:val="13"/>
    <w:autoRedefine/>
    <w:qFormat/>
    <w:uiPriority w:val="0"/>
    <w:pPr>
      <w:ind w:left="-718" w:leftChars="-342" w:firstLine="720" w:firstLineChars="225"/>
      <w:jc w:val="left"/>
    </w:pPr>
    <w:rPr>
      <w:sz w:val="32"/>
      <w:szCs w:val="32"/>
    </w:rPr>
  </w:style>
  <w:style w:type="paragraph" w:styleId="15">
    <w:name w:val="footer"/>
    <w:basedOn w:val="1"/>
    <w:link w:val="33"/>
    <w:autoRedefine/>
    <w:unhideWhenUsed/>
    <w:qFormat/>
    <w:uiPriority w:val="99"/>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8296"/>
      </w:tabs>
      <w:ind w:firstLine="0" w:firstLineChars="0"/>
    </w:pPr>
    <w:rPr>
      <w:rFonts w:hAnsi="宋体"/>
      <w:b/>
      <w:bCs/>
    </w:rPr>
  </w:style>
  <w:style w:type="paragraph" w:styleId="18">
    <w:name w:val="toc 2"/>
    <w:basedOn w:val="1"/>
    <w:next w:val="1"/>
    <w:autoRedefine/>
    <w:unhideWhenUsed/>
    <w:qFormat/>
    <w:uiPriority w:val="39"/>
    <w:pPr>
      <w:tabs>
        <w:tab w:val="right" w:leader="dot" w:pos="8296"/>
      </w:tabs>
      <w:ind w:left="560" w:leftChars="200" w:firstLine="0" w:firstLineChars="0"/>
    </w:pPr>
  </w:style>
  <w:style w:type="paragraph" w:styleId="1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autoRedefine/>
    <w:semiHidden/>
    <w:unhideWhenUsed/>
    <w:qFormat/>
    <w:uiPriority w:val="99"/>
    <w:pPr>
      <w:spacing w:beforeAutospacing="1" w:afterAutospacing="1"/>
      <w:jc w:val="left"/>
    </w:pPr>
    <w:rPr>
      <w:rFonts w:cs="Times New Roman"/>
      <w:kern w:val="0"/>
      <w:sz w:val="24"/>
    </w:rPr>
  </w:style>
  <w:style w:type="paragraph" w:styleId="21">
    <w:name w:val="index 1"/>
    <w:basedOn w:val="1"/>
    <w:next w:val="1"/>
    <w:autoRedefine/>
    <w:qFormat/>
    <w:uiPriority w:val="0"/>
  </w:style>
  <w:style w:type="paragraph" w:styleId="22">
    <w:name w:val="annotation subject"/>
    <w:basedOn w:val="9"/>
    <w:next w:val="9"/>
    <w:link w:val="40"/>
    <w:autoRedefine/>
    <w:semiHidden/>
    <w:unhideWhenUsed/>
    <w:qFormat/>
    <w:uiPriority w:val="99"/>
    <w:rPr>
      <w:b/>
      <w:bCs/>
    </w:rPr>
  </w:style>
  <w:style w:type="paragraph" w:styleId="23">
    <w:name w:val="Body Text First Indent 2"/>
    <w:basedOn w:val="12"/>
    <w:link w:val="50"/>
    <w:autoRedefine/>
    <w:unhideWhenUsed/>
    <w:qFormat/>
    <w:uiPriority w:val="0"/>
    <w:pPr>
      <w:spacing w:after="120"/>
      <w:ind w:left="420" w:firstLine="420"/>
    </w:pPr>
    <w:rPr>
      <w:szCs w:val="22"/>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unhideWhenUsed/>
    <w:qFormat/>
    <w:uiPriority w:val="99"/>
    <w:rPr>
      <w:color w:val="0563C1" w:themeColor="hyperlink"/>
      <w:u w:val="single"/>
      <w14:textFill>
        <w14:solidFill>
          <w14:schemeClr w14:val="hlink"/>
        </w14:solidFill>
      </w14:textFill>
    </w:rPr>
  </w:style>
  <w:style w:type="character" w:styleId="28">
    <w:name w:val="annotation reference"/>
    <w:basedOn w:val="26"/>
    <w:autoRedefine/>
    <w:semiHidden/>
    <w:unhideWhenUsed/>
    <w:qFormat/>
    <w:uiPriority w:val="99"/>
    <w:rPr>
      <w:sz w:val="21"/>
      <w:szCs w:val="21"/>
    </w:rPr>
  </w:style>
  <w:style w:type="paragraph" w:customStyle="1" w:styleId="29">
    <w:name w:val="正文文本首行缩进 21"/>
    <w:basedOn w:val="1"/>
    <w:autoRedefine/>
    <w:qFormat/>
    <w:uiPriority w:val="0"/>
    <w:pPr>
      <w:ind w:left="420" w:leftChars="200" w:firstLine="420"/>
    </w:pPr>
  </w:style>
  <w:style w:type="paragraph" w:customStyle="1" w:styleId="30">
    <w:name w:val="Body Text First Indent 21"/>
    <w:basedOn w:val="1"/>
    <w:autoRedefine/>
    <w:qFormat/>
    <w:uiPriority w:val="0"/>
    <w:pPr>
      <w:ind w:left="420" w:leftChars="200" w:firstLine="420"/>
    </w:pPr>
  </w:style>
  <w:style w:type="paragraph" w:customStyle="1" w:styleId="31">
    <w:name w:val="BodyTextIndent"/>
    <w:basedOn w:val="1"/>
    <w:autoRedefine/>
    <w:qFormat/>
    <w:uiPriority w:val="0"/>
    <w:pPr>
      <w:widowControl/>
      <w:ind w:left="200" w:leftChars="200"/>
      <w:textAlignment w:val="baseline"/>
    </w:pPr>
    <w:rPr>
      <w:sz w:val="21"/>
      <w:szCs w:val="21"/>
    </w:rPr>
  </w:style>
  <w:style w:type="character" w:customStyle="1" w:styleId="32">
    <w:name w:val="页眉 字符"/>
    <w:basedOn w:val="26"/>
    <w:link w:val="16"/>
    <w:autoRedefine/>
    <w:qFormat/>
    <w:uiPriority w:val="99"/>
    <w:rPr>
      <w:sz w:val="18"/>
      <w:szCs w:val="18"/>
    </w:rPr>
  </w:style>
  <w:style w:type="character" w:customStyle="1" w:styleId="33">
    <w:name w:val="页脚 字符"/>
    <w:basedOn w:val="26"/>
    <w:link w:val="15"/>
    <w:autoRedefine/>
    <w:qFormat/>
    <w:uiPriority w:val="99"/>
    <w:rPr>
      <w:sz w:val="18"/>
      <w:szCs w:val="18"/>
    </w:rPr>
  </w:style>
  <w:style w:type="paragraph" w:customStyle="1" w:styleId="34">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5">
    <w:name w:val="标题 1 字符"/>
    <w:basedOn w:val="26"/>
    <w:link w:val="2"/>
    <w:autoRedefine/>
    <w:qFormat/>
    <w:uiPriority w:val="9"/>
    <w:rPr>
      <w:rFonts w:ascii="黑体" w:hAnsi="黑体" w:eastAsia="黑体"/>
      <w:b/>
      <w:bCs/>
      <w:kern w:val="44"/>
      <w:sz w:val="32"/>
      <w:szCs w:val="44"/>
    </w:rPr>
  </w:style>
  <w:style w:type="character" w:customStyle="1" w:styleId="36">
    <w:name w:val="标题 2 字符"/>
    <w:basedOn w:val="26"/>
    <w:link w:val="3"/>
    <w:autoRedefine/>
    <w:qFormat/>
    <w:uiPriority w:val="9"/>
    <w:rPr>
      <w:rFonts w:ascii="楷体" w:hAnsi="楷体" w:eastAsia="楷体" w:cstheme="majorBidi"/>
      <w:b/>
      <w:bCs/>
      <w:sz w:val="32"/>
      <w:szCs w:val="32"/>
    </w:rPr>
  </w:style>
  <w:style w:type="character" w:customStyle="1" w:styleId="37">
    <w:name w:val="标题 3 字符"/>
    <w:basedOn w:val="26"/>
    <w:link w:val="4"/>
    <w:autoRedefine/>
    <w:qFormat/>
    <w:uiPriority w:val="9"/>
    <w:rPr>
      <w:rFonts w:ascii="仿宋_GB2312" w:hAnsi="仿宋_GB2312" w:eastAsia="仿宋_GB2312"/>
      <w:b/>
      <w:bCs/>
      <w:sz w:val="28"/>
      <w:szCs w:val="32"/>
    </w:rPr>
  </w:style>
  <w:style w:type="character" w:customStyle="1" w:styleId="38">
    <w:name w:val="font01"/>
    <w:basedOn w:val="26"/>
    <w:autoRedefine/>
    <w:qFormat/>
    <w:uiPriority w:val="0"/>
    <w:rPr>
      <w:rFonts w:hint="eastAsia" w:ascii="宋体" w:hAnsi="宋体" w:eastAsia="宋体" w:cs="宋体"/>
      <w:color w:val="000000"/>
      <w:sz w:val="21"/>
      <w:szCs w:val="21"/>
      <w:u w:val="none"/>
    </w:rPr>
  </w:style>
  <w:style w:type="character" w:customStyle="1" w:styleId="39">
    <w:name w:val="批注文字 字符"/>
    <w:basedOn w:val="26"/>
    <w:link w:val="9"/>
    <w:autoRedefine/>
    <w:qFormat/>
    <w:uiPriority w:val="99"/>
    <w:rPr>
      <w:rFonts w:ascii="仿宋_GB2312" w:hAnsi="仿宋_GB2312" w:eastAsia="仿宋_GB2312" w:cstheme="minorBidi"/>
      <w:kern w:val="2"/>
      <w:sz w:val="28"/>
      <w:szCs w:val="22"/>
    </w:rPr>
  </w:style>
  <w:style w:type="character" w:customStyle="1" w:styleId="40">
    <w:name w:val="批注主题 字符"/>
    <w:basedOn w:val="39"/>
    <w:link w:val="22"/>
    <w:autoRedefine/>
    <w:semiHidden/>
    <w:qFormat/>
    <w:uiPriority w:val="99"/>
    <w:rPr>
      <w:rFonts w:ascii="仿宋_GB2312" w:hAnsi="仿宋_GB2312" w:eastAsia="仿宋_GB2312" w:cstheme="minorBidi"/>
      <w:b/>
      <w:bCs/>
      <w:kern w:val="2"/>
      <w:sz w:val="28"/>
      <w:szCs w:val="22"/>
    </w:rPr>
  </w:style>
  <w:style w:type="paragraph" w:customStyle="1" w:styleId="41">
    <w:name w:val="NormalIndent"/>
    <w:basedOn w:val="1"/>
    <w:autoRedefine/>
    <w:qFormat/>
    <w:uiPriority w:val="99"/>
    <w:pPr>
      <w:ind w:firstLine="420"/>
      <w:textAlignment w:val="baseline"/>
    </w:pPr>
    <w:rPr>
      <w:szCs w:val="21"/>
    </w:rPr>
  </w:style>
  <w:style w:type="character" w:customStyle="1" w:styleId="42">
    <w:name w:val="content1"/>
    <w:basedOn w:val="26"/>
    <w:autoRedefine/>
    <w:qFormat/>
    <w:uiPriority w:val="0"/>
    <w:rPr>
      <w:rFonts w:hint="default"/>
      <w:sz w:val="21"/>
    </w:rPr>
  </w:style>
  <w:style w:type="paragraph" w:customStyle="1" w:styleId="43">
    <w:name w:val="Char2"/>
    <w:basedOn w:val="1"/>
    <w:autoRedefine/>
    <w:qFormat/>
    <w:uiPriority w:val="0"/>
    <w:rPr>
      <w:rFonts w:ascii="Courier" w:hAnsi="Courier" w:cs="Courier"/>
      <w:szCs w:val="21"/>
    </w:rPr>
  </w:style>
  <w:style w:type="character" w:customStyle="1" w:styleId="44">
    <w:name w:val="NormalCharacter"/>
    <w:autoRedefine/>
    <w:semiHidden/>
    <w:qFormat/>
    <w:uiPriority w:val="0"/>
  </w:style>
  <w:style w:type="paragraph" w:customStyle="1" w:styleId="45">
    <w:name w:val="Normal Indent1"/>
    <w:basedOn w:val="1"/>
    <w:autoRedefine/>
    <w:qFormat/>
    <w:uiPriority w:val="99"/>
    <w:pPr>
      <w:ind w:firstLine="420"/>
    </w:pPr>
  </w:style>
  <w:style w:type="paragraph" w:styleId="46">
    <w:name w:val="List Paragraph"/>
    <w:basedOn w:val="1"/>
    <w:autoRedefine/>
    <w:qFormat/>
    <w:uiPriority w:val="99"/>
    <w:pPr>
      <w:ind w:firstLine="420"/>
    </w:pPr>
  </w:style>
  <w:style w:type="character" w:customStyle="1" w:styleId="47">
    <w:name w:val="标题 4 字符"/>
    <w:basedOn w:val="26"/>
    <w:link w:val="5"/>
    <w:autoRedefine/>
    <w:qFormat/>
    <w:uiPriority w:val="9"/>
    <w:rPr>
      <w:rFonts w:asciiTheme="majorHAnsi" w:hAnsiTheme="majorHAnsi" w:eastAsiaTheme="majorEastAsia" w:cstheme="majorBidi"/>
      <w:b/>
      <w:bCs/>
      <w:kern w:val="2"/>
      <w:sz w:val="28"/>
      <w:szCs w:val="28"/>
    </w:rPr>
  </w:style>
  <w:style w:type="character" w:customStyle="1" w:styleId="48">
    <w:name w:val="标题 5 字符"/>
    <w:basedOn w:val="26"/>
    <w:link w:val="6"/>
    <w:autoRedefine/>
    <w:qFormat/>
    <w:uiPriority w:val="9"/>
    <w:rPr>
      <w:rFonts w:ascii="仿宋_GB2312" w:hAnsi="仿宋_GB2312" w:eastAsia="仿宋_GB2312" w:cstheme="minorBidi"/>
      <w:b/>
      <w:bCs/>
      <w:kern w:val="2"/>
      <w:sz w:val="28"/>
      <w:szCs w:val="28"/>
    </w:rPr>
  </w:style>
  <w:style w:type="character" w:customStyle="1" w:styleId="49">
    <w:name w:val="正文文本缩进 字符"/>
    <w:basedOn w:val="26"/>
    <w:link w:val="12"/>
    <w:autoRedefine/>
    <w:qFormat/>
    <w:uiPriority w:val="0"/>
    <w:rPr>
      <w:rFonts w:ascii="仿宋_GB2312" w:hAnsi="仿宋_GB2312" w:eastAsia="仿宋_GB2312" w:cstheme="minorBidi"/>
      <w:kern w:val="2"/>
      <w:sz w:val="28"/>
      <w:szCs w:val="21"/>
    </w:rPr>
  </w:style>
  <w:style w:type="character" w:customStyle="1" w:styleId="50">
    <w:name w:val="正文文本首行缩进 2 字符"/>
    <w:basedOn w:val="49"/>
    <w:link w:val="23"/>
    <w:autoRedefine/>
    <w:qFormat/>
    <w:uiPriority w:val="0"/>
    <w:rPr>
      <w:rFonts w:ascii="仿宋_GB2312" w:hAnsi="仿宋_GB2312" w:eastAsia="仿宋_GB2312" w:cstheme="minorBidi"/>
      <w:kern w:val="2"/>
      <w:sz w:val="28"/>
      <w:szCs w:val="22"/>
    </w:rPr>
  </w:style>
  <w:style w:type="paragraph" w:customStyle="1" w:styleId="51">
    <w:name w:val="Body Text First Indent 2"/>
    <w:basedOn w:val="1"/>
    <w:autoRedefine/>
    <w:qFormat/>
    <w:uiPriority w:val="0"/>
    <w:pPr>
      <w:ind w:left="420" w:leftChars="200" w:firstLine="420" w:firstLineChars="200"/>
    </w:pPr>
  </w:style>
  <w:style w:type="character" w:customStyle="1" w:styleId="52">
    <w:name w:val="font41"/>
    <w:basedOn w:val="26"/>
    <w:autoRedefine/>
    <w:qFormat/>
    <w:uiPriority w:val="0"/>
    <w:rPr>
      <w:rFonts w:hint="eastAsia" w:ascii="仿宋_GB2312" w:eastAsia="仿宋_GB2312" w:cs="仿宋_GB2312"/>
      <w:b/>
      <w:bCs/>
      <w:color w:val="000000"/>
      <w:sz w:val="24"/>
      <w:szCs w:val="24"/>
      <w:u w:val="none"/>
    </w:rPr>
  </w:style>
  <w:style w:type="character" w:customStyle="1" w:styleId="53">
    <w:name w:val="font31"/>
    <w:basedOn w:val="26"/>
    <w:autoRedefine/>
    <w:qFormat/>
    <w:uiPriority w:val="0"/>
    <w:rPr>
      <w:rFonts w:hint="eastAsia" w:ascii="仿宋_GB2312" w:eastAsia="仿宋_GB2312" w:cs="仿宋_GB2312"/>
      <w:color w:val="000000"/>
      <w:sz w:val="24"/>
      <w:szCs w:val="24"/>
      <w:u w:val="none"/>
    </w:rPr>
  </w:style>
  <w:style w:type="character" w:customStyle="1" w:styleId="54">
    <w:name w:val="font21"/>
    <w:basedOn w:val="26"/>
    <w:autoRedefine/>
    <w:qFormat/>
    <w:uiPriority w:val="0"/>
    <w:rPr>
      <w:rFonts w:hint="eastAsia" w:ascii="仿宋_GB2312" w:eastAsia="仿宋_GB2312" w:cs="仿宋_GB2312"/>
      <w:b/>
      <w:bCs/>
      <w:color w:val="000000"/>
      <w:sz w:val="24"/>
      <w:szCs w:val="24"/>
      <w:u w:val="none"/>
    </w:rPr>
  </w:style>
  <w:style w:type="paragraph" w:customStyle="1" w:styleId="55">
    <w:name w:val="列出段落1"/>
    <w:basedOn w:val="1"/>
    <w:autoRedefine/>
    <w:qFormat/>
    <w:uiPriority w:val="0"/>
    <w:pPr>
      <w:ind w:firstLine="420" w:firstLineChars="200"/>
    </w:pPr>
    <w:rPr>
      <w:rFonts w:ascii="Calibri" w:hAnsi="Calibri" w:eastAsia="宋体" w:cs="Times New Roman"/>
    </w:rPr>
  </w:style>
  <w:style w:type="table" w:customStyle="1" w:styleId="5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C2C69-E3FB-4C5F-A190-99F251BE86AF}">
  <ds:schemaRefs/>
</ds:datastoreItem>
</file>

<file path=docProps/app.xml><?xml version="1.0" encoding="utf-8"?>
<Properties xmlns="http://schemas.openxmlformats.org/officeDocument/2006/extended-properties" xmlns:vt="http://schemas.openxmlformats.org/officeDocument/2006/docPropsVTypes">
  <Template>Normal</Template>
  <Pages>25</Pages>
  <Words>10362</Words>
  <Characters>12740</Characters>
  <Lines>109</Lines>
  <Paragraphs>30</Paragraphs>
  <TotalTime>10</TotalTime>
  <ScaleCrop>false</ScaleCrop>
  <LinksUpToDate>false</LinksUpToDate>
  <CharactersWithSpaces>12826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怪咖</cp:lastModifiedBy>
  <cp:lastPrinted>2021-04-25T06:46:00Z</cp:lastPrinted>
  <dcterms:modified xsi:type="dcterms:W3CDTF">2024-08-08T03:24:49Z</dcterms:modified>
  <cp:revision>1084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0A34F3161F024F68B7E157E16F15FA0C_13</vt:lpwstr>
  </property>
</Properties>
</file>