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2F5DF">
      <w:pPr>
        <w:spacing w:line="480" w:lineRule="auto"/>
        <w:ind w:firstLine="883"/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</w:p>
    <w:p w14:paraId="3E46B863">
      <w:pPr>
        <w:spacing w:line="480" w:lineRule="auto"/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70A5BF66">
      <w:pPr>
        <w:spacing w:line="480" w:lineRule="auto"/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01E051F8">
      <w:pPr>
        <w:spacing w:line="720" w:lineRule="auto"/>
        <w:ind w:firstLine="0" w:firstLineChars="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202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3</w:t>
      </w:r>
      <w:r>
        <w:rPr>
          <w:rFonts w:ascii="宋体" w:hAnsi="宋体" w:eastAsia="宋体"/>
          <w:b/>
          <w:bCs/>
          <w:sz w:val="44"/>
          <w:szCs w:val="44"/>
        </w:rPr>
        <w:t>年度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平凉市泾川县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人民法院</w:t>
      </w:r>
    </w:p>
    <w:p w14:paraId="0F0C2B1D">
      <w:pPr>
        <w:spacing w:line="720" w:lineRule="auto"/>
        <w:ind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部门</w:t>
      </w:r>
      <w:r>
        <w:rPr>
          <w:rFonts w:ascii="宋体" w:hAnsi="宋体" w:eastAsia="宋体"/>
          <w:b/>
          <w:bCs/>
          <w:sz w:val="44"/>
          <w:szCs w:val="44"/>
        </w:rPr>
        <w:t>预算执行情况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绩效</w:t>
      </w:r>
      <w:r>
        <w:rPr>
          <w:rFonts w:ascii="宋体" w:hAnsi="宋体" w:eastAsia="宋体"/>
          <w:b/>
          <w:bCs/>
          <w:sz w:val="44"/>
          <w:szCs w:val="44"/>
        </w:rPr>
        <w:t>自评报告</w:t>
      </w:r>
    </w:p>
    <w:p w14:paraId="42BA68C4">
      <w:pPr>
        <w:widowControl/>
        <w:spacing w:line="240" w:lineRule="auto"/>
        <w:ind w:firstLine="0" w:firstLineChars="0"/>
        <w:jc w:val="left"/>
        <w:rPr>
          <w:rFonts w:ascii="宋体" w:hAnsi="宋体" w:eastAsia="宋体"/>
          <w:b/>
          <w:bCs/>
          <w:sz w:val="44"/>
          <w:szCs w:val="44"/>
        </w:rPr>
      </w:pPr>
    </w:p>
    <w:p w14:paraId="36BF0B04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18172F9D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4B8005E3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3232E498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7BB07401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1F44013E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3E314F15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0327AE38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0D2797CF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0B3D202B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14AA93C6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75D13E1E">
      <w:pPr>
        <w:ind w:firstLine="0" w:firstLineChars="0"/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平凉市泾川县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人民法院</w:t>
      </w:r>
    </w:p>
    <w:p w14:paraId="0D164CF4">
      <w:pPr>
        <w:ind w:firstLine="0" w:firstLineChars="0"/>
        <w:jc w:val="center"/>
        <w:rPr>
          <w:rFonts w:ascii="宋体" w:hAnsi="宋体" w:eastAsia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>年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>月</w:t>
      </w:r>
    </w:p>
    <w:p w14:paraId="7BF03CC4">
      <w:pPr>
        <w:ind w:firstLine="560"/>
      </w:pPr>
    </w:p>
    <w:sdt>
      <w:sdtPr>
        <w:rPr>
          <w:rFonts w:ascii="仿宋_GB2312" w:hAnsi="仿宋_GB2312" w:eastAsia="仿宋_GB2312" w:cstheme="minorBidi"/>
          <w:color w:val="auto"/>
          <w:kern w:val="2"/>
          <w:sz w:val="28"/>
          <w:szCs w:val="22"/>
          <w:lang w:val="zh-CN"/>
        </w:rPr>
        <w:id w:val="-789518963"/>
        <w:docPartObj>
          <w:docPartGallery w:val="Table of Contents"/>
          <w:docPartUnique/>
        </w:docPartObj>
      </w:sdtPr>
      <w:sdtEndPr>
        <w:rPr>
          <w:rFonts w:ascii="仿宋_GB2312" w:hAnsi="仿宋_GB2312" w:eastAsia="仿宋_GB2312" w:cstheme="minorBidi"/>
          <w:b/>
          <w:bCs/>
          <w:color w:val="auto"/>
          <w:kern w:val="2"/>
          <w:sz w:val="28"/>
          <w:szCs w:val="22"/>
          <w:lang w:val="zh-CN"/>
        </w:rPr>
      </w:sdtEndPr>
      <w:sdtContent>
        <w:p w14:paraId="6524C68B">
          <w:pPr>
            <w:pStyle w:val="32"/>
            <w:spacing w:line="360" w:lineRule="auto"/>
            <w:ind w:firstLine="560"/>
            <w:jc w:val="center"/>
            <w:rPr>
              <w:rFonts w:ascii="黑体" w:hAnsi="黑体" w:eastAsia="黑体"/>
              <w:color w:val="auto"/>
            </w:rPr>
          </w:pPr>
          <w:r>
            <w:rPr>
              <w:rFonts w:ascii="黑体" w:hAnsi="黑体" w:eastAsia="黑体"/>
              <w:color w:val="auto"/>
              <w:lang w:val="zh-CN"/>
            </w:rPr>
            <w:t>目</w:t>
          </w:r>
          <w:r>
            <w:rPr>
              <w:rFonts w:hint="eastAsia" w:ascii="黑体" w:hAnsi="黑体" w:eastAsia="黑体"/>
              <w:color w:val="auto"/>
              <w:lang w:val="zh-CN"/>
            </w:rPr>
            <w:t xml:space="preserve"> </w:t>
          </w:r>
          <w:r>
            <w:rPr>
              <w:rFonts w:ascii="黑体" w:hAnsi="黑体" w:eastAsia="黑体"/>
              <w:color w:val="auto"/>
              <w:lang w:val="zh-CN"/>
            </w:rPr>
            <w:t xml:space="preserve"> 录</w:t>
          </w:r>
        </w:p>
        <w:p w14:paraId="7030358B"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_Toc15801 </w:instrText>
          </w:r>
          <w:r>
            <w:fldChar w:fldCharType="separate"/>
          </w:r>
          <w:r>
            <w:rPr>
              <w:rFonts w:hint="eastAsia"/>
              <w:highlight w:val="none"/>
            </w:rPr>
            <w:t>一、基本情况</w:t>
          </w:r>
          <w:r>
            <w:tab/>
          </w:r>
          <w:r>
            <w:fldChar w:fldCharType="begin"/>
          </w:r>
          <w:r>
            <w:instrText xml:space="preserve"> PAGEREF _Toc15801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7617D37D">
          <w:pPr>
            <w:pStyle w:val="16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_Toc6192 </w:instrText>
          </w:r>
          <w:r>
            <w:fldChar w:fldCharType="separate"/>
          </w:r>
          <w:r>
            <w:rPr>
              <w:rFonts w:hint="eastAsia"/>
              <w:highlight w:val="none"/>
            </w:rPr>
            <w:t>（一）部门主要职能</w:t>
          </w:r>
          <w:r>
            <w:tab/>
          </w:r>
          <w:r>
            <w:fldChar w:fldCharType="begin"/>
          </w:r>
          <w:r>
            <w:instrText xml:space="preserve"> PAGEREF _Toc6192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00A7F56F">
          <w:pPr>
            <w:pStyle w:val="16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_Toc19636 </w:instrText>
          </w:r>
          <w:r>
            <w:fldChar w:fldCharType="separate"/>
          </w:r>
          <w:r>
            <w:rPr>
              <w:rFonts w:hint="eastAsia"/>
              <w:highlight w:val="none"/>
            </w:rPr>
            <w:t>（二）内设机构及所属</w:t>
          </w:r>
          <w:r>
            <w:rPr>
              <w:rFonts w:hint="eastAsia"/>
              <w:highlight w:val="none"/>
              <w:lang w:eastAsia="zh-CN"/>
            </w:rPr>
            <w:t>部门</w:t>
          </w:r>
          <w:r>
            <w:rPr>
              <w:rFonts w:hint="eastAsia"/>
              <w:highlight w:val="none"/>
            </w:rPr>
            <w:t>概况</w:t>
          </w:r>
          <w:r>
            <w:tab/>
          </w:r>
          <w:r>
            <w:fldChar w:fldCharType="begin"/>
          </w:r>
          <w:r>
            <w:instrText xml:space="preserve"> PAGEREF _Toc19636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79E9302A"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_Toc6708 </w:instrText>
          </w:r>
          <w:r>
            <w:fldChar w:fldCharType="separate"/>
          </w:r>
          <w:r>
            <w:rPr>
              <w:rFonts w:hint="eastAsia"/>
              <w:highlight w:val="none"/>
            </w:rPr>
            <w:t>二、绩效自评工作组织开展情况</w:t>
          </w:r>
          <w:r>
            <w:tab/>
          </w:r>
          <w:r>
            <w:fldChar w:fldCharType="begin"/>
          </w:r>
          <w:r>
            <w:instrText xml:space="preserve"> PAGEREF _Toc6708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49DBCB15">
          <w:pPr>
            <w:pStyle w:val="16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_Toc1901 </w:instrText>
          </w:r>
          <w:r>
            <w:fldChar w:fldCharType="separate"/>
          </w:r>
          <w:r>
            <w:rPr>
              <w:rFonts w:hint="eastAsia"/>
              <w:highlight w:val="none"/>
              <w:lang w:eastAsia="zh-CN"/>
            </w:rPr>
            <w:t>（</w:t>
          </w:r>
          <w:r>
            <w:rPr>
              <w:rFonts w:hint="eastAsia"/>
              <w:highlight w:val="none"/>
              <w:lang w:val="en-US" w:eastAsia="zh-CN"/>
            </w:rPr>
            <w:t>一</w:t>
          </w:r>
          <w:r>
            <w:rPr>
              <w:rFonts w:hint="eastAsia"/>
              <w:highlight w:val="none"/>
              <w:lang w:eastAsia="zh-CN"/>
            </w:rPr>
            <w:t>）</w:t>
          </w:r>
          <w:r>
            <w:rPr>
              <w:rFonts w:hint="eastAsia"/>
              <w:highlight w:val="none"/>
            </w:rPr>
            <w:t>自评工作组织管理情况</w:t>
          </w:r>
          <w:r>
            <w:tab/>
          </w:r>
          <w:r>
            <w:fldChar w:fldCharType="begin"/>
          </w:r>
          <w:r>
            <w:instrText xml:space="preserve"> PAGEREF _Toc1901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158CD79F">
          <w:pPr>
            <w:pStyle w:val="16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_Toc13842 </w:instrText>
          </w:r>
          <w:r>
            <w:fldChar w:fldCharType="separate"/>
          </w:r>
          <w:r>
            <w:rPr>
              <w:rFonts w:hint="eastAsia"/>
              <w:highlight w:val="none"/>
              <w:lang w:eastAsia="zh-CN"/>
            </w:rPr>
            <w:t>（</w:t>
          </w:r>
          <w:r>
            <w:rPr>
              <w:rFonts w:hint="eastAsia"/>
              <w:highlight w:val="none"/>
              <w:lang w:val="en-US" w:eastAsia="zh-CN"/>
            </w:rPr>
            <w:t>二</w:t>
          </w:r>
          <w:r>
            <w:rPr>
              <w:rFonts w:hint="eastAsia"/>
              <w:highlight w:val="none"/>
              <w:lang w:eastAsia="zh-CN"/>
            </w:rPr>
            <w:t>）</w:t>
          </w:r>
          <w:r>
            <w:rPr>
              <w:rFonts w:hint="eastAsia"/>
              <w:highlight w:val="none"/>
            </w:rPr>
            <w:t>自评范围</w:t>
          </w:r>
          <w:r>
            <w:tab/>
          </w:r>
          <w:r>
            <w:fldChar w:fldCharType="begin"/>
          </w:r>
          <w:r>
            <w:instrText xml:space="preserve"> PAGEREF _Toc13842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49545318">
          <w:pPr>
            <w:pStyle w:val="16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_Toc13219 </w:instrText>
          </w:r>
          <w:r>
            <w:fldChar w:fldCharType="separate"/>
          </w:r>
          <w:r>
            <w:rPr>
              <w:rFonts w:hint="eastAsia"/>
              <w:highlight w:val="none"/>
              <w:lang w:eastAsia="zh-CN"/>
            </w:rPr>
            <w:t>（</w:t>
          </w:r>
          <w:r>
            <w:rPr>
              <w:rFonts w:hint="eastAsia"/>
              <w:highlight w:val="none"/>
              <w:lang w:val="en-US" w:eastAsia="zh-CN"/>
            </w:rPr>
            <w:t>三</w:t>
          </w:r>
          <w:r>
            <w:rPr>
              <w:rFonts w:hint="eastAsia"/>
              <w:highlight w:val="none"/>
              <w:lang w:eastAsia="zh-CN"/>
            </w:rPr>
            <w:t>）</w:t>
          </w:r>
          <w:r>
            <w:rPr>
              <w:rFonts w:hint="eastAsia"/>
              <w:highlight w:val="none"/>
            </w:rPr>
            <w:t>自评工作程序</w:t>
          </w:r>
          <w:r>
            <w:tab/>
          </w:r>
          <w:r>
            <w:fldChar w:fldCharType="begin"/>
          </w:r>
          <w:r>
            <w:instrText xml:space="preserve"> PAGEREF _Toc13219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26997EB7"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_Toc6435 </w:instrText>
          </w:r>
          <w:r>
            <w:fldChar w:fldCharType="separate"/>
          </w:r>
          <w:r>
            <w:rPr>
              <w:rFonts w:hint="eastAsia"/>
              <w:highlight w:val="none"/>
            </w:rPr>
            <w:t>三、部门整体支出绩效自评情况分析</w:t>
          </w:r>
          <w:r>
            <w:tab/>
          </w:r>
          <w:r>
            <w:fldChar w:fldCharType="begin"/>
          </w:r>
          <w:r>
            <w:instrText xml:space="preserve"> PAGEREF _Toc6435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76DA9840">
          <w:pPr>
            <w:pStyle w:val="16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_Toc7674 </w:instrText>
          </w:r>
          <w:r>
            <w:fldChar w:fldCharType="separate"/>
          </w:r>
          <w:r>
            <w:rPr>
              <w:rFonts w:hint="eastAsia"/>
              <w:highlight w:val="none"/>
            </w:rPr>
            <w:t>（一）部门决算情况</w:t>
          </w:r>
          <w:r>
            <w:tab/>
          </w:r>
          <w:r>
            <w:fldChar w:fldCharType="begin"/>
          </w:r>
          <w:r>
            <w:instrText xml:space="preserve"> PAGEREF _Toc7674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2BD1206B">
          <w:pPr>
            <w:pStyle w:val="16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_Toc16291 </w:instrText>
          </w:r>
          <w:r>
            <w:fldChar w:fldCharType="separate"/>
          </w:r>
          <w:r>
            <w:rPr>
              <w:rFonts w:hint="eastAsia"/>
              <w:highlight w:val="none"/>
            </w:rPr>
            <w:t>（二）总体绩效目标完成情况分析</w:t>
          </w:r>
          <w:r>
            <w:tab/>
          </w:r>
          <w:r>
            <w:fldChar w:fldCharType="begin"/>
          </w:r>
          <w:r>
            <w:instrText xml:space="preserve"> PAGEREF _Toc16291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3504DFD3">
          <w:pPr>
            <w:pStyle w:val="16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_Toc6543 </w:instrText>
          </w:r>
          <w:r>
            <w:fldChar w:fldCharType="separate"/>
          </w:r>
          <w:r>
            <w:rPr>
              <w:rFonts w:hint="eastAsia"/>
              <w:highlight w:val="none"/>
            </w:rPr>
            <w:t>（三）各项指标完成情况分析</w:t>
          </w:r>
          <w:r>
            <w:tab/>
          </w:r>
          <w:r>
            <w:fldChar w:fldCharType="begin"/>
          </w:r>
          <w:r>
            <w:instrText xml:space="preserve"> PAGEREF _Toc6543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0FA93166">
          <w:pPr>
            <w:pStyle w:val="16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_Toc8384 </w:instrText>
          </w:r>
          <w:r>
            <w:fldChar w:fldCharType="separate"/>
          </w:r>
          <w:r>
            <w:rPr>
              <w:rFonts w:hint="eastAsia"/>
              <w:highlight w:val="none"/>
              <w:lang w:eastAsia="zh-CN"/>
            </w:rPr>
            <w:t>（四）</w:t>
          </w:r>
          <w:r>
            <w:rPr>
              <w:rFonts w:hint="eastAsia"/>
              <w:highlight w:val="none"/>
            </w:rPr>
            <w:t>偏离绩效目标的原因及下一步改进措施</w:t>
          </w:r>
          <w:r>
            <w:tab/>
          </w:r>
          <w:r>
            <w:fldChar w:fldCharType="begin"/>
          </w:r>
          <w:r>
            <w:instrText xml:space="preserve"> PAGEREF _Toc8384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 w14:paraId="7068729A"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_Toc5948 </w:instrText>
          </w:r>
          <w:r>
            <w:fldChar w:fldCharType="separate"/>
          </w:r>
          <w:r>
            <w:rPr>
              <w:rFonts w:hint="eastAsia"/>
              <w:highlight w:val="none"/>
            </w:rPr>
            <w:t>四、部门预算项目支出绩效自评情况分析</w:t>
          </w:r>
          <w:r>
            <w:tab/>
          </w:r>
          <w:r>
            <w:fldChar w:fldCharType="begin"/>
          </w:r>
          <w:r>
            <w:instrText xml:space="preserve"> PAGEREF _Toc5948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 w14:paraId="2801F654">
          <w:pPr>
            <w:pStyle w:val="16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_Toc28366 </w:instrText>
          </w:r>
          <w:r>
            <w:fldChar w:fldCharType="separate"/>
          </w:r>
          <w:r>
            <w:rPr>
              <w:rFonts w:hint="eastAsia"/>
              <w:highlight w:val="none"/>
              <w:lang w:eastAsia="zh-CN"/>
            </w:rPr>
            <w:t>（一）</w:t>
          </w:r>
          <w:r>
            <w:rPr>
              <w:rFonts w:hint="eastAsia"/>
              <w:highlight w:val="none"/>
              <w:lang w:val="en-US" w:eastAsia="zh-CN"/>
            </w:rPr>
            <w:t>业务费</w:t>
          </w:r>
          <w:r>
            <w:tab/>
          </w:r>
          <w:r>
            <w:fldChar w:fldCharType="begin"/>
          </w:r>
          <w:r>
            <w:instrText xml:space="preserve"> PAGEREF _Toc28366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 w14:paraId="1C9DC63E">
          <w:pPr>
            <w:pStyle w:val="16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_Toc7698 </w:instrText>
          </w:r>
          <w:r>
            <w:fldChar w:fldCharType="separate"/>
          </w:r>
          <w:r>
            <w:rPr>
              <w:rFonts w:hint="eastAsia"/>
              <w:highlight w:val="none"/>
            </w:rPr>
            <w:t>（二）</w:t>
          </w:r>
          <w:r>
            <w:rPr>
              <w:rFonts w:hint="eastAsia"/>
              <w:highlight w:val="none"/>
              <w:lang w:val="en-US" w:eastAsia="zh-CN"/>
            </w:rPr>
            <w:t>法庭运维费</w:t>
          </w:r>
          <w:r>
            <w:tab/>
          </w:r>
          <w:r>
            <w:fldChar w:fldCharType="begin"/>
          </w:r>
          <w:r>
            <w:instrText xml:space="preserve"> PAGEREF _Toc7698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 w14:paraId="01C4ABBD"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_Toc16400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五</w:t>
          </w:r>
          <w:r>
            <w:rPr>
              <w:rFonts w:hint="eastAsia"/>
              <w:highlight w:val="none"/>
            </w:rPr>
            <w:t>、绩效自评结果拟应用和公开情况</w:t>
          </w:r>
          <w:r>
            <w:tab/>
          </w:r>
          <w:r>
            <w:fldChar w:fldCharType="begin"/>
          </w:r>
          <w:r>
            <w:instrText xml:space="preserve"> PAGEREF _Toc16400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 w14:paraId="6CD032C0">
          <w:pPr>
            <w:pStyle w:val="15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_Toc24195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六</w:t>
          </w:r>
          <w:r>
            <w:rPr>
              <w:rFonts w:hint="eastAsia"/>
              <w:highlight w:val="none"/>
            </w:rPr>
            <w:t>、其他需要说明的问题</w:t>
          </w:r>
          <w:r>
            <w:tab/>
          </w:r>
          <w:r>
            <w:fldChar w:fldCharType="begin"/>
          </w:r>
          <w:r>
            <w:instrText xml:space="preserve"> PAGEREF _Toc24195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 w14:paraId="6D53765D">
          <w:pPr>
            <w:ind w:firstLine="0" w:firstLineChars="0"/>
          </w:pPr>
          <w:r>
            <w:fldChar w:fldCharType="end"/>
          </w:r>
          <w:bookmarkStart w:id="111" w:name="_GoBack"/>
          <w:bookmarkEnd w:id="111"/>
        </w:p>
      </w:sdtContent>
    </w:sdt>
    <w:p w14:paraId="6A929CD3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highlight w:val="none"/>
        </w:rPr>
      </w:pPr>
      <w:bookmarkStart w:id="0" w:name="_Toc22477"/>
      <w:bookmarkStart w:id="1" w:name="_Toc18188"/>
      <w:bookmarkStart w:id="2" w:name="_Toc15801"/>
      <w:bookmarkStart w:id="3" w:name="_Toc28671"/>
      <w:r>
        <w:rPr>
          <w:rFonts w:hint="eastAsia"/>
          <w:highlight w:val="none"/>
        </w:rPr>
        <w:t>一、基本情况</w:t>
      </w:r>
      <w:bookmarkEnd w:id="0"/>
      <w:bookmarkEnd w:id="1"/>
      <w:bookmarkEnd w:id="2"/>
      <w:bookmarkEnd w:id="3"/>
    </w:p>
    <w:p w14:paraId="192913F3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  <w:rPr>
          <w:highlight w:val="none"/>
        </w:rPr>
      </w:pPr>
      <w:bookmarkStart w:id="4" w:name="_Toc819"/>
      <w:bookmarkStart w:id="5" w:name="_Toc24636"/>
      <w:bookmarkStart w:id="6" w:name="_Toc6192"/>
      <w:bookmarkStart w:id="7" w:name="_Toc18868"/>
      <w:r>
        <w:rPr>
          <w:rFonts w:hint="eastAsia"/>
          <w:highlight w:val="none"/>
        </w:rPr>
        <w:t>（一）部门主要职能</w:t>
      </w:r>
      <w:bookmarkEnd w:id="4"/>
      <w:bookmarkEnd w:id="5"/>
      <w:bookmarkEnd w:id="6"/>
      <w:bookmarkEnd w:id="7"/>
    </w:p>
    <w:p w14:paraId="610D3F37">
      <w:pPr>
        <w:pStyle w:val="4"/>
        <w:ind w:firstLine="643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</w:pPr>
      <w:bookmarkStart w:id="8" w:name="_Toc18615"/>
      <w:bookmarkStart w:id="9" w:name="_Toc20310"/>
      <w:bookmarkStart w:id="10" w:name="_Toc294"/>
      <w:bookmarkStart w:id="11" w:name="_Toc20782"/>
      <w:bookmarkStart w:id="12" w:name="_Toc7151"/>
      <w:bookmarkStart w:id="13" w:name="_Toc25335"/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泾川县人民法院是国家审判机关，依法独立行使审判权，县法院对县人民代表大会及其常务委员会负责并报告工作，其主要职责有：依法审理本辖区内的第一审刑事、民商事、行政诉讼和非诉行政执行案件；依法执行本院一审及二审发生法律效力、具有执行内容的各类民商事和行政判决书、调解书、裁定书及刑事判决书、调解书、裁定书中的财产部分，并接受上级法院、外地法院的执行委托；对本院的法官和其他工作人员进行思想政治教育，组织学习培训，指导和管理本院基层人民法庭的队伍建设和审判业务工作。</w:t>
      </w:r>
      <w:bookmarkEnd w:id="8"/>
      <w:bookmarkEnd w:id="9"/>
      <w:bookmarkEnd w:id="10"/>
    </w:p>
    <w:p w14:paraId="0BE6E782">
      <w:pPr>
        <w:pStyle w:val="4"/>
        <w:ind w:firstLine="643"/>
        <w:rPr>
          <w:highlight w:val="none"/>
        </w:rPr>
      </w:pPr>
      <w:bookmarkStart w:id="14" w:name="_Toc19636"/>
      <w:r>
        <w:rPr>
          <w:rFonts w:hint="eastAsia"/>
          <w:highlight w:val="none"/>
        </w:rPr>
        <w:t>（二）内设机构及所属</w:t>
      </w:r>
      <w:r>
        <w:rPr>
          <w:rFonts w:hint="eastAsia"/>
          <w:highlight w:val="none"/>
          <w:lang w:eastAsia="zh-CN"/>
        </w:rPr>
        <w:t>部门</w:t>
      </w:r>
      <w:r>
        <w:rPr>
          <w:rFonts w:hint="eastAsia"/>
          <w:highlight w:val="none"/>
        </w:rPr>
        <w:t>概况</w:t>
      </w:r>
      <w:bookmarkEnd w:id="11"/>
      <w:bookmarkEnd w:id="12"/>
      <w:bookmarkEnd w:id="13"/>
      <w:bookmarkEnd w:id="14"/>
    </w:p>
    <w:p w14:paraId="0422DF16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  <w:rPr>
          <w:rFonts w:hint="eastAsia"/>
          <w:highlight w:val="none"/>
          <w:lang w:val="en-US" w:eastAsia="zh-CN"/>
        </w:rPr>
      </w:pPr>
      <w:bookmarkStart w:id="15" w:name="_Toc18651"/>
      <w:bookmarkStart w:id="16" w:name="_Toc19521"/>
      <w:bookmarkStart w:id="17" w:name="_Toc8867"/>
      <w:bookmarkStart w:id="18" w:name="_Toc28217"/>
      <w:r>
        <w:rPr>
          <w:rFonts w:hint="eastAsia"/>
          <w:highlight w:val="none"/>
          <w:lang w:val="en-US" w:eastAsia="zh-CN"/>
        </w:rPr>
        <w:t>1.内设机构</w:t>
      </w:r>
      <w:bookmarkEnd w:id="15"/>
      <w:bookmarkEnd w:id="16"/>
      <w:bookmarkEnd w:id="17"/>
      <w:bookmarkEnd w:id="18"/>
    </w:p>
    <w:p w14:paraId="1E6F5741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</w:pPr>
      <w:bookmarkStart w:id="19" w:name="_Toc26137"/>
      <w:bookmarkStart w:id="20" w:name="_Toc15610"/>
      <w:bookmarkStart w:id="21" w:name="_Toc8593"/>
      <w:bookmarkStart w:id="22" w:name="_Toc8223"/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泾川县人民法院内设立案庭（诉讼服务中心）、刑事审判庭、民事审判庭、行政审判庭（综合审判庭）、执行局（庭）、审判管理办公室（研究室）、综合办公室（研究室）、政治部（机关党委）、监察室。</w:t>
      </w:r>
      <w:bookmarkEnd w:id="19"/>
      <w:bookmarkEnd w:id="20"/>
      <w:bookmarkEnd w:id="21"/>
    </w:p>
    <w:p w14:paraId="10E928BC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  <w:rPr>
          <w:rFonts w:hint="default"/>
          <w:highlight w:val="none"/>
          <w:lang w:val="en-US" w:eastAsia="zh-CN"/>
        </w:rPr>
      </w:pPr>
      <w:bookmarkStart w:id="23" w:name="_Toc16048"/>
      <w:bookmarkStart w:id="24" w:name="_Toc9951"/>
      <w:bookmarkStart w:id="25" w:name="_Toc29214"/>
      <w:r>
        <w:rPr>
          <w:rFonts w:hint="eastAsia"/>
          <w:highlight w:val="none"/>
          <w:lang w:val="en-US" w:eastAsia="zh-CN"/>
        </w:rPr>
        <w:t>2.</w:t>
      </w:r>
      <w:bookmarkEnd w:id="22"/>
      <w:r>
        <w:rPr>
          <w:rFonts w:hint="eastAsia"/>
          <w:highlight w:val="none"/>
          <w:lang w:val="en-US" w:eastAsia="zh-CN"/>
        </w:rPr>
        <w:t>人员基本情况</w:t>
      </w:r>
      <w:bookmarkEnd w:id="23"/>
      <w:bookmarkEnd w:id="24"/>
      <w:bookmarkEnd w:id="25"/>
    </w:p>
    <w:p w14:paraId="00012AB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4"/>
          <w:szCs w:val="24"/>
        </w:rPr>
      </w:pPr>
      <w:bookmarkStart w:id="26" w:name="_Toc3886"/>
      <w:bookmarkStart w:id="27" w:name="_Toc17969"/>
      <w:bookmarkStart w:id="28" w:name="_Toc27097"/>
      <w:bookmarkStart w:id="29" w:name="_Toc4574"/>
      <w:bookmarkStart w:id="30" w:name="_Toc13794"/>
      <w:bookmarkStart w:id="31" w:name="_Toc18193"/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泾川县人民法院核定中央政法编制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61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人，截止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202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月底实有在职人员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58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人，另有退休人员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人，其他财政供养人员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人，聘任制书记员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人，其他聘用人员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39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人。</w:t>
      </w:r>
      <w:bookmarkEnd w:id="26"/>
      <w:bookmarkEnd w:id="27"/>
      <w:bookmarkEnd w:id="28"/>
    </w:p>
    <w:p w14:paraId="779CC72A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highlight w:val="none"/>
        </w:rPr>
      </w:pPr>
      <w:bookmarkStart w:id="32" w:name="_Toc6708"/>
      <w:r>
        <w:rPr>
          <w:rFonts w:hint="eastAsia"/>
          <w:highlight w:val="none"/>
        </w:rPr>
        <w:t>二、绩效自评工作组织开展情况</w:t>
      </w:r>
      <w:bookmarkEnd w:id="29"/>
      <w:bookmarkEnd w:id="30"/>
      <w:bookmarkEnd w:id="31"/>
      <w:bookmarkEnd w:id="32"/>
    </w:p>
    <w:p w14:paraId="03C876F6">
      <w:pPr>
        <w:pStyle w:val="4"/>
        <w:rPr>
          <w:highlight w:val="none"/>
        </w:rPr>
      </w:pPr>
      <w:bookmarkStart w:id="33" w:name="_Toc1901"/>
      <w:bookmarkStart w:id="34" w:name="_Toc11147"/>
      <w:bookmarkStart w:id="35" w:name="_Toc4177"/>
      <w:bookmarkStart w:id="36" w:name="_Toc31965"/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一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自评工作组织管理情况</w:t>
      </w:r>
      <w:bookmarkEnd w:id="33"/>
    </w:p>
    <w:p w14:paraId="35096ED8">
      <w:pPr>
        <w:rPr>
          <w:highlight w:val="none"/>
        </w:rPr>
      </w:pPr>
      <w:r>
        <w:rPr>
          <w:rFonts w:hint="eastAsia" w:hAnsi="宋体"/>
          <w:szCs w:val="28"/>
          <w:highlight w:val="none"/>
        </w:rPr>
        <w:t>我院十分重视此次绩效评价工作，要求财务部门严格按照省上有关文件精神，科学分析，精准评价，确保绩效评价客观公正。</w:t>
      </w:r>
      <w:r>
        <w:rPr>
          <w:rFonts w:hint="eastAsia"/>
          <w:highlight w:val="none"/>
        </w:rPr>
        <w:t>工作启动后，</w:t>
      </w:r>
      <w:r>
        <w:rPr>
          <w:rFonts w:hint="eastAsia" w:hAnsi="宋体"/>
          <w:szCs w:val="28"/>
          <w:highlight w:val="none"/>
        </w:rPr>
        <w:t>严格按照《中华人民共和国预算法》《中华人民共和国预算法实施条例》《中共中央 国务院关于全面实施预算绩效管理的意见》（中发〔2018〕34号）、《中共甘肃省委 甘肃省人民政府关于全面实施预算绩效管理的实施意见》（中发〔2018〕32号）、《甘肃省省级预算绩效管理办法》（甘财绩〔2020〕5号）</w:t>
      </w:r>
      <w:r>
        <w:rPr>
          <w:highlight w:val="none"/>
        </w:rPr>
        <w:t>等文件的要求，联合各相关</w:t>
      </w:r>
      <w:r>
        <w:rPr>
          <w:rFonts w:hint="eastAsia"/>
          <w:highlight w:val="none"/>
          <w:lang w:eastAsia="zh-CN"/>
        </w:rPr>
        <w:t>业务部门</w:t>
      </w:r>
      <w:r>
        <w:rPr>
          <w:highlight w:val="none"/>
        </w:rPr>
        <w:t>共同完成此次自评</w:t>
      </w:r>
      <w:r>
        <w:rPr>
          <w:rFonts w:hint="eastAsia"/>
          <w:highlight w:val="none"/>
        </w:rPr>
        <w:t>工作。自评工作遵循科学公正、统筹兼顾、激励约束和公开透明的原则，以</w:t>
      </w:r>
      <w:r>
        <w:rPr>
          <w:rFonts w:hint="eastAsia"/>
          <w:highlight w:val="none"/>
          <w:lang w:val="en-US" w:eastAsia="zh-CN"/>
        </w:rPr>
        <w:t>我院</w:t>
      </w: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年初设定的绩效目标及相关法律法规、政策要求、行业规划、部门职责等为依据，运用定量和定性相结合的评价方法，对</w:t>
      </w:r>
      <w:r>
        <w:rPr>
          <w:rFonts w:hint="eastAsia"/>
          <w:highlight w:val="none"/>
          <w:lang w:val="en-US" w:eastAsia="zh-CN"/>
        </w:rPr>
        <w:t>我院</w:t>
      </w: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年度省级预算执行情况的经济性、效率性、效益性进行客观公正的分析评价。</w:t>
      </w:r>
    </w:p>
    <w:p w14:paraId="655A54C3">
      <w:pPr>
        <w:pStyle w:val="4"/>
        <w:rPr>
          <w:highlight w:val="none"/>
        </w:rPr>
      </w:pPr>
      <w:bookmarkStart w:id="37" w:name="_Toc29448"/>
      <w:bookmarkStart w:id="38" w:name="_Toc13842"/>
      <w:bookmarkStart w:id="39" w:name="_Toc26980"/>
      <w:bookmarkStart w:id="40" w:name="_Toc28216"/>
      <w:bookmarkStart w:id="41" w:name="_Toc13356"/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自评范围</w:t>
      </w:r>
      <w:bookmarkEnd w:id="37"/>
      <w:bookmarkEnd w:id="38"/>
      <w:bookmarkEnd w:id="39"/>
      <w:bookmarkEnd w:id="40"/>
      <w:bookmarkEnd w:id="41"/>
    </w:p>
    <w:p w14:paraId="250316B4">
      <w:pPr>
        <w:ind w:firstLine="560"/>
        <w:rPr>
          <w:highlight w:val="none"/>
        </w:rPr>
      </w:pPr>
      <w:r>
        <w:rPr>
          <w:rFonts w:hint="eastAsia"/>
          <w:highlight w:val="none"/>
        </w:rPr>
        <w:t>本次预算绩效自评价，按照省级部门项目支出、省对市县转移支付、部门整体支出三类评价对象全覆盖的原则，结合</w:t>
      </w:r>
      <w:r>
        <w:rPr>
          <w:rFonts w:hint="eastAsia"/>
          <w:highlight w:val="none"/>
          <w:lang w:eastAsia="zh-CN"/>
        </w:rPr>
        <w:t>我院</w:t>
      </w:r>
      <w:r>
        <w:rPr>
          <w:highlight w:val="none"/>
        </w:rPr>
        <w:t>实际情况，自评</w:t>
      </w:r>
      <w:r>
        <w:rPr>
          <w:rFonts w:hint="eastAsia" w:hAnsi="宋体"/>
          <w:szCs w:val="28"/>
          <w:highlight w:val="none"/>
        </w:rPr>
        <w:t>中央政法转移支付</w:t>
      </w:r>
      <w:r>
        <w:rPr>
          <w:rFonts w:hint="eastAsia" w:hAnsi="宋体"/>
          <w:szCs w:val="28"/>
          <w:highlight w:val="none"/>
          <w:lang w:eastAsia="zh-CN"/>
        </w:rPr>
        <w:t>资金</w:t>
      </w:r>
      <w:r>
        <w:rPr>
          <w:rFonts w:hint="eastAsia" w:hAnsi="宋体"/>
          <w:szCs w:val="28"/>
          <w:highlight w:val="none"/>
          <w:lang w:val="en-US" w:eastAsia="zh-CN"/>
        </w:rPr>
        <w:t>及</w:t>
      </w:r>
      <w:r>
        <w:rPr>
          <w:rFonts w:hint="eastAsia"/>
          <w:highlight w:val="none"/>
        </w:rPr>
        <w:t>法庭运维费</w:t>
      </w:r>
      <w:r>
        <w:rPr>
          <w:highlight w:val="none"/>
        </w:rPr>
        <w:t>、</w:t>
      </w:r>
      <w:r>
        <w:rPr>
          <w:rFonts w:hint="eastAsia"/>
          <w:highlight w:val="none"/>
        </w:rPr>
        <w:t>业务费</w:t>
      </w:r>
      <w:r>
        <w:rPr>
          <w:rFonts w:hint="eastAsia"/>
          <w:highlight w:val="none"/>
          <w:lang w:val="en-US" w:eastAsia="zh-CN"/>
        </w:rPr>
        <w:t>两</w:t>
      </w:r>
      <w:r>
        <w:rPr>
          <w:highlight w:val="none"/>
        </w:rPr>
        <w:t>个项目自评</w:t>
      </w:r>
      <w:r>
        <w:rPr>
          <w:rFonts w:hint="eastAsia"/>
          <w:highlight w:val="none"/>
          <w:lang w:val="en-US" w:eastAsia="zh-CN"/>
        </w:rPr>
        <w:t>和</w:t>
      </w:r>
      <w:r>
        <w:rPr>
          <w:rFonts w:hint="eastAsia" w:hAnsi="宋体"/>
          <w:szCs w:val="28"/>
          <w:highlight w:val="none"/>
          <w:lang w:eastAsia="zh-CN"/>
        </w:rPr>
        <w:t>部门</w:t>
      </w:r>
      <w:r>
        <w:rPr>
          <w:rFonts w:hint="eastAsia" w:hAnsi="宋体"/>
          <w:szCs w:val="28"/>
          <w:highlight w:val="none"/>
        </w:rPr>
        <w:t>整体支出自评。</w:t>
      </w:r>
    </w:p>
    <w:p w14:paraId="28126A93">
      <w:pPr>
        <w:pStyle w:val="4"/>
        <w:rPr>
          <w:highlight w:val="none"/>
        </w:rPr>
      </w:pPr>
      <w:bookmarkStart w:id="42" w:name="_Toc25203"/>
      <w:bookmarkStart w:id="43" w:name="_Toc22785"/>
      <w:bookmarkStart w:id="44" w:name="_Toc18694"/>
      <w:bookmarkStart w:id="45" w:name="_Toc25429"/>
      <w:bookmarkStart w:id="46" w:name="_Toc13219"/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三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自评工作程序</w:t>
      </w:r>
      <w:bookmarkEnd w:id="42"/>
      <w:bookmarkEnd w:id="43"/>
      <w:bookmarkEnd w:id="44"/>
      <w:bookmarkEnd w:id="45"/>
      <w:bookmarkEnd w:id="46"/>
    </w:p>
    <w:bookmarkEnd w:id="34"/>
    <w:bookmarkEnd w:id="35"/>
    <w:bookmarkEnd w:id="36"/>
    <w:p w14:paraId="52BFFF8D">
      <w:pPr>
        <w:rPr>
          <w:rFonts w:hint="eastAsia" w:eastAsia="仿宋_GB2312"/>
          <w:highlight w:val="none"/>
          <w:lang w:eastAsia="zh-CN"/>
        </w:rPr>
      </w:pPr>
      <w:bookmarkStart w:id="47" w:name="_Toc17042"/>
      <w:bookmarkStart w:id="48" w:name="_Toc26000"/>
      <w:bookmarkStart w:id="49" w:name="_Toc31556"/>
      <w:r>
        <w:rPr>
          <w:rFonts w:hint="eastAsia"/>
          <w:highlight w:val="none"/>
        </w:rPr>
        <w:t>本次绩效自评工作主要包括以下工作程序</w:t>
      </w:r>
      <w:r>
        <w:rPr>
          <w:rFonts w:hint="eastAsia"/>
          <w:highlight w:val="none"/>
          <w:lang w:eastAsia="zh-CN"/>
        </w:rPr>
        <w:t>：</w:t>
      </w:r>
    </w:p>
    <w:p w14:paraId="6F336362">
      <w:pPr>
        <w:rPr>
          <w:highlight w:val="none"/>
        </w:rPr>
      </w:pPr>
      <w:r>
        <w:rPr>
          <w:rFonts w:hint="eastAsia"/>
          <w:highlight w:val="none"/>
        </w:rPr>
        <w:t>1.根据</w:t>
      </w:r>
      <w:r>
        <w:rPr>
          <w:rFonts w:hint="eastAsia"/>
          <w:highlight w:val="none"/>
          <w:lang w:val="en-US" w:eastAsia="zh-CN"/>
        </w:rPr>
        <w:t>我院</w:t>
      </w:r>
      <w:r>
        <w:rPr>
          <w:rFonts w:hint="eastAsia"/>
          <w:highlight w:val="none"/>
        </w:rPr>
        <w:t>整体</w:t>
      </w:r>
      <w:r>
        <w:rPr>
          <w:highlight w:val="none"/>
        </w:rPr>
        <w:t>支出和</w:t>
      </w:r>
      <w:r>
        <w:rPr>
          <w:rFonts w:hint="eastAsia"/>
          <w:highlight w:val="none"/>
        </w:rPr>
        <w:t>项目支出绩效目标的设定情况，通过各业务</w:t>
      </w:r>
      <w:r>
        <w:rPr>
          <w:rFonts w:hint="eastAsia"/>
          <w:highlight w:val="none"/>
          <w:lang w:val="en-US" w:eastAsia="zh-CN"/>
        </w:rPr>
        <w:t>部门</w:t>
      </w:r>
      <w:r>
        <w:rPr>
          <w:rFonts w:hint="eastAsia"/>
          <w:highlight w:val="none"/>
        </w:rPr>
        <w:t>收集</w:t>
      </w:r>
      <w:r>
        <w:rPr>
          <w:highlight w:val="none"/>
        </w:rPr>
        <w:t>绩效目标</w:t>
      </w:r>
      <w:r>
        <w:rPr>
          <w:rFonts w:hint="eastAsia"/>
          <w:highlight w:val="none"/>
        </w:rPr>
        <w:t>实现程度</w:t>
      </w:r>
      <w:r>
        <w:rPr>
          <w:highlight w:val="none"/>
        </w:rPr>
        <w:t>、预算执行进度</w:t>
      </w:r>
      <w:r>
        <w:rPr>
          <w:rFonts w:hint="eastAsia"/>
          <w:highlight w:val="none"/>
        </w:rPr>
        <w:t>等绩效评价</w:t>
      </w:r>
      <w:r>
        <w:rPr>
          <w:highlight w:val="none"/>
        </w:rPr>
        <w:t>基础</w:t>
      </w:r>
      <w:r>
        <w:rPr>
          <w:rFonts w:hint="eastAsia"/>
          <w:highlight w:val="none"/>
        </w:rPr>
        <w:t>资料。</w:t>
      </w:r>
    </w:p>
    <w:p w14:paraId="16BEE6C6">
      <w:pPr>
        <w:rPr>
          <w:highlight w:val="none"/>
        </w:rPr>
      </w:pPr>
      <w:r>
        <w:rPr>
          <w:highlight w:val="none"/>
        </w:rPr>
        <w:t>2.</w:t>
      </w:r>
      <w:r>
        <w:rPr>
          <w:rFonts w:hint="eastAsia"/>
          <w:highlight w:val="none"/>
        </w:rPr>
        <w:t>整理分析相关资料，统计财政资金预算执行情况和各项</w:t>
      </w:r>
      <w:r>
        <w:rPr>
          <w:highlight w:val="none"/>
        </w:rPr>
        <w:t>绩效目标完成</w:t>
      </w:r>
      <w:r>
        <w:rPr>
          <w:rFonts w:hint="eastAsia"/>
          <w:highlight w:val="none"/>
        </w:rPr>
        <w:t>情况，对年初</w:t>
      </w:r>
      <w:r>
        <w:rPr>
          <w:highlight w:val="none"/>
        </w:rPr>
        <w:t>设定的</w:t>
      </w:r>
      <w:r>
        <w:rPr>
          <w:rFonts w:hint="eastAsia"/>
          <w:highlight w:val="none"/>
        </w:rPr>
        <w:t>绩效指标及各项指标完成情况进行对比分析，填写《202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年度部门预算执行情况绩效自评报表》；</w:t>
      </w:r>
    </w:p>
    <w:p w14:paraId="63397AC6">
      <w:pPr>
        <w:rPr>
          <w:rFonts w:hint="eastAsia"/>
          <w:highlight w:val="none"/>
        </w:rPr>
      </w:pPr>
      <w:r>
        <w:rPr>
          <w:highlight w:val="none"/>
        </w:rPr>
        <w:t>3.</w:t>
      </w:r>
      <w:r>
        <w:rPr>
          <w:rFonts w:hint="eastAsia"/>
          <w:highlight w:val="none"/>
        </w:rPr>
        <w:t>总结评价结论，归纳问题，分析原因，提出改进</w:t>
      </w:r>
      <w:r>
        <w:rPr>
          <w:highlight w:val="none"/>
        </w:rPr>
        <w:t>措施</w:t>
      </w:r>
      <w:r>
        <w:rPr>
          <w:rFonts w:hint="eastAsia"/>
          <w:highlight w:val="none"/>
        </w:rPr>
        <w:t>，完成《202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年度预算执行情况自评报告》</w:t>
      </w:r>
      <w:r>
        <w:rPr>
          <w:rFonts w:hint="eastAsia"/>
          <w:highlight w:val="none"/>
          <w:lang w:val="en-US" w:eastAsia="zh-CN"/>
        </w:rPr>
        <w:t>撰写</w:t>
      </w:r>
      <w:r>
        <w:rPr>
          <w:rFonts w:hint="eastAsia"/>
          <w:highlight w:val="none"/>
        </w:rPr>
        <w:t>。</w:t>
      </w:r>
    </w:p>
    <w:p w14:paraId="638CEBDD">
      <w:pPr>
        <w:ind w:firstLine="56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4.</w:t>
      </w:r>
      <w:r>
        <w:rPr>
          <w:rFonts w:hint="eastAsia"/>
          <w:highlight w:val="none"/>
        </w:rPr>
        <w:t>自评表和自评报告完成之后，进行内部审核，对自评表的真实性、完整性、合理性和客观性进行初步审核，并对发现的问题及时反馈和修改，修改完善后报送审核备案。</w:t>
      </w:r>
    </w:p>
    <w:p w14:paraId="755E6461">
      <w:pPr>
        <w:pStyle w:val="3"/>
        <w:rPr>
          <w:highlight w:val="none"/>
        </w:rPr>
      </w:pPr>
      <w:bookmarkStart w:id="50" w:name="_Toc6435"/>
      <w:r>
        <w:rPr>
          <w:rFonts w:hint="eastAsia"/>
          <w:highlight w:val="none"/>
        </w:rPr>
        <w:t>三、部门整体支出绩效自评情况分析</w:t>
      </w:r>
      <w:bookmarkEnd w:id="47"/>
      <w:bookmarkEnd w:id="48"/>
      <w:bookmarkEnd w:id="49"/>
      <w:bookmarkEnd w:id="50"/>
      <w:r>
        <w:rPr>
          <w:highlight w:val="none"/>
        </w:rPr>
        <w:tab/>
      </w:r>
    </w:p>
    <w:p w14:paraId="36256278">
      <w:pPr>
        <w:pStyle w:val="4"/>
        <w:ind w:firstLine="643"/>
        <w:rPr>
          <w:rFonts w:hint="eastAsia"/>
          <w:highlight w:val="none"/>
          <w:lang w:eastAsia="zh-CN"/>
        </w:rPr>
      </w:pPr>
      <w:bookmarkStart w:id="51" w:name="_Toc8171"/>
      <w:bookmarkStart w:id="52" w:name="_Toc32623"/>
      <w:bookmarkStart w:id="53" w:name="_Toc7674"/>
      <w:bookmarkStart w:id="54" w:name="_Toc3483"/>
      <w:r>
        <w:rPr>
          <w:rFonts w:hint="eastAsia"/>
          <w:highlight w:val="none"/>
        </w:rPr>
        <w:t>（一）部门决算情况</w:t>
      </w:r>
      <w:bookmarkEnd w:id="51"/>
      <w:bookmarkEnd w:id="52"/>
      <w:bookmarkEnd w:id="53"/>
      <w:bookmarkEnd w:id="54"/>
    </w:p>
    <w:p w14:paraId="26712ED6">
      <w:pPr>
        <w:ind w:firstLine="56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2023年度，平凉市泾川县人民法院年初预算1,807.49万元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全年预算</w:t>
      </w:r>
      <w:r>
        <w:rPr>
          <w:rFonts w:hint="eastAsia"/>
          <w:highlight w:val="none"/>
          <w:lang w:eastAsia="zh-CN"/>
        </w:rPr>
        <w:t>数</w:t>
      </w:r>
      <w:r>
        <w:rPr>
          <w:rFonts w:hint="eastAsia"/>
          <w:highlight w:val="none"/>
          <w:lang w:val="en-US" w:eastAsia="zh-CN"/>
        </w:rPr>
        <w:t>3,832.15万元，实际支出数3,667.05万元，</w:t>
      </w:r>
      <w:r>
        <w:rPr>
          <w:rFonts w:hint="eastAsia"/>
          <w:highlight w:val="none"/>
        </w:rPr>
        <w:t>部门整体支出预算执行率为</w:t>
      </w:r>
      <w:r>
        <w:rPr>
          <w:rFonts w:hint="eastAsia"/>
          <w:highlight w:val="none"/>
          <w:lang w:val="en-US" w:eastAsia="zh-CN"/>
        </w:rPr>
        <w:t>95.69%。</w:t>
      </w:r>
    </w:p>
    <w:p w14:paraId="2A6D82D3">
      <w:pPr>
        <w:pStyle w:val="4"/>
        <w:ind w:left="0" w:leftChars="0" w:firstLine="643" w:firstLineChars="200"/>
        <w:rPr>
          <w:highlight w:val="none"/>
        </w:rPr>
      </w:pPr>
      <w:bookmarkStart w:id="55" w:name="_Toc22782"/>
      <w:bookmarkStart w:id="56" w:name="_Toc10769"/>
      <w:bookmarkStart w:id="57" w:name="_Toc16291"/>
      <w:bookmarkStart w:id="58" w:name="_Toc21423"/>
      <w:r>
        <w:rPr>
          <w:rFonts w:hint="eastAsia"/>
          <w:highlight w:val="none"/>
        </w:rPr>
        <w:t>（二）总体绩效目标完成情况分析</w:t>
      </w:r>
      <w:bookmarkEnd w:id="55"/>
      <w:bookmarkEnd w:id="56"/>
      <w:bookmarkEnd w:id="57"/>
      <w:bookmarkEnd w:id="58"/>
    </w:p>
    <w:p w14:paraId="22F36DA1">
      <w:pPr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经综合评价与分析，</w:t>
      </w:r>
      <w:r>
        <w:rPr>
          <w:rFonts w:hint="eastAsia"/>
          <w:highlight w:val="none"/>
          <w:lang w:val="en-US" w:eastAsia="zh-CN"/>
        </w:rPr>
        <w:t>平凉市泾川县</w:t>
      </w:r>
      <w:r>
        <w:rPr>
          <w:rFonts w:hint="eastAsia"/>
          <w:highlight w:val="none"/>
          <w:lang w:eastAsia="zh-CN"/>
        </w:rPr>
        <w:t>人民法院202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年度部门整体支出绩效评价最终得分为</w:t>
      </w:r>
      <w:r>
        <w:rPr>
          <w:rFonts w:hint="eastAsia"/>
          <w:highlight w:val="none"/>
          <w:lang w:val="en-US" w:eastAsia="zh-CN"/>
        </w:rPr>
        <w:t>99.19</w:t>
      </w:r>
      <w:r>
        <w:rPr>
          <w:highlight w:val="none"/>
        </w:rPr>
        <w:t>分，评价结果为“</w:t>
      </w:r>
      <w:r>
        <w:rPr>
          <w:rFonts w:hint="eastAsia"/>
          <w:highlight w:val="none"/>
          <w:lang w:eastAsia="zh-CN"/>
        </w:rPr>
        <w:t>优</w:t>
      </w:r>
      <w:r>
        <w:rPr>
          <w:highlight w:val="none"/>
        </w:rPr>
        <w:t>”。最终评分结果如</w:t>
      </w:r>
      <w:r>
        <w:rPr>
          <w:rFonts w:hint="eastAsia"/>
          <w:highlight w:val="none"/>
        </w:rPr>
        <w:t>下</w:t>
      </w:r>
      <w:r>
        <w:rPr>
          <w:highlight w:val="none"/>
        </w:rPr>
        <w:t>表所示</w:t>
      </w:r>
      <w:r>
        <w:rPr>
          <w:rFonts w:hint="eastAsia"/>
          <w:highlight w:val="none"/>
        </w:rPr>
        <w:t>：</w:t>
      </w:r>
    </w:p>
    <w:p w14:paraId="7AEED931">
      <w:pPr>
        <w:jc w:val="center"/>
        <w:rPr>
          <w:rFonts w:ascii="宋体" w:hAnsi="宋体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202</w:t>
      </w:r>
      <w:r>
        <w:rPr>
          <w:rFonts w:hint="eastAsia" w:ascii="宋体" w:hAnsi="宋体" w:cs="宋体"/>
          <w:b/>
          <w:bCs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年度部门整体支出绩效评价指标得分情况</w:t>
      </w:r>
    </w:p>
    <w:tbl>
      <w:tblPr>
        <w:tblStyle w:val="22"/>
        <w:tblW w:w="903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1678"/>
        <w:gridCol w:w="1560"/>
        <w:gridCol w:w="2268"/>
      </w:tblGrid>
      <w:tr w14:paraId="3145161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 w14:paraId="4F08453E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614A9815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6E78EDA7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2268" w:type="dxa"/>
            <w:shd w:val="clear" w:color="auto" w:fill="BDD6EE"/>
            <w:vAlign w:val="center"/>
          </w:tcPr>
          <w:p w14:paraId="7E9B527E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得分率</w:t>
            </w:r>
          </w:p>
        </w:tc>
      </w:tr>
      <w:tr w14:paraId="1A115B6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 w14:paraId="6C38DCD4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678" w:type="dxa"/>
            <w:vAlign w:val="center"/>
          </w:tcPr>
          <w:p w14:paraId="52FDDF8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vAlign w:val="center"/>
          </w:tcPr>
          <w:p w14:paraId="484D27F4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9.57</w:t>
            </w:r>
          </w:p>
        </w:tc>
        <w:tc>
          <w:tcPr>
            <w:tcW w:w="2268" w:type="dxa"/>
            <w:vAlign w:val="center"/>
          </w:tcPr>
          <w:p w14:paraId="4049784C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95.69%</w:t>
            </w:r>
          </w:p>
        </w:tc>
      </w:tr>
      <w:tr w14:paraId="3379E7E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 w14:paraId="7027507F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部门管理</w:t>
            </w:r>
          </w:p>
        </w:tc>
        <w:tc>
          <w:tcPr>
            <w:tcW w:w="1678" w:type="dxa"/>
            <w:vAlign w:val="center"/>
          </w:tcPr>
          <w:p w14:paraId="55CC9D8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560" w:type="dxa"/>
            <w:vAlign w:val="center"/>
          </w:tcPr>
          <w:p w14:paraId="6A54146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268" w:type="dxa"/>
            <w:vAlign w:val="center"/>
          </w:tcPr>
          <w:p w14:paraId="7A157335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 w14:paraId="632EF02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 w14:paraId="5A6E15E0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履职效果</w:t>
            </w:r>
          </w:p>
        </w:tc>
        <w:tc>
          <w:tcPr>
            <w:tcW w:w="1678" w:type="dxa"/>
            <w:vAlign w:val="center"/>
          </w:tcPr>
          <w:p w14:paraId="432B5064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560" w:type="dxa"/>
            <w:vAlign w:val="center"/>
          </w:tcPr>
          <w:p w14:paraId="583C2BF1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268" w:type="dxa"/>
            <w:vAlign w:val="center"/>
          </w:tcPr>
          <w:p w14:paraId="47B310CD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 w14:paraId="5B96CD9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 w14:paraId="1603B4DB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能力建设</w:t>
            </w:r>
          </w:p>
        </w:tc>
        <w:tc>
          <w:tcPr>
            <w:tcW w:w="1678" w:type="dxa"/>
            <w:vAlign w:val="center"/>
          </w:tcPr>
          <w:p w14:paraId="5F1797F5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vAlign w:val="center"/>
          </w:tcPr>
          <w:p w14:paraId="145A94D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9.62</w:t>
            </w:r>
          </w:p>
        </w:tc>
        <w:tc>
          <w:tcPr>
            <w:tcW w:w="2268" w:type="dxa"/>
            <w:vAlign w:val="center"/>
          </w:tcPr>
          <w:p w14:paraId="3C5DFAB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 w14:paraId="5D563ED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 w14:paraId="63DC9A56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5C031B14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6F962B6B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99.19</w:t>
            </w:r>
          </w:p>
        </w:tc>
        <w:tc>
          <w:tcPr>
            <w:tcW w:w="2268" w:type="dxa"/>
            <w:shd w:val="clear" w:color="auto" w:fill="BDD6EE"/>
            <w:vAlign w:val="center"/>
          </w:tcPr>
          <w:p w14:paraId="2C950342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99.19%</w:t>
            </w:r>
          </w:p>
        </w:tc>
      </w:tr>
    </w:tbl>
    <w:p w14:paraId="5434D5D5">
      <w:pPr>
        <w:tabs>
          <w:tab w:val="left" w:pos="1538"/>
        </w:tabs>
        <w:ind w:firstLine="560"/>
        <w:jc w:val="left"/>
        <w:rPr>
          <w:rFonts w:hint="eastAsia" w:eastAsia="仿宋_GB2312"/>
          <w:highlight w:val="yellow"/>
          <w:lang w:eastAsia="zh-CN"/>
        </w:rPr>
      </w:pPr>
    </w:p>
    <w:p w14:paraId="292FE0F3">
      <w:pPr>
        <w:pStyle w:val="5"/>
        <w:ind w:left="0" w:leftChars="0" w:firstLine="562" w:firstLineChars="200"/>
        <w:rPr>
          <w:rFonts w:hint="eastAsia" w:eastAsia="仿宋_GB2312"/>
          <w:b/>
          <w:bCs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2023年主要工作成果及总体绩效目标完成情况</w:t>
      </w:r>
    </w:p>
    <w:p w14:paraId="7E1B37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1.总体绩效目标</w:t>
      </w:r>
    </w:p>
    <w:p w14:paraId="3DE6DE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  <w:highlight w:val="none"/>
          <w:lang w:eastAsia="zh-CN"/>
        </w:rPr>
        <w:t>）坚定政治方向，旗帜鲜明，以“忠诚”彰显司法担当。</w:t>
      </w:r>
    </w:p>
    <w:p w14:paraId="1FC74D68">
      <w:pPr>
        <w:ind w:firstLine="560" w:firstLineChars="200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28"/>
          <w:szCs w:val="28"/>
          <w:highlight w:val="none"/>
          <w:u w:val="none" w:color="000000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/>
          <w:b w:val="0"/>
          <w:bCs w:val="0"/>
          <w:sz w:val="28"/>
          <w:szCs w:val="28"/>
          <w:highlight w:val="none"/>
          <w:lang w:eastAsia="zh-CN"/>
        </w:rPr>
        <w:t>）聚焦主责主业，维护正义，以“公正”筑牢司法防线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28"/>
          <w:szCs w:val="28"/>
          <w:highlight w:val="none"/>
          <w:u w:val="none" w:color="000000"/>
          <w:vertAlign w:val="baseline"/>
          <w:lang w:val="en-US" w:eastAsia="zh-CN"/>
        </w:rPr>
        <w:t>。</w:t>
      </w:r>
    </w:p>
    <w:p w14:paraId="3F326B18">
      <w:pPr>
        <w:ind w:firstLine="560" w:firstLineChars="200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28"/>
          <w:szCs w:val="28"/>
          <w:highlight w:val="none"/>
          <w:u w:val="none" w:color="000000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  <w:highlight w:val="none"/>
          <w:lang w:eastAsia="zh-CN"/>
        </w:rPr>
        <w:t>）围绕中心大局，担当尽责，以“实干”提升司法能力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28"/>
          <w:szCs w:val="28"/>
          <w:highlight w:val="none"/>
          <w:u w:val="none" w:color="000000"/>
          <w:vertAlign w:val="baseline"/>
          <w:lang w:val="en-US" w:eastAsia="zh-CN"/>
        </w:rPr>
        <w:t>。</w:t>
      </w:r>
    </w:p>
    <w:p w14:paraId="38D39A0D">
      <w:pPr>
        <w:ind w:firstLine="562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2.</w:t>
      </w:r>
      <w:r>
        <w:rPr>
          <w:rFonts w:hint="eastAsia"/>
          <w:b/>
          <w:bCs/>
          <w:highlight w:val="none"/>
        </w:rPr>
        <w:t>实际完成情况</w:t>
      </w:r>
    </w:p>
    <w:p w14:paraId="302CA3A5">
      <w:pPr>
        <w:pStyle w:val="18"/>
        <w:spacing w:before="0" w:beforeAutospacing="0" w:after="0" w:afterAutospacing="0" w:line="560" w:lineRule="exact"/>
        <w:ind w:firstLine="420" w:firstLineChars="15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/>
          <w:b w:val="0"/>
          <w:bCs w:val="0"/>
          <w:sz w:val="28"/>
          <w:szCs w:val="24"/>
          <w:highlight w:val="none"/>
          <w:lang w:eastAsia="zh-CN"/>
        </w:rPr>
        <w:t>（</w:t>
      </w:r>
      <w:r>
        <w:rPr>
          <w:rFonts w:hint="eastAsia"/>
          <w:b w:val="0"/>
          <w:bCs w:val="0"/>
          <w:sz w:val="28"/>
          <w:szCs w:val="24"/>
          <w:highlight w:val="none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4"/>
          <w:highlight w:val="none"/>
          <w:lang w:eastAsia="zh-CN"/>
        </w:rPr>
        <w:t>）牢牢把握国家政治机关定位。深入开展学习贯彻习近平新时代中国特色社会主义思想主题教育，把淬炼对党忠诚作为首要任务，把筑牢政治信仰作为重中之重，深刻领会“两个确立”的决定性意义，增强“四个意识”、坚定“四个自信”、做到“两个维护”。严格落实意识形态工作责任制，牢牢把握司法领域意识形态斗争领导权、主动权、话语权。牢牢把握党的领导最高原则。始终坚持把党的绝对领导作为人民法院工作的最高原则、最大优势，自觉把法院工作置于党的领导之下，坚决贯彻中央、省、市、县委的重大决策部署，严格落实《中国共产党政法工作条例》，认真执行重大案（事）件请示报告制度，年内向县委常委会汇报工作1次，向四大班子主要领导及上级法院请示报告重大案（事）件22件次，使县委对法院工作领导更加有力。牢牢把握服务大局根本使命。紧紧围绕县委 “2168”发展思路，在落实全县八大重点产业链、文明城市创建、乡村振兴、优化营商环境等重点工作中体现党的领导，以实际行动服务全县大局，努力实现办案政治效果、法律效果、社会效果有机统一。全面落实县委对政法工作的要求，跟踪问效各项重点工作任务，确保县委决策部署在县法院落地落实。</w:t>
      </w:r>
    </w:p>
    <w:p w14:paraId="0918638E">
      <w:pPr>
        <w:numPr>
          <w:ilvl w:val="0"/>
          <w:numId w:val="1"/>
        </w:numPr>
        <w:spacing w:line="560" w:lineRule="exact"/>
        <w:ind w:firstLine="560" w:firstLineChars="20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认真履行审判职能，坚持公正司法，维护社会稳定，促进公平正义，以审判执行为中心的各项工作均取得了新的进步。全年共受理各类案件4468件，审结4171件，结案率93.4%，员额法官人均结案197.3件，审判质效在全市法院持续领先，受到上级法院的充分肯定。持续抓好《民法典》贯彻实施，共受理民商事案件2544件，审结2370件。审结房地产纠纷和房屋买卖合同纠纷案件24件，推进房地产市场规范有序发展；平等保护市场主体合法权益，审结买卖、租赁、建设工程等合同纠纷368件；维护农业、农村经营主体合法权益，审结土地流转、土地承包经营权、宅基地使用权等涉农案件5件；加强劳动者保护力度，依法审理解除劳动合同，追索经济补偿、拖欠工资等劳动争议类案件183件；推进家事审判改革，切实保护妇女、儿童和老人合法权益，审结离婚、赡养、抚养纠纷案件839件。坚持调解优先、调判结合，营造平和理性社会心态，以调解撤诉方式结案1158件。在民事案件审理中注重诉前调解和多元化解，深入乡（镇）村组，在巡回审判，就地办案中开展法治教育，调解审理的庄基地买卖案、坟茔选址纠纷案、自杀对抗离婚案、焚烧小麦秸杆纠纷等案件，既提升了工作质效，又减轻了群众诉累，增强了审理一案，教育一片的效果。</w:t>
      </w:r>
    </w:p>
    <w:p w14:paraId="0DEF5F19">
      <w:pPr>
        <w:ind w:firstLine="560" w:firstLineChars="200"/>
        <w:rPr>
          <w:rFonts w:hint="eastAsia"/>
          <w:lang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  <w:highlight w:val="none"/>
          <w:lang w:eastAsia="zh-CN"/>
        </w:rPr>
        <w:t>）充分发挥职能作用，牢固树立“法治是最好的营商环境”理念，制定印发了《泾川县人民法院“优化营商环境攻坚突破年”活动实施方案》，确保将司法审判融入到经济发展大局，将优化营商环境理念融入到案件审理全过程。全年共审结涉企案件553件。紧紧依靠县委领导，加快推进各职能部门联动的失信被执行人信用监督、警示和惩戒机制建设。共受理涉企执行案件424件，申请标的1.85亿元，结案380件，执结率89.62%，及时兑现胜诉当事人权益。全体干警扎实开展“万名干警联万企”活动和“法企党建共建”活动，为51名干警配备《联系日志》，向企业发放法律知识宣传手册，开展普法讲座、专题培训，为企业开展全面“法治体检”，全院干警共走访企业56家122人次。利民之事，丝发必兴；如我在诉，念念在兹。基层法院办理的案件，绝大多数是一件件的小案，但每一件小案都连接着民心，关系着群众的切身利益，把“如我在诉”作为工作理念，把“群众点赞”作为工作标准，用心办好群众关切的“民生小案”，就是充分发挥法院职能的生动体现。我院高平法庭针对辖区为全县果品和红牛主产区，家事纠纷、金融纠纷和果品购销纠纷较多的实际，探索出了“三前化解”服务基层社会治理的新路子，得到了省、市政法委主要领导和上级法院的充分肯定，被中国新闻网等多家媒体广泛报道。</w:t>
      </w:r>
    </w:p>
    <w:p w14:paraId="686CD454">
      <w:pPr>
        <w:pStyle w:val="4"/>
        <w:bidi w:val="0"/>
        <w:rPr>
          <w:rFonts w:hint="eastAsia"/>
          <w:highlight w:val="none"/>
        </w:rPr>
      </w:pPr>
      <w:bookmarkStart w:id="59" w:name="_Toc18553"/>
      <w:bookmarkStart w:id="60" w:name="_Toc7799"/>
      <w:bookmarkStart w:id="61" w:name="_Toc17819"/>
      <w:bookmarkStart w:id="62" w:name="_Toc6543"/>
      <w:r>
        <w:rPr>
          <w:rFonts w:hint="eastAsia"/>
          <w:highlight w:val="none"/>
        </w:rPr>
        <w:t>（三）各项指标完成情况分析</w:t>
      </w:r>
      <w:bookmarkEnd w:id="59"/>
      <w:bookmarkEnd w:id="60"/>
      <w:bookmarkEnd w:id="61"/>
      <w:bookmarkEnd w:id="62"/>
    </w:p>
    <w:p w14:paraId="32E72EF5">
      <w:pPr>
        <w:ind w:firstLine="562"/>
        <w:rPr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情况说明：由于预算绩效系统中得分均按照定性指标的计算方式进行，故造成系统中的得分与实际得分略微有所偏差，但不影响整体评价结果，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部门整体支出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全部数据以本报告为准。</w:t>
      </w:r>
    </w:p>
    <w:p w14:paraId="749FE129">
      <w:pPr>
        <w:pStyle w:val="5"/>
        <w:ind w:firstLine="562"/>
        <w:rPr>
          <w:rFonts w:hint="default" w:eastAsia="仿宋_GB2312"/>
          <w:highlight w:val="none"/>
          <w:lang w:val="en-US" w:eastAsia="zh-CN"/>
        </w:rPr>
      </w:pPr>
      <w:r>
        <w:rPr>
          <w:highlight w:val="none"/>
        </w:rPr>
        <w:t>1</w:t>
      </w:r>
      <w:r>
        <w:rPr>
          <w:rFonts w:hint="eastAsia"/>
          <w:highlight w:val="none"/>
          <w:lang w:eastAsia="zh-CN"/>
        </w:rPr>
        <w:t>.</w:t>
      </w:r>
      <w:r>
        <w:rPr>
          <w:rFonts w:hint="eastAsia"/>
          <w:highlight w:val="none"/>
          <w:lang w:val="en-US" w:eastAsia="zh-CN"/>
        </w:rPr>
        <w:t>部门整体支出</w:t>
      </w:r>
      <w:r>
        <w:rPr>
          <w:highlight w:val="none"/>
        </w:rPr>
        <w:t>预算执行率</w:t>
      </w:r>
      <w:r>
        <w:rPr>
          <w:rFonts w:hint="eastAsia"/>
          <w:highlight w:val="none"/>
          <w:lang w:val="en-US" w:eastAsia="zh-CN"/>
        </w:rPr>
        <w:t>完成情况分析</w:t>
      </w:r>
    </w:p>
    <w:p w14:paraId="4EF62BEA">
      <w:pPr>
        <w:ind w:firstLine="560"/>
        <w:rPr>
          <w:rFonts w:hint="default"/>
          <w:highlight w:val="none"/>
          <w:lang w:val="en-US" w:eastAsia="zh-CN"/>
        </w:rPr>
      </w:pPr>
      <w:r>
        <w:rPr>
          <w:rFonts w:hint="eastAsia" w:hAnsi="宋体"/>
          <w:szCs w:val="28"/>
          <w:highlight w:val="none"/>
        </w:rPr>
        <w:t>我院202</w:t>
      </w:r>
      <w:r>
        <w:rPr>
          <w:rFonts w:hint="eastAsia" w:hAnsi="宋体"/>
          <w:szCs w:val="28"/>
          <w:highlight w:val="none"/>
          <w:lang w:val="en-US" w:eastAsia="zh-CN"/>
        </w:rPr>
        <w:t>3</w:t>
      </w:r>
      <w:r>
        <w:rPr>
          <w:rFonts w:hint="eastAsia" w:hAnsi="宋体"/>
          <w:szCs w:val="28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年初预算1,807.49万元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全年预算</w:t>
      </w:r>
      <w:r>
        <w:rPr>
          <w:rFonts w:hint="eastAsia"/>
          <w:highlight w:val="none"/>
          <w:lang w:eastAsia="zh-CN"/>
        </w:rPr>
        <w:t>数</w:t>
      </w:r>
      <w:r>
        <w:rPr>
          <w:rFonts w:hint="eastAsia"/>
          <w:highlight w:val="none"/>
          <w:lang w:val="en-US" w:eastAsia="zh-CN"/>
        </w:rPr>
        <w:t>3,832.15万元，实际支出数3,667.05万元，</w:t>
      </w:r>
      <w:r>
        <w:rPr>
          <w:rFonts w:hint="eastAsia"/>
          <w:highlight w:val="none"/>
        </w:rPr>
        <w:t>部门整体支出预算执行率为</w:t>
      </w:r>
      <w:r>
        <w:rPr>
          <w:rFonts w:hint="eastAsia"/>
          <w:highlight w:val="none"/>
          <w:lang w:val="en-US" w:eastAsia="zh-CN"/>
        </w:rPr>
        <w:t>95.69%。</w:t>
      </w:r>
    </w:p>
    <w:p w14:paraId="43539443">
      <w:pPr>
        <w:ind w:left="0" w:leftChars="0" w:firstLine="0" w:firstLineChars="0"/>
        <w:rPr>
          <w:rFonts w:hint="eastAsia"/>
          <w:highlight w:val="none"/>
        </w:rPr>
      </w:pPr>
      <w:r>
        <w:rPr>
          <w:rFonts w:hint="eastAsia"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  <w:t>该指标分值</w:t>
      </w:r>
      <w:r>
        <w:rPr>
          <w:rFonts w:hint="eastAsia"/>
          <w:color w:val="000000" w:themeColor="text1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  <w:t>分，自评得分为</w:t>
      </w:r>
      <w:r>
        <w:rPr>
          <w:rFonts w:hint="eastAsia"/>
          <w:color w:val="000000" w:themeColor="text1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9.57</w:t>
      </w:r>
      <w:r>
        <w:rPr>
          <w:rFonts w:hint="eastAsia"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  <w:t>分，得分率为</w:t>
      </w:r>
      <w:r>
        <w:rPr>
          <w:rFonts w:hint="eastAsia"/>
          <w:highlight w:val="none"/>
          <w:lang w:val="en-US" w:eastAsia="zh-CN"/>
        </w:rPr>
        <w:t>95.69</w:t>
      </w:r>
      <w:r>
        <w:rPr>
          <w:rFonts w:hint="eastAsia"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0E5889B3">
      <w:pPr>
        <w:pStyle w:val="5"/>
        <w:ind w:firstLine="562"/>
        <w:rPr>
          <w:rFonts w:hint="default" w:eastAsia="仿宋_GB2312"/>
          <w:highlight w:val="none"/>
          <w:lang w:val="en-US" w:eastAsia="zh-CN"/>
        </w:rPr>
      </w:pPr>
      <w:r>
        <w:rPr>
          <w:highlight w:val="none"/>
        </w:rPr>
        <w:t>2</w:t>
      </w:r>
      <w:r>
        <w:rPr>
          <w:rFonts w:hint="eastAsia"/>
          <w:highlight w:val="none"/>
          <w:lang w:eastAsia="zh-CN"/>
        </w:rPr>
        <w:t>.</w:t>
      </w:r>
      <w:r>
        <w:rPr>
          <w:highlight w:val="none"/>
        </w:rPr>
        <w:t>部门管理</w:t>
      </w:r>
      <w:r>
        <w:rPr>
          <w:rFonts w:hint="eastAsia"/>
          <w:highlight w:val="none"/>
          <w:lang w:val="en-US" w:eastAsia="zh-CN"/>
        </w:rPr>
        <w:t>目标完成情况分析</w:t>
      </w:r>
    </w:p>
    <w:p w14:paraId="7610E44E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部门管理指标包括资金投入、财务管理、采购管理、资产管理、人员管理、重点工作管理六个二级指标，下设10个三级指标。</w:t>
      </w:r>
      <w:r>
        <w:rPr>
          <w:rFonts w:hint="eastAsia"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  <w:t>该指标分值</w:t>
      </w:r>
      <w:r>
        <w:rPr>
          <w:rFonts w:hint="eastAsia"/>
          <w:highlight w:val="none"/>
          <w:lang w:val="en-US" w:eastAsia="zh-CN"/>
        </w:rPr>
        <w:t>20</w:t>
      </w:r>
      <w:r>
        <w:rPr>
          <w:rFonts w:hint="eastAsia"/>
          <w:highlight w:val="none"/>
        </w:rPr>
        <w:t>分，自评</w:t>
      </w:r>
      <w:r>
        <w:rPr>
          <w:highlight w:val="none"/>
        </w:rPr>
        <w:t>得</w:t>
      </w:r>
      <w:r>
        <w:rPr>
          <w:rFonts w:hint="eastAsia"/>
          <w:highlight w:val="none"/>
        </w:rPr>
        <w:t>分</w:t>
      </w:r>
      <w:r>
        <w:rPr>
          <w:rFonts w:hint="eastAsia"/>
          <w:highlight w:val="none"/>
          <w:lang w:val="en-US" w:eastAsia="zh-CN"/>
        </w:rPr>
        <w:t>20</w:t>
      </w:r>
      <w:r>
        <w:rPr>
          <w:rFonts w:hint="eastAsia"/>
          <w:highlight w:val="none"/>
        </w:rPr>
        <w:t>分，得分率</w:t>
      </w:r>
      <w:r>
        <w:rPr>
          <w:rFonts w:hint="eastAsia"/>
          <w:highlight w:val="none"/>
          <w:lang w:val="en-US" w:eastAsia="zh-CN"/>
        </w:rPr>
        <w:t>100</w:t>
      </w:r>
      <w:r>
        <w:rPr>
          <w:rFonts w:hint="eastAsia"/>
          <w:highlight w:val="none"/>
        </w:rPr>
        <w:t>%。</w:t>
      </w:r>
      <w:r>
        <w:rPr>
          <w:rFonts w:hint="eastAsia"/>
          <w:highlight w:val="none"/>
          <w:lang w:val="en-US" w:eastAsia="zh-CN"/>
        </w:rPr>
        <w:t>具体如下表：</w:t>
      </w:r>
    </w:p>
    <w:tbl>
      <w:tblPr>
        <w:tblStyle w:val="22"/>
        <w:tblW w:w="875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1530"/>
        <w:gridCol w:w="1418"/>
        <w:gridCol w:w="1984"/>
      </w:tblGrid>
      <w:tr w14:paraId="3022A0D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823" w:type="dxa"/>
            <w:shd w:val="clear" w:color="auto" w:fill="BDD6EE"/>
            <w:vAlign w:val="center"/>
          </w:tcPr>
          <w:p w14:paraId="7409BD48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30" w:type="dxa"/>
            <w:shd w:val="clear" w:color="auto" w:fill="BDD6EE"/>
            <w:vAlign w:val="center"/>
          </w:tcPr>
          <w:p w14:paraId="484FCB4E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02FD97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1984" w:type="dxa"/>
            <w:shd w:val="clear" w:color="auto" w:fill="BDD6EE"/>
            <w:vAlign w:val="center"/>
          </w:tcPr>
          <w:p w14:paraId="241829DB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得分率</w:t>
            </w:r>
          </w:p>
        </w:tc>
      </w:tr>
      <w:tr w14:paraId="539ADE6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823" w:type="dxa"/>
            <w:vAlign w:val="center"/>
          </w:tcPr>
          <w:p w14:paraId="09890D04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1530" w:type="dxa"/>
            <w:vAlign w:val="center"/>
          </w:tcPr>
          <w:p w14:paraId="6676E512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vAlign w:val="center"/>
          </w:tcPr>
          <w:p w14:paraId="643DBE6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984" w:type="dxa"/>
            <w:vAlign w:val="center"/>
          </w:tcPr>
          <w:p w14:paraId="34697024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 w14:paraId="0147126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823" w:type="dxa"/>
            <w:vAlign w:val="center"/>
          </w:tcPr>
          <w:p w14:paraId="56F85C35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530" w:type="dxa"/>
            <w:vAlign w:val="center"/>
          </w:tcPr>
          <w:p w14:paraId="00D9ED11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vAlign w:val="center"/>
          </w:tcPr>
          <w:p w14:paraId="6AF29D6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 w14:paraId="4CC45E29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 w14:paraId="04CEA7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823" w:type="dxa"/>
            <w:vAlign w:val="center"/>
          </w:tcPr>
          <w:p w14:paraId="7B147421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1530" w:type="dxa"/>
            <w:vAlign w:val="center"/>
          </w:tcPr>
          <w:p w14:paraId="736F72CE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vAlign w:val="center"/>
          </w:tcPr>
          <w:p w14:paraId="723A29F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 w14:paraId="2B7FFF2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 w14:paraId="3E695B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823" w:type="dxa"/>
            <w:vAlign w:val="center"/>
          </w:tcPr>
          <w:p w14:paraId="51449CEC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530" w:type="dxa"/>
            <w:vAlign w:val="center"/>
          </w:tcPr>
          <w:p w14:paraId="3555A0ED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vAlign w:val="center"/>
          </w:tcPr>
          <w:p w14:paraId="3CE0A18C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vAlign w:val="center"/>
          </w:tcPr>
          <w:p w14:paraId="25E0E0E4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 w14:paraId="00EDA2B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823" w:type="dxa"/>
            <w:vAlign w:val="center"/>
          </w:tcPr>
          <w:p w14:paraId="04EA7393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1530" w:type="dxa"/>
            <w:vAlign w:val="center"/>
          </w:tcPr>
          <w:p w14:paraId="02336865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vAlign w:val="center"/>
          </w:tcPr>
          <w:p w14:paraId="447B89BE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vAlign w:val="center"/>
          </w:tcPr>
          <w:p w14:paraId="533ADB1E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 w14:paraId="4B2EBFC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823" w:type="dxa"/>
            <w:vAlign w:val="center"/>
          </w:tcPr>
          <w:p w14:paraId="48BA5A75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重点工作管理</w:t>
            </w:r>
          </w:p>
        </w:tc>
        <w:tc>
          <w:tcPr>
            <w:tcW w:w="1530" w:type="dxa"/>
            <w:vAlign w:val="center"/>
          </w:tcPr>
          <w:p w14:paraId="10437CEC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vAlign w:val="center"/>
          </w:tcPr>
          <w:p w14:paraId="3FC4E180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vAlign w:val="center"/>
          </w:tcPr>
          <w:p w14:paraId="770E8A70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 w14:paraId="4AEBF10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823" w:type="dxa"/>
            <w:shd w:val="clear" w:color="auto" w:fill="BDD6EE"/>
            <w:vAlign w:val="center"/>
          </w:tcPr>
          <w:p w14:paraId="29DB56BF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Ansi="宋体" w:cs="宋体"/>
                <w:b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30" w:type="dxa"/>
            <w:shd w:val="clear" w:color="auto" w:fill="BDD6EE"/>
            <w:vAlign w:val="center"/>
          </w:tcPr>
          <w:p w14:paraId="58CFEAFB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2AEABE54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84" w:type="dxa"/>
            <w:shd w:val="clear" w:color="auto" w:fill="BDD6EE"/>
            <w:vAlign w:val="center"/>
          </w:tcPr>
          <w:p w14:paraId="057128D8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</w:tbl>
    <w:p w14:paraId="21CF1D88">
      <w:pPr>
        <w:ind w:firstLine="562"/>
        <w:rPr>
          <w:rFonts w:hAnsi="宋体"/>
          <w:szCs w:val="28"/>
          <w:highlight w:val="none"/>
        </w:rPr>
      </w:pPr>
      <w:r>
        <w:rPr>
          <w:rFonts w:hint="eastAsia" w:hAnsi="宋体"/>
          <w:b/>
          <w:bCs/>
          <w:szCs w:val="28"/>
          <w:highlight w:val="none"/>
        </w:rPr>
        <w:t>基本支出预算执行率</w:t>
      </w:r>
      <w:r>
        <w:rPr>
          <w:rFonts w:hint="eastAsia" w:hAnsi="宋体"/>
          <w:b/>
          <w:bCs/>
          <w:szCs w:val="28"/>
          <w:highlight w:val="none"/>
          <w:lang w:eastAsia="zh-CN"/>
        </w:rPr>
        <w:t>：</w:t>
      </w:r>
      <w:r>
        <w:rPr>
          <w:rFonts w:hint="eastAsia" w:hAnsi="宋体"/>
          <w:szCs w:val="28"/>
          <w:highlight w:val="none"/>
          <w:lang w:eastAsia="zh-CN"/>
        </w:rPr>
        <w:t>202</w:t>
      </w:r>
      <w:r>
        <w:rPr>
          <w:rFonts w:hint="eastAsia" w:hAnsi="宋体"/>
          <w:szCs w:val="28"/>
          <w:highlight w:val="none"/>
          <w:lang w:val="en-US" w:eastAsia="zh-CN"/>
        </w:rPr>
        <w:t>3</w:t>
      </w:r>
      <w:r>
        <w:rPr>
          <w:rFonts w:hint="eastAsia" w:hAnsi="宋体"/>
          <w:szCs w:val="28"/>
          <w:highlight w:val="none"/>
        </w:rPr>
        <w:t>年度我院基本支出全年预算数</w:t>
      </w:r>
      <w:r>
        <w:rPr>
          <w:rFonts w:hint="eastAsia" w:hAnsi="宋体"/>
          <w:szCs w:val="28"/>
          <w:highlight w:val="none"/>
          <w:lang w:val="en-US" w:eastAsia="zh-CN"/>
        </w:rPr>
        <w:t>1,574.72</w:t>
      </w:r>
      <w:r>
        <w:rPr>
          <w:rFonts w:hint="eastAsia" w:hAnsi="宋体"/>
          <w:szCs w:val="28"/>
          <w:highlight w:val="none"/>
        </w:rPr>
        <w:t>万元</w:t>
      </w:r>
      <w:r>
        <w:rPr>
          <w:rFonts w:hint="eastAsia" w:hAnsi="宋体"/>
          <w:szCs w:val="28"/>
          <w:highlight w:val="none"/>
          <w:lang w:eastAsia="zh-CN"/>
        </w:rPr>
        <w:t>，</w:t>
      </w:r>
      <w:r>
        <w:rPr>
          <w:rFonts w:hint="eastAsia" w:hAnsi="宋体"/>
          <w:szCs w:val="28"/>
          <w:highlight w:val="none"/>
        </w:rPr>
        <w:t>实际支出数</w:t>
      </w:r>
      <w:r>
        <w:rPr>
          <w:rFonts w:hint="eastAsia" w:hAnsi="宋体"/>
          <w:szCs w:val="28"/>
          <w:highlight w:val="none"/>
          <w:lang w:val="en-US" w:eastAsia="zh-CN"/>
        </w:rPr>
        <w:t>为1,574.72</w:t>
      </w:r>
      <w:r>
        <w:rPr>
          <w:rFonts w:hint="eastAsia" w:hAnsi="宋体"/>
          <w:szCs w:val="28"/>
          <w:highlight w:val="none"/>
        </w:rPr>
        <w:t>万元，基本支出预算执行率为</w:t>
      </w:r>
      <w:r>
        <w:rPr>
          <w:rFonts w:hint="eastAsia" w:hAnsi="宋体"/>
          <w:szCs w:val="28"/>
          <w:highlight w:val="none"/>
          <w:lang w:val="en-US" w:eastAsia="zh-CN"/>
        </w:rPr>
        <w:t>100</w:t>
      </w:r>
      <w:r>
        <w:rPr>
          <w:rFonts w:hint="eastAsia" w:hAnsi="宋体"/>
          <w:szCs w:val="28"/>
          <w:highlight w:val="none"/>
        </w:rPr>
        <w:t>%。该指标分值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分，自评得分为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分，得分率为</w:t>
      </w:r>
      <w:r>
        <w:rPr>
          <w:rFonts w:hint="eastAsia" w:hAnsi="宋体"/>
          <w:szCs w:val="28"/>
          <w:highlight w:val="none"/>
          <w:lang w:val="en-US" w:eastAsia="zh-CN"/>
        </w:rPr>
        <w:t>100</w:t>
      </w:r>
      <w:r>
        <w:rPr>
          <w:rFonts w:hint="eastAsia" w:hAnsi="宋体"/>
          <w:szCs w:val="28"/>
          <w:highlight w:val="none"/>
        </w:rPr>
        <w:t>%。</w:t>
      </w:r>
    </w:p>
    <w:p w14:paraId="43CB9A8F">
      <w:pPr>
        <w:ind w:firstLine="562"/>
        <w:rPr>
          <w:rFonts w:hAnsi="宋体"/>
          <w:szCs w:val="28"/>
          <w:highlight w:val="none"/>
        </w:rPr>
      </w:pPr>
      <w:r>
        <w:rPr>
          <w:rFonts w:hint="eastAsia" w:hAnsi="宋体"/>
          <w:b/>
          <w:bCs/>
          <w:szCs w:val="28"/>
          <w:highlight w:val="none"/>
        </w:rPr>
        <w:t>项目支出预算执行率：</w:t>
      </w:r>
      <w:r>
        <w:rPr>
          <w:rFonts w:hint="eastAsia" w:hAnsi="宋体"/>
          <w:szCs w:val="28"/>
          <w:highlight w:val="none"/>
          <w:lang w:eastAsia="zh-CN"/>
        </w:rPr>
        <w:t>202</w:t>
      </w:r>
      <w:r>
        <w:rPr>
          <w:rFonts w:hint="eastAsia" w:hAnsi="宋体"/>
          <w:szCs w:val="28"/>
          <w:highlight w:val="none"/>
          <w:lang w:val="en-US" w:eastAsia="zh-CN"/>
        </w:rPr>
        <w:t>3</w:t>
      </w:r>
      <w:r>
        <w:rPr>
          <w:rFonts w:hint="eastAsia" w:hAnsi="宋体"/>
          <w:szCs w:val="28"/>
          <w:highlight w:val="none"/>
        </w:rPr>
        <w:t>年度项目支出全年预算数</w:t>
      </w:r>
      <w:r>
        <w:rPr>
          <w:rFonts w:hint="eastAsia" w:hAnsi="宋体"/>
          <w:szCs w:val="28"/>
          <w:highlight w:val="none"/>
          <w:lang w:eastAsia="zh-CN"/>
        </w:rPr>
        <w:t>为</w:t>
      </w:r>
      <w:r>
        <w:rPr>
          <w:rFonts w:hint="eastAsia" w:hAnsi="宋体"/>
          <w:szCs w:val="28"/>
          <w:highlight w:val="none"/>
          <w:lang w:val="en-US" w:eastAsia="zh-CN"/>
        </w:rPr>
        <w:t>2,257.43</w:t>
      </w:r>
      <w:r>
        <w:rPr>
          <w:rFonts w:hint="eastAsia" w:hAnsi="宋体"/>
          <w:szCs w:val="28"/>
          <w:highlight w:val="none"/>
        </w:rPr>
        <w:t>万元，</w:t>
      </w:r>
      <w:r>
        <w:rPr>
          <w:rFonts w:hint="eastAsia" w:hAnsi="宋体"/>
          <w:szCs w:val="28"/>
          <w:highlight w:val="none"/>
          <w:lang w:val="en-US" w:eastAsia="zh-CN"/>
        </w:rPr>
        <w:t>实际支出数2,092.33</w:t>
      </w:r>
      <w:r>
        <w:rPr>
          <w:rFonts w:hint="eastAsia" w:hAnsi="宋体"/>
          <w:szCs w:val="28"/>
          <w:highlight w:val="none"/>
        </w:rPr>
        <w:t>元</w:t>
      </w:r>
      <w:r>
        <w:rPr>
          <w:rFonts w:hint="eastAsia" w:hAnsi="宋体"/>
          <w:szCs w:val="28"/>
          <w:highlight w:val="none"/>
          <w:lang w:eastAsia="zh-CN"/>
        </w:rPr>
        <w:t>。</w:t>
      </w:r>
      <w:r>
        <w:rPr>
          <w:rFonts w:hint="eastAsia" w:hAnsi="宋体"/>
          <w:szCs w:val="28"/>
          <w:highlight w:val="none"/>
        </w:rPr>
        <w:t>项目支出预算执行率为</w:t>
      </w:r>
      <w:r>
        <w:rPr>
          <w:rFonts w:hint="eastAsia" w:hAnsi="宋体"/>
          <w:szCs w:val="28"/>
          <w:highlight w:val="none"/>
          <w:lang w:val="en-US" w:eastAsia="zh-CN"/>
        </w:rPr>
        <w:t>92.69</w:t>
      </w:r>
      <w:r>
        <w:rPr>
          <w:rFonts w:hint="eastAsia" w:hAnsi="宋体"/>
          <w:szCs w:val="28"/>
          <w:highlight w:val="none"/>
        </w:rPr>
        <w:t>%。该指标分值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分，自评得分为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分，得分率为</w:t>
      </w:r>
      <w:r>
        <w:rPr>
          <w:rFonts w:hint="eastAsia" w:hAnsi="宋体"/>
          <w:szCs w:val="28"/>
          <w:highlight w:val="none"/>
          <w:lang w:val="en-US" w:eastAsia="zh-CN"/>
        </w:rPr>
        <w:t>100</w:t>
      </w:r>
      <w:r>
        <w:rPr>
          <w:rFonts w:hint="eastAsia" w:hAnsi="宋体"/>
          <w:szCs w:val="28"/>
          <w:highlight w:val="none"/>
        </w:rPr>
        <w:t>%。</w:t>
      </w:r>
    </w:p>
    <w:p w14:paraId="72757D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2" w:firstLineChars="200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</w:pPr>
      <w:r>
        <w:rPr>
          <w:rFonts w:hint="eastAsia" w:hAnsi="宋体"/>
          <w:b/>
          <w:bCs/>
          <w:szCs w:val="28"/>
          <w:highlight w:val="none"/>
        </w:rPr>
        <w:t>“三公经费”控制率：</w:t>
      </w:r>
      <w:r>
        <w:rPr>
          <w:rFonts w:hint="eastAsia" w:hAnsi="宋体"/>
          <w:szCs w:val="28"/>
          <w:highlight w:val="none"/>
          <w:lang w:eastAsia="zh-CN"/>
        </w:rPr>
        <w:t>202</w:t>
      </w:r>
      <w:r>
        <w:rPr>
          <w:rFonts w:hint="eastAsia" w:hAnsi="宋体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年度我院按照国家、</w:t>
      </w:r>
      <w:r>
        <w:rPr>
          <w:rFonts w:hint="eastAsia" w:ascii="Times New Roman" w:hAnsi="Times New Roman" w:cs="Times New Roman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  <w:lang w:eastAsia="zh-CN"/>
        </w:rPr>
        <w:t>省区市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有关厉行节约的规定，对“三公”经费进行控制，“三公经费”预算数</w:t>
      </w:r>
      <w:r>
        <w:rPr>
          <w:rFonts w:hint="eastAsia" w:hAnsi="宋体"/>
          <w:szCs w:val="28"/>
          <w:highlight w:val="none"/>
          <w:lang w:val="en-US" w:eastAsia="zh-CN"/>
        </w:rPr>
        <w:t>36.70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万元，实际支出数</w:t>
      </w:r>
      <w:r>
        <w:rPr>
          <w:rFonts w:hint="eastAsia" w:hAnsi="宋体"/>
          <w:szCs w:val="28"/>
          <w:highlight w:val="none"/>
          <w:lang w:val="en-US" w:eastAsia="zh-CN"/>
        </w:rPr>
        <w:t>36.69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万元。“三公经费”控制率为</w:t>
      </w:r>
      <w:r>
        <w:rPr>
          <w:rFonts w:hint="eastAsia" w:hAnsi="宋体"/>
          <w:szCs w:val="28"/>
          <w:highlight w:val="none"/>
          <w:lang w:val="en-US" w:eastAsia="zh-CN"/>
        </w:rPr>
        <w:t>99.97</w:t>
      </w:r>
      <w:r>
        <w:rPr>
          <w:rFonts w:hint="eastAsia" w:hAnsi="宋体"/>
          <w:szCs w:val="28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，低于控制率</w:t>
      </w:r>
      <w:r>
        <w:rPr>
          <w:rFonts w:hint="eastAsia" w:hAnsi="宋体"/>
          <w:szCs w:val="28"/>
          <w:highlight w:val="none"/>
          <w:lang w:val="en-US" w:eastAsia="zh-CN"/>
        </w:rPr>
        <w:t>100</w:t>
      </w:r>
      <w:r>
        <w:rPr>
          <w:rFonts w:hint="eastAsia" w:hAnsi="宋体"/>
          <w:szCs w:val="28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，该指标分值2分，自评得分</w:t>
      </w:r>
      <w:r>
        <w:rPr>
          <w:rFonts w:hint="eastAsia" w:ascii="Times New Roman" w:hAnsi="Times New Roman" w:cs="Times New Roman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分，得分率</w:t>
      </w:r>
      <w:r>
        <w:rPr>
          <w:rFonts w:hint="eastAsia" w:hAnsi="宋体"/>
          <w:szCs w:val="28"/>
          <w:highlight w:val="none"/>
          <w:lang w:val="en-US" w:eastAsia="zh-CN"/>
        </w:rPr>
        <w:t>100</w:t>
      </w:r>
      <w:r>
        <w:rPr>
          <w:rFonts w:hint="eastAsia" w:hAnsi="宋体"/>
          <w:szCs w:val="28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</w:rPr>
        <w:t>。</w:t>
      </w:r>
    </w:p>
    <w:p w14:paraId="46EF2637">
      <w:pPr>
        <w:ind w:firstLine="562"/>
        <w:rPr>
          <w:rFonts w:hint="default"/>
        </w:rPr>
      </w:pPr>
      <w:r>
        <w:rPr>
          <w:rFonts w:hint="eastAsia" w:hAnsi="宋体"/>
          <w:b/>
          <w:bCs/>
          <w:color w:val="auto"/>
          <w:szCs w:val="28"/>
          <w:highlight w:val="none"/>
        </w:rPr>
        <w:t>结转结余变动率：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2022年度结转资金520.14万元</w:t>
      </w:r>
      <w:r>
        <w:rPr>
          <w:rFonts w:hint="eastAsia" w:hAnsi="宋体"/>
          <w:color w:val="auto"/>
          <w:szCs w:val="28"/>
          <w:highlight w:val="none"/>
          <w:lang w:eastAsia="zh-CN"/>
        </w:rPr>
        <w:t>，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2023年度未产生结转资金，结转结余资金减少520.14万元，</w:t>
      </w:r>
      <w:r>
        <w:rPr>
          <w:rFonts w:hint="eastAsia" w:hAnsi="宋体"/>
          <w:color w:val="auto"/>
          <w:szCs w:val="28"/>
          <w:highlight w:val="none"/>
        </w:rPr>
        <w:t>该指标分值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2</w:t>
      </w:r>
      <w:r>
        <w:rPr>
          <w:rFonts w:hint="eastAsia" w:hAnsi="宋体"/>
          <w:color w:val="auto"/>
          <w:szCs w:val="28"/>
          <w:highlight w:val="none"/>
        </w:rPr>
        <w:t>分，自评得分为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2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%。</w:t>
      </w:r>
    </w:p>
    <w:p w14:paraId="248F6E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2" w:firstLineChars="200"/>
        <w:rPr>
          <w:rFonts w:hint="eastAsia" w:ascii="仿宋" w:hAnsi="仿宋" w:eastAsia="仿宋" w:cs="仿宋"/>
          <w:color w:val="000000"/>
          <w:spacing w:val="0"/>
          <w:w w:val="100"/>
          <w:kern w:val="0"/>
          <w:sz w:val="28"/>
          <w:szCs w:val="28"/>
          <w:highlight w:val="none"/>
          <w:u w:val="none" w:color="000000"/>
          <w:vertAlign w:val="baseline"/>
          <w:lang w:eastAsia="zh-CN"/>
        </w:rPr>
      </w:pPr>
      <w:r>
        <w:rPr>
          <w:rFonts w:hint="eastAsia" w:hAnsi="宋体"/>
          <w:b/>
          <w:bCs/>
          <w:szCs w:val="28"/>
          <w:highlight w:val="none"/>
        </w:rPr>
        <w:t>财务管理制度健全性：</w:t>
      </w:r>
      <w:r>
        <w:rPr>
          <w:rFonts w:hint="eastAsia" w:hAnsi="宋体"/>
          <w:b w:val="0"/>
          <w:bCs w:val="0"/>
          <w:szCs w:val="28"/>
          <w:highlight w:val="none"/>
          <w:lang w:eastAsia="zh-CN"/>
        </w:rPr>
        <w:t>单位制定了泾川县人民法院重大项目管理和物品（工具）购置使用管理工作规范、执行案款及案件审理有关的其他往来款项管理办法、绩效考核办法、财务管理办法、公务接待制度</w:t>
      </w:r>
      <w:r>
        <w:rPr>
          <w:rFonts w:hint="eastAsia" w:hAnsi="宋体"/>
          <w:b w:val="0"/>
          <w:bCs w:val="0"/>
          <w:szCs w:val="28"/>
          <w:highlight w:val="none"/>
          <w:lang w:val="en-US" w:eastAsia="zh-CN"/>
        </w:rPr>
        <w:t>管理办法、车辆管理办法等管理制度。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28"/>
          <w:szCs w:val="28"/>
          <w:highlight w:val="none"/>
          <w:u w:val="none" w:color="000000"/>
          <w:vertAlign w:val="baseline"/>
          <w:lang w:eastAsia="zh-CN"/>
        </w:rPr>
        <w:t>该指标分值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28"/>
          <w:szCs w:val="28"/>
          <w:highlight w:val="none"/>
          <w:u w:val="none" w:color="000000"/>
          <w:vertAlign w:val="baseli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28"/>
          <w:szCs w:val="28"/>
          <w:highlight w:val="none"/>
          <w:u w:val="none" w:color="000000"/>
          <w:vertAlign w:val="baseline"/>
          <w:lang w:eastAsia="zh-CN"/>
        </w:rPr>
        <w:t>分，自评得分为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28"/>
          <w:szCs w:val="28"/>
          <w:highlight w:val="none"/>
          <w:u w:val="none" w:color="000000"/>
          <w:vertAlign w:val="baseli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28"/>
          <w:szCs w:val="28"/>
          <w:highlight w:val="none"/>
          <w:u w:val="none" w:color="000000"/>
          <w:vertAlign w:val="baseline"/>
          <w:lang w:eastAsia="zh-CN"/>
        </w:rPr>
        <w:t>分，得分率为100%。</w:t>
      </w:r>
    </w:p>
    <w:p w14:paraId="792D58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2" w:firstLineChars="200"/>
        <w:rPr>
          <w:rFonts w:hAnsi="宋体"/>
          <w:szCs w:val="28"/>
          <w:highlight w:val="none"/>
        </w:rPr>
      </w:pPr>
      <w:r>
        <w:rPr>
          <w:rFonts w:hint="eastAsia" w:hAnsi="宋体"/>
          <w:b/>
          <w:bCs/>
          <w:szCs w:val="28"/>
          <w:highlight w:val="none"/>
        </w:rPr>
        <w:t>资金使用规范性：</w:t>
      </w:r>
      <w:r>
        <w:rPr>
          <w:rFonts w:hint="eastAsia" w:hAnsi="宋体"/>
          <w:b w:val="0"/>
          <w:bCs w:val="0"/>
          <w:szCs w:val="28"/>
          <w:highlight w:val="none"/>
          <w:lang w:eastAsia="zh-CN"/>
        </w:rPr>
        <w:t>202</w:t>
      </w:r>
      <w:r>
        <w:rPr>
          <w:rFonts w:hint="eastAsia" w:hAnsi="宋体"/>
          <w:b w:val="0"/>
          <w:bCs w:val="0"/>
          <w:szCs w:val="28"/>
          <w:highlight w:val="none"/>
          <w:lang w:val="en-US" w:eastAsia="zh-CN"/>
        </w:rPr>
        <w:t>3</w:t>
      </w:r>
      <w:r>
        <w:rPr>
          <w:rFonts w:hint="eastAsia" w:hAnsi="宋体"/>
          <w:b w:val="0"/>
          <w:bCs w:val="0"/>
          <w:szCs w:val="28"/>
          <w:highlight w:val="none"/>
          <w:lang w:eastAsia="zh-CN"/>
        </w:rPr>
        <w:t>年我院资金支出总体上审批程序合规、手续齐全，支出内容符合省财政预算批复规定的用途。该指标分值</w:t>
      </w:r>
      <w:r>
        <w:rPr>
          <w:rFonts w:hint="eastAsia" w:hAnsi="宋体"/>
          <w:b w:val="0"/>
          <w:bCs w:val="0"/>
          <w:szCs w:val="28"/>
          <w:highlight w:val="none"/>
          <w:lang w:val="en-US" w:eastAsia="zh-CN"/>
        </w:rPr>
        <w:t>2</w:t>
      </w:r>
      <w:r>
        <w:rPr>
          <w:rFonts w:hint="eastAsia" w:hAnsi="宋体"/>
          <w:b w:val="0"/>
          <w:bCs w:val="0"/>
          <w:szCs w:val="28"/>
          <w:highlight w:val="none"/>
          <w:lang w:eastAsia="zh-CN"/>
        </w:rPr>
        <w:t>分，自评得分</w:t>
      </w:r>
      <w:r>
        <w:rPr>
          <w:rFonts w:hint="eastAsia" w:hAnsi="宋体"/>
          <w:b w:val="0"/>
          <w:bCs w:val="0"/>
          <w:szCs w:val="28"/>
          <w:highlight w:val="none"/>
          <w:lang w:val="en-US" w:eastAsia="zh-CN"/>
        </w:rPr>
        <w:t>2</w:t>
      </w:r>
      <w:r>
        <w:rPr>
          <w:rFonts w:hint="eastAsia" w:hAnsi="宋体"/>
          <w:b w:val="0"/>
          <w:bCs w:val="0"/>
          <w:szCs w:val="28"/>
          <w:highlight w:val="none"/>
          <w:lang w:eastAsia="zh-CN"/>
        </w:rPr>
        <w:t>分，得分率为</w:t>
      </w:r>
      <w:r>
        <w:rPr>
          <w:rFonts w:hint="eastAsia" w:hAnsi="宋体"/>
          <w:b w:val="0"/>
          <w:bCs w:val="0"/>
          <w:szCs w:val="28"/>
          <w:highlight w:val="none"/>
          <w:lang w:val="en-US" w:eastAsia="zh-CN"/>
        </w:rPr>
        <w:t>100</w:t>
      </w:r>
      <w:r>
        <w:rPr>
          <w:rFonts w:hint="eastAsia" w:hAnsi="宋体"/>
          <w:b w:val="0"/>
          <w:bCs w:val="0"/>
          <w:szCs w:val="28"/>
          <w:highlight w:val="none"/>
          <w:lang w:eastAsia="zh-CN"/>
        </w:rPr>
        <w:t>%。</w:t>
      </w:r>
    </w:p>
    <w:p w14:paraId="77858A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2" w:firstLineChars="200"/>
        <w:rPr>
          <w:rFonts w:hint="eastAsia" w:ascii="仿宋" w:hAnsi="仿宋" w:eastAsia="仿宋" w:cs="仿宋"/>
          <w:color w:val="000000"/>
          <w:spacing w:val="0"/>
          <w:w w:val="100"/>
          <w:kern w:val="0"/>
          <w:sz w:val="28"/>
          <w:szCs w:val="28"/>
          <w:highlight w:val="none"/>
          <w:u w:val="none" w:color="000000"/>
          <w:vertAlign w:val="baseline"/>
          <w:lang w:eastAsia="zh-CN"/>
        </w:rPr>
      </w:pPr>
      <w:r>
        <w:rPr>
          <w:rFonts w:hint="eastAsia" w:hAnsi="宋体"/>
          <w:b/>
          <w:bCs/>
          <w:szCs w:val="28"/>
          <w:highlight w:val="none"/>
        </w:rPr>
        <w:t>政府采购规范性：</w:t>
      </w:r>
      <w:r>
        <w:rPr>
          <w:rFonts w:hint="eastAsia" w:hAnsi="宋体"/>
          <w:b w:val="0"/>
          <w:bCs w:val="0"/>
          <w:szCs w:val="28"/>
          <w:highlight w:val="none"/>
          <w:lang w:eastAsia="zh-CN"/>
        </w:rPr>
        <w:t>202</w:t>
      </w:r>
      <w:r>
        <w:rPr>
          <w:rFonts w:hint="eastAsia" w:hAnsi="宋体"/>
          <w:b w:val="0"/>
          <w:bCs w:val="0"/>
          <w:szCs w:val="28"/>
          <w:highlight w:val="none"/>
          <w:lang w:val="en-US" w:eastAsia="zh-CN"/>
        </w:rPr>
        <w:t>3年我院采购实际执行情况与采购计划安排基本无差异。采购事项严格执行相关标准，采购业务符合政府采购相关规定，该指标分值2分，自评得分2分，得分率为100%。</w:t>
      </w:r>
    </w:p>
    <w:p w14:paraId="464083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2" w:firstLineChars="200"/>
        <w:rPr>
          <w:rFonts w:hint="eastAsia" w:ascii="仿宋" w:hAnsi="仿宋" w:eastAsia="仿宋" w:cs="仿宋"/>
          <w:color w:val="000000"/>
          <w:spacing w:val="0"/>
          <w:w w:val="100"/>
          <w:kern w:val="0"/>
          <w:sz w:val="28"/>
          <w:szCs w:val="28"/>
          <w:highlight w:val="none"/>
          <w:u w:val="none" w:color="000000"/>
          <w:vertAlign w:val="baseline"/>
          <w:lang w:val="en-US" w:eastAsia="zh-CN"/>
        </w:rPr>
      </w:pPr>
      <w:r>
        <w:rPr>
          <w:rFonts w:hint="eastAsia" w:hAnsi="宋体"/>
          <w:b/>
          <w:bCs/>
          <w:szCs w:val="28"/>
          <w:highlight w:val="none"/>
        </w:rPr>
        <w:t>资产管理规范性：</w:t>
      </w:r>
      <w:r>
        <w:rPr>
          <w:rFonts w:hint="eastAsia" w:hAnsi="宋体"/>
          <w:b w:val="0"/>
          <w:bCs w:val="0"/>
          <w:szCs w:val="28"/>
          <w:highlight w:val="none"/>
        </w:rPr>
        <w:t>202</w:t>
      </w:r>
      <w:r>
        <w:rPr>
          <w:rFonts w:hint="eastAsia" w:hAnsi="宋体"/>
          <w:b w:val="0"/>
          <w:bCs w:val="0"/>
          <w:szCs w:val="28"/>
          <w:highlight w:val="none"/>
          <w:lang w:val="en-US" w:eastAsia="zh-CN"/>
        </w:rPr>
        <w:t>3</w:t>
      </w:r>
      <w:r>
        <w:rPr>
          <w:rFonts w:hint="eastAsia" w:hAnsi="宋体"/>
          <w:b w:val="0"/>
          <w:bCs w:val="0"/>
          <w:szCs w:val="28"/>
          <w:highlight w:val="none"/>
        </w:rPr>
        <w:t>年我院资产管理制度健全，账务和资产卡片数据相符，资产卡片与实物相符，各类资产保存完整、使用合规、配置合理、处置规范。</w:t>
      </w:r>
      <w:r>
        <w:rPr>
          <w:rFonts w:hint="eastAsia"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  <w:t>该指标分值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28"/>
          <w:szCs w:val="28"/>
          <w:highlight w:val="none"/>
          <w:u w:val="none" w:color="000000"/>
          <w:vertAlign w:val="baseline"/>
          <w:lang w:val="en-US" w:eastAsia="zh-CN"/>
        </w:rPr>
        <w:t>2分，自评得分2分，得分率为100%。</w:t>
      </w:r>
    </w:p>
    <w:p w14:paraId="60FED6E7">
      <w:pPr>
        <w:ind w:firstLine="562"/>
        <w:rPr>
          <w:rFonts w:hAnsi="宋体"/>
          <w:szCs w:val="28"/>
          <w:highlight w:val="none"/>
        </w:rPr>
      </w:pPr>
      <w:r>
        <w:rPr>
          <w:rFonts w:hint="eastAsia" w:hAnsi="宋体"/>
          <w:b/>
          <w:bCs/>
          <w:szCs w:val="28"/>
          <w:highlight w:val="none"/>
        </w:rPr>
        <w:t>在职人员控制率：</w:t>
      </w:r>
      <w:r>
        <w:rPr>
          <w:rFonts w:hint="eastAsia" w:hAnsi="宋体"/>
          <w:szCs w:val="28"/>
          <w:highlight w:val="none"/>
        </w:rPr>
        <w:t>我院人员管理较为规范，</w:t>
      </w:r>
      <w:r>
        <w:rPr>
          <w:rFonts w:hint="eastAsia" w:hAnsi="宋体"/>
          <w:szCs w:val="28"/>
          <w:highlight w:val="none"/>
          <w:lang w:eastAsia="zh-CN"/>
        </w:rPr>
        <w:t>部门</w:t>
      </w:r>
      <w:r>
        <w:rPr>
          <w:rFonts w:hint="eastAsia" w:hAnsi="宋体"/>
          <w:szCs w:val="28"/>
          <w:highlight w:val="none"/>
        </w:rPr>
        <w:t>整体的财政供养人员规模得到有效控制，</w:t>
      </w:r>
      <w:r>
        <w:rPr>
          <w:rFonts w:hint="eastAsia" w:asciiTheme="minorEastAsia" w:hAnsiTheme="minorEastAsia"/>
          <w:sz w:val="28"/>
          <w:szCs w:val="28"/>
        </w:rPr>
        <w:t>核定中央政法编制61人，截止</w:t>
      </w:r>
      <w:r>
        <w:rPr>
          <w:rFonts w:hint="eastAsia" w:hAnsi="宋体"/>
          <w:b w:val="0"/>
          <w:bCs w:val="0"/>
          <w:szCs w:val="28"/>
          <w:highlight w:val="none"/>
          <w:lang w:eastAsia="zh-CN"/>
        </w:rPr>
        <w:t>202</w:t>
      </w:r>
      <w:r>
        <w:rPr>
          <w:rFonts w:hint="eastAsia" w:hAnsi="宋体"/>
          <w:b w:val="0"/>
          <w:bCs w:val="0"/>
          <w:szCs w:val="28"/>
          <w:highlight w:val="none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hAnsi="宋体"/>
          <w:b w:val="0"/>
          <w:bCs w:val="0"/>
          <w:szCs w:val="28"/>
          <w:highlight w:val="none"/>
          <w:lang w:val="en-US" w:eastAsia="zh-CN"/>
        </w:rPr>
        <w:t>12</w:t>
      </w:r>
      <w:r>
        <w:rPr>
          <w:rFonts w:hint="eastAsia" w:asciiTheme="minorEastAsia" w:hAnsiTheme="minorEastAsia"/>
          <w:sz w:val="28"/>
          <w:szCs w:val="28"/>
        </w:rPr>
        <w:t>月底实有在职人员</w:t>
      </w:r>
      <w:r>
        <w:rPr>
          <w:rFonts w:hint="eastAsia" w:hAnsi="宋体"/>
          <w:b w:val="0"/>
          <w:bCs w:val="0"/>
          <w:szCs w:val="28"/>
          <w:highlight w:val="none"/>
          <w:lang w:val="en-US" w:eastAsia="zh-CN"/>
        </w:rPr>
        <w:t>58</w:t>
      </w:r>
      <w:r>
        <w:rPr>
          <w:rFonts w:hint="eastAsia" w:asciiTheme="minorEastAsia" w:hAnsiTheme="minorEastAsia"/>
          <w:sz w:val="28"/>
          <w:szCs w:val="28"/>
        </w:rPr>
        <w:t>人，另有退休人员</w:t>
      </w:r>
      <w:r>
        <w:rPr>
          <w:rFonts w:hint="eastAsia" w:hAnsi="宋体"/>
          <w:b w:val="0"/>
          <w:bCs w:val="0"/>
          <w:szCs w:val="28"/>
          <w:highlight w:val="non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</w:rPr>
        <w:t>人，其他财政供养人员</w:t>
      </w:r>
      <w:r>
        <w:rPr>
          <w:rFonts w:hint="eastAsia" w:hAnsi="宋体"/>
          <w:b w:val="0"/>
          <w:bCs w:val="0"/>
          <w:szCs w:val="28"/>
          <w:highlight w:val="none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人，聘任制书记员</w:t>
      </w:r>
      <w:r>
        <w:rPr>
          <w:rFonts w:hint="eastAsia" w:hAnsi="宋体"/>
          <w:b w:val="0"/>
          <w:bCs w:val="0"/>
          <w:szCs w:val="28"/>
          <w:highlight w:val="none"/>
          <w:lang w:val="en-US" w:eastAsia="zh-CN"/>
        </w:rPr>
        <w:t>21</w:t>
      </w:r>
      <w:r>
        <w:rPr>
          <w:rFonts w:hint="eastAsia" w:asciiTheme="minorEastAsia" w:hAnsiTheme="minorEastAsia"/>
          <w:sz w:val="28"/>
          <w:szCs w:val="28"/>
        </w:rPr>
        <w:t>人，其他聘用人员</w:t>
      </w:r>
      <w:r>
        <w:rPr>
          <w:rFonts w:hint="eastAsia" w:hAnsi="宋体"/>
          <w:b w:val="0"/>
          <w:bCs w:val="0"/>
          <w:szCs w:val="28"/>
          <w:highlight w:val="none"/>
          <w:lang w:val="en-US" w:eastAsia="zh-CN"/>
        </w:rPr>
        <w:t>39</w:t>
      </w:r>
      <w:r>
        <w:rPr>
          <w:rFonts w:hint="eastAsia" w:asciiTheme="minorEastAsia" w:hAnsiTheme="minorEastAsia"/>
          <w:sz w:val="28"/>
          <w:szCs w:val="28"/>
        </w:rPr>
        <w:t>人</w:t>
      </w:r>
      <w:r>
        <w:rPr>
          <w:rFonts w:hint="eastAsia" w:hAnsi="宋体"/>
          <w:szCs w:val="28"/>
          <w:highlight w:val="none"/>
        </w:rPr>
        <w:t>在职人员控制率为</w:t>
      </w:r>
      <w:r>
        <w:rPr>
          <w:rFonts w:hint="eastAsia" w:hAnsi="宋体"/>
          <w:szCs w:val="28"/>
          <w:highlight w:val="none"/>
          <w:lang w:val="en-US" w:eastAsia="zh-CN"/>
        </w:rPr>
        <w:t>100</w:t>
      </w:r>
      <w:r>
        <w:rPr>
          <w:rFonts w:hint="eastAsia" w:hAnsi="宋体"/>
          <w:szCs w:val="28"/>
          <w:highlight w:val="none"/>
        </w:rPr>
        <w:t>%</w:t>
      </w:r>
      <w:r>
        <w:rPr>
          <w:rFonts w:hint="eastAsia" w:hAnsi="宋体"/>
          <w:szCs w:val="28"/>
          <w:highlight w:val="none"/>
          <w:lang w:eastAsia="zh-CN"/>
        </w:rPr>
        <w:t>。</w:t>
      </w:r>
      <w:r>
        <w:rPr>
          <w:rFonts w:hint="eastAsia" w:hAnsi="宋体"/>
          <w:szCs w:val="28"/>
          <w:highlight w:val="none"/>
        </w:rPr>
        <w:t>该指标分值</w:t>
      </w:r>
      <w:r>
        <w:rPr>
          <w:rFonts w:hint="eastAsia" w:hAnsi="宋体"/>
          <w:szCs w:val="28"/>
          <w:highlight w:val="none"/>
          <w:lang w:eastAsia="zh-CN"/>
        </w:rPr>
        <w:t>2</w:t>
      </w:r>
      <w:r>
        <w:rPr>
          <w:rFonts w:hint="eastAsia" w:hAnsi="宋体"/>
          <w:szCs w:val="28"/>
          <w:highlight w:val="none"/>
        </w:rPr>
        <w:t>分，自评得分为</w:t>
      </w:r>
      <w:r>
        <w:rPr>
          <w:rFonts w:hint="eastAsia" w:hAnsi="宋体"/>
          <w:szCs w:val="28"/>
          <w:highlight w:val="none"/>
          <w:lang w:eastAsia="zh-CN"/>
        </w:rPr>
        <w:t>2</w:t>
      </w:r>
      <w:r>
        <w:rPr>
          <w:rFonts w:hint="eastAsia" w:hAnsi="宋体"/>
          <w:szCs w:val="28"/>
          <w:highlight w:val="none"/>
        </w:rPr>
        <w:t>分，得分率为100%。</w:t>
      </w:r>
    </w:p>
    <w:p w14:paraId="1CAEDB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2" w:firstLineChars="200"/>
        <w:rPr>
          <w:rFonts w:hint="eastAsia" w:hAnsi="宋体"/>
          <w:szCs w:val="28"/>
          <w:highlight w:val="none"/>
        </w:rPr>
      </w:pPr>
      <w:r>
        <w:rPr>
          <w:rFonts w:hint="eastAsia" w:hAnsi="宋体"/>
          <w:b/>
          <w:bCs/>
          <w:szCs w:val="28"/>
          <w:highlight w:val="none"/>
        </w:rPr>
        <w:t>重点工作管理制度健全性：</w:t>
      </w:r>
      <w:r>
        <w:rPr>
          <w:rFonts w:hint="eastAsia" w:hAnsi="宋体"/>
          <w:b w:val="0"/>
          <w:bCs w:val="0"/>
          <w:szCs w:val="28"/>
          <w:highlight w:val="none"/>
        </w:rPr>
        <w:t>该指标反映单位重点工作管理制度是否健全长效，我院针对重点工作，编制《</w:t>
      </w:r>
      <w:r>
        <w:rPr>
          <w:rFonts w:hint="eastAsia" w:hAnsi="宋体"/>
          <w:b w:val="0"/>
          <w:bCs w:val="0"/>
          <w:szCs w:val="28"/>
          <w:highlight w:val="none"/>
          <w:lang w:val="en-US" w:eastAsia="zh-CN"/>
        </w:rPr>
        <w:t>泾川县人民</w:t>
      </w:r>
      <w:r>
        <w:rPr>
          <w:rFonts w:hint="eastAsia" w:hAnsi="宋体"/>
          <w:b w:val="0"/>
          <w:bCs w:val="0"/>
          <w:szCs w:val="28"/>
          <w:highlight w:val="none"/>
        </w:rPr>
        <w:t>院</w:t>
      </w:r>
      <w:r>
        <w:rPr>
          <w:rFonts w:hint="eastAsia" w:hAnsi="宋体"/>
          <w:b w:val="0"/>
          <w:bCs w:val="0"/>
          <w:szCs w:val="28"/>
          <w:highlight w:val="none"/>
          <w:lang w:eastAsia="zh-CN"/>
        </w:rPr>
        <w:t>队伍教育整顿</w:t>
      </w:r>
      <w:r>
        <w:rPr>
          <w:rFonts w:hint="eastAsia" w:hAnsi="宋体"/>
          <w:b w:val="0"/>
          <w:bCs w:val="0"/>
          <w:szCs w:val="28"/>
          <w:highlight w:val="none"/>
        </w:rPr>
        <w:t>制度汇编》，共收集整理编制</w:t>
      </w:r>
      <w:r>
        <w:rPr>
          <w:rFonts w:hint="eastAsia" w:hAnsi="宋体"/>
          <w:b w:val="0"/>
          <w:bCs w:val="0"/>
          <w:szCs w:val="28"/>
          <w:highlight w:val="none"/>
          <w:lang w:val="en-US" w:eastAsia="zh-CN"/>
        </w:rPr>
        <w:t>15</w:t>
      </w:r>
      <w:r>
        <w:rPr>
          <w:rFonts w:hint="eastAsia" w:hAnsi="宋体"/>
          <w:b w:val="0"/>
          <w:bCs w:val="0"/>
          <w:szCs w:val="28"/>
          <w:highlight w:val="none"/>
        </w:rPr>
        <w:t>项规章制度，涉及党建，培训、总务等各方面，有效推动</w:t>
      </w:r>
      <w:r>
        <w:rPr>
          <w:rFonts w:hint="eastAsia" w:hAnsi="宋体"/>
          <w:b w:val="0"/>
          <w:bCs w:val="0"/>
          <w:szCs w:val="28"/>
          <w:highlight w:val="none"/>
          <w:lang w:eastAsia="zh-CN"/>
        </w:rPr>
        <w:t>我</w:t>
      </w:r>
      <w:r>
        <w:rPr>
          <w:rFonts w:hint="eastAsia" w:hAnsi="宋体"/>
          <w:b w:val="0"/>
          <w:bCs w:val="0"/>
          <w:szCs w:val="28"/>
          <w:highlight w:val="none"/>
        </w:rPr>
        <w:t>院各项工作规范化开展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  <w:lang w:val="en-US" w:eastAsia="zh-CN"/>
        </w:rPr>
        <w:t>，</w:t>
      </w:r>
      <w:r>
        <w:rPr>
          <w:rFonts w:hint="eastAsia" w:hAnsi="宋体"/>
          <w:szCs w:val="28"/>
          <w:highlight w:val="none"/>
        </w:rPr>
        <w:t>该指标分值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28"/>
          <w:szCs w:val="28"/>
          <w:highlight w:val="none"/>
          <w:u w:val="none" w:color="000000"/>
          <w:vertAlign w:val="baseli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  <w:lang w:val="en-US" w:eastAsia="zh-CN"/>
        </w:rPr>
        <w:t>分，自评得分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28"/>
          <w:szCs w:val="28"/>
          <w:highlight w:val="none"/>
          <w:u w:val="none" w:color="000000"/>
          <w:vertAlign w:val="baseli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28"/>
          <w:szCs w:val="18"/>
          <w:highlight w:val="none"/>
          <w:u w:val="none" w:color="000000"/>
          <w:vertAlign w:val="baseline"/>
          <w:lang w:val="en-US" w:eastAsia="zh-CN"/>
        </w:rPr>
        <w:t>分，得分率为</w:t>
      </w:r>
      <w:r>
        <w:rPr>
          <w:rFonts w:hint="eastAsia" w:hAnsi="宋体"/>
          <w:szCs w:val="28"/>
          <w:highlight w:val="none"/>
          <w:lang w:val="en-US" w:eastAsia="zh-CN"/>
        </w:rPr>
        <w:t>100</w:t>
      </w:r>
      <w:r>
        <w:rPr>
          <w:rFonts w:hint="eastAsia" w:hAnsi="宋体"/>
          <w:szCs w:val="28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sz w:val="32"/>
          <w:szCs w:val="20"/>
          <w:highlight w:val="none"/>
          <w:u w:val="none" w:color="000000"/>
          <w:vertAlign w:val="baseline"/>
          <w:lang w:val="en-US" w:eastAsia="zh-CN"/>
        </w:rPr>
        <w:t>。</w:t>
      </w:r>
    </w:p>
    <w:p w14:paraId="49382743"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eastAsia="仿宋_GB2312"/>
          <w:highlight w:val="none"/>
          <w:lang w:val="en-US" w:eastAsia="zh-CN"/>
        </w:rPr>
      </w:pPr>
      <w:bookmarkStart w:id="63" w:name="_Toc40046032"/>
      <w:r>
        <w:rPr>
          <w:rFonts w:hint="eastAsia"/>
          <w:highlight w:val="none"/>
          <w:lang w:val="en-US" w:eastAsia="zh-CN"/>
        </w:rPr>
        <w:t>3.</w:t>
      </w:r>
      <w:r>
        <w:rPr>
          <w:rFonts w:hint="eastAsia"/>
          <w:highlight w:val="none"/>
        </w:rPr>
        <w:t>履职效果</w:t>
      </w:r>
      <w:bookmarkEnd w:id="63"/>
      <w:r>
        <w:rPr>
          <w:rFonts w:hint="eastAsia"/>
          <w:highlight w:val="none"/>
          <w:lang w:val="en-US" w:eastAsia="zh-CN"/>
        </w:rPr>
        <w:t>目标完成情况分析</w:t>
      </w:r>
    </w:p>
    <w:p w14:paraId="44391FBF">
      <w:pPr>
        <w:rPr>
          <w:rFonts w:ascii="仿宋_GB2312"/>
          <w:highlight w:val="none"/>
        </w:rPr>
      </w:pPr>
      <w:r>
        <w:rPr>
          <w:rFonts w:hint="eastAsia"/>
          <w:highlight w:val="none"/>
        </w:rPr>
        <w:t>履职效果指标包括部门履职</w:t>
      </w:r>
      <w:r>
        <w:rPr>
          <w:rFonts w:hint="eastAsia"/>
          <w:highlight w:val="none"/>
          <w:lang w:val="en-US" w:eastAsia="zh-CN"/>
        </w:rPr>
        <w:t>目标</w:t>
      </w:r>
      <w:r>
        <w:rPr>
          <w:rFonts w:hint="eastAsia"/>
          <w:highlight w:val="none"/>
        </w:rPr>
        <w:t>、</w:t>
      </w:r>
      <w:r>
        <w:rPr>
          <w:rFonts w:hint="eastAsia"/>
          <w:highlight w:val="none"/>
          <w:lang w:val="en-US" w:eastAsia="zh-CN"/>
        </w:rPr>
        <w:t>部门效果、服务对象满意度及</w:t>
      </w:r>
      <w:r>
        <w:rPr>
          <w:rFonts w:hint="eastAsia"/>
          <w:highlight w:val="none"/>
        </w:rPr>
        <w:t>社会影响</w:t>
      </w:r>
      <w:r>
        <w:rPr>
          <w:rFonts w:hint="eastAsia"/>
          <w:highlight w:val="none"/>
          <w:lang w:val="en-US" w:eastAsia="zh-CN"/>
        </w:rPr>
        <w:t>四</w:t>
      </w:r>
      <w:r>
        <w:rPr>
          <w:rFonts w:hint="eastAsia"/>
          <w:highlight w:val="none"/>
        </w:rPr>
        <w:t>个二级指标，下设</w:t>
      </w:r>
      <w:r>
        <w:rPr>
          <w:rFonts w:hint="eastAsia"/>
          <w:highlight w:val="none"/>
          <w:lang w:val="en-US" w:eastAsia="zh-CN"/>
        </w:rPr>
        <w:t>16</w:t>
      </w:r>
      <w:r>
        <w:rPr>
          <w:rFonts w:hint="eastAsia"/>
          <w:highlight w:val="none"/>
        </w:rPr>
        <w:t>个三级指标。</w:t>
      </w:r>
      <w:r>
        <w:rPr>
          <w:rFonts w:hint="eastAsia"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  <w:t>该指标分值</w:t>
      </w:r>
      <w:r>
        <w:rPr>
          <w:rFonts w:hint="eastAsia"/>
          <w:highlight w:val="none"/>
          <w:lang w:val="en-US" w:eastAsia="zh-CN"/>
        </w:rPr>
        <w:t>60</w:t>
      </w:r>
      <w:r>
        <w:rPr>
          <w:rFonts w:hint="eastAsia"/>
          <w:highlight w:val="none"/>
        </w:rPr>
        <w:t>分，自评</w:t>
      </w:r>
      <w:r>
        <w:rPr>
          <w:highlight w:val="none"/>
        </w:rPr>
        <w:t>得</w:t>
      </w:r>
      <w:r>
        <w:rPr>
          <w:rFonts w:hint="eastAsia"/>
          <w:highlight w:val="none"/>
        </w:rPr>
        <w:t>分</w:t>
      </w:r>
      <w:r>
        <w:rPr>
          <w:rFonts w:hint="eastAsia"/>
          <w:highlight w:val="none"/>
          <w:lang w:val="en-US" w:eastAsia="zh-CN"/>
        </w:rPr>
        <w:t>60</w:t>
      </w:r>
      <w:r>
        <w:rPr>
          <w:rFonts w:hint="eastAsia"/>
          <w:highlight w:val="none"/>
        </w:rPr>
        <w:t>分，</w:t>
      </w:r>
      <w:r>
        <w:rPr>
          <w:highlight w:val="none"/>
        </w:rPr>
        <w:t>得分率</w:t>
      </w:r>
      <w:r>
        <w:rPr>
          <w:rFonts w:hint="eastAsia"/>
          <w:highlight w:val="none"/>
          <w:lang w:val="en-US" w:eastAsia="zh-CN"/>
        </w:rPr>
        <w:t>100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tbl>
      <w:tblPr>
        <w:tblStyle w:val="22"/>
        <w:tblW w:w="903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1825"/>
        <w:gridCol w:w="1559"/>
        <w:gridCol w:w="2410"/>
      </w:tblGrid>
      <w:tr w14:paraId="7F02309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45" w:type="dxa"/>
            <w:shd w:val="clear" w:color="auto" w:fill="BDD6EE"/>
            <w:vAlign w:val="center"/>
          </w:tcPr>
          <w:p w14:paraId="381C6549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二级指标</w:t>
            </w:r>
          </w:p>
        </w:tc>
        <w:tc>
          <w:tcPr>
            <w:tcW w:w="1825" w:type="dxa"/>
            <w:shd w:val="clear" w:color="auto" w:fill="BDD6EE"/>
            <w:vAlign w:val="center"/>
          </w:tcPr>
          <w:p w14:paraId="78772AFC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分值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4E051AAE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自评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  <w:t>得分</w:t>
            </w:r>
          </w:p>
        </w:tc>
        <w:tc>
          <w:tcPr>
            <w:tcW w:w="2410" w:type="dxa"/>
            <w:shd w:val="clear" w:color="auto" w:fill="BDD6EE"/>
            <w:vAlign w:val="center"/>
          </w:tcPr>
          <w:p w14:paraId="6FB8141A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得分率</w:t>
            </w:r>
          </w:p>
        </w:tc>
      </w:tr>
      <w:tr w14:paraId="5C9F5BB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45" w:type="dxa"/>
            <w:vAlign w:val="center"/>
          </w:tcPr>
          <w:p w14:paraId="52FF2780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部门</w:t>
            </w:r>
            <w:r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  <w:t>履职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指标</w:t>
            </w:r>
            <w:r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14:paraId="31B85AE0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33.35</w:t>
            </w:r>
          </w:p>
        </w:tc>
        <w:tc>
          <w:tcPr>
            <w:tcW w:w="1559" w:type="dxa"/>
            <w:vAlign w:val="center"/>
          </w:tcPr>
          <w:p w14:paraId="0645BCF2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33.35</w:t>
            </w:r>
          </w:p>
        </w:tc>
        <w:tc>
          <w:tcPr>
            <w:tcW w:w="2410" w:type="dxa"/>
            <w:vAlign w:val="center"/>
          </w:tcPr>
          <w:p w14:paraId="35B2A905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  <w:tr w14:paraId="202E01E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45" w:type="dxa"/>
            <w:vAlign w:val="center"/>
          </w:tcPr>
          <w:p w14:paraId="0C3C7259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left"/>
              <w:rPr>
                <w:rFonts w:hint="default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部门效果</w:t>
            </w:r>
          </w:p>
        </w:tc>
        <w:tc>
          <w:tcPr>
            <w:tcW w:w="1825" w:type="dxa"/>
            <w:vAlign w:val="center"/>
          </w:tcPr>
          <w:p w14:paraId="3B994BEB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9.99</w:t>
            </w:r>
          </w:p>
        </w:tc>
        <w:tc>
          <w:tcPr>
            <w:tcW w:w="1559" w:type="dxa"/>
            <w:vAlign w:val="center"/>
          </w:tcPr>
          <w:p w14:paraId="72794C8B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9.99</w:t>
            </w:r>
          </w:p>
        </w:tc>
        <w:tc>
          <w:tcPr>
            <w:tcW w:w="2410" w:type="dxa"/>
            <w:vAlign w:val="center"/>
          </w:tcPr>
          <w:p w14:paraId="683258D2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  <w:tr w14:paraId="14EBB67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45" w:type="dxa"/>
            <w:vAlign w:val="center"/>
          </w:tcPr>
          <w:p w14:paraId="6BAA978B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left"/>
              <w:rPr>
                <w:rFonts w:hint="default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服务对象满意度</w:t>
            </w:r>
          </w:p>
        </w:tc>
        <w:tc>
          <w:tcPr>
            <w:tcW w:w="1825" w:type="dxa"/>
            <w:vAlign w:val="center"/>
          </w:tcPr>
          <w:p w14:paraId="56E45298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559" w:type="dxa"/>
            <w:vAlign w:val="center"/>
          </w:tcPr>
          <w:p w14:paraId="030FC471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2410" w:type="dxa"/>
            <w:vAlign w:val="center"/>
          </w:tcPr>
          <w:p w14:paraId="509A07B7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100%</w:t>
            </w:r>
          </w:p>
        </w:tc>
      </w:tr>
      <w:tr w14:paraId="14627A1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45" w:type="dxa"/>
            <w:shd w:val="clear" w:color="auto" w:fill="auto"/>
            <w:vAlign w:val="center"/>
          </w:tcPr>
          <w:p w14:paraId="317370A1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社会影响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8BA24C8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6.66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E28584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6.66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C268A7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100%</w:t>
            </w:r>
          </w:p>
        </w:tc>
      </w:tr>
      <w:tr w14:paraId="5E86F3F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45" w:type="dxa"/>
            <w:shd w:val="clear" w:color="auto" w:fill="BDD6EE"/>
            <w:vAlign w:val="center"/>
          </w:tcPr>
          <w:p w14:paraId="0F19B13D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82" w:firstLineChars="200"/>
              <w:jc w:val="center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合计</w:t>
            </w:r>
          </w:p>
        </w:tc>
        <w:tc>
          <w:tcPr>
            <w:tcW w:w="1825" w:type="dxa"/>
            <w:shd w:val="clear" w:color="auto" w:fill="BDD6EE"/>
            <w:vAlign w:val="center"/>
          </w:tcPr>
          <w:p w14:paraId="549B6001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60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7C3804BC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60</w:t>
            </w:r>
          </w:p>
        </w:tc>
        <w:tc>
          <w:tcPr>
            <w:tcW w:w="2410" w:type="dxa"/>
            <w:shd w:val="clear" w:color="auto" w:fill="BDD6EE"/>
            <w:vAlign w:val="center"/>
          </w:tcPr>
          <w:p w14:paraId="38DD99C2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</w:tbl>
    <w:p w14:paraId="5C98AC28">
      <w:pPr>
        <w:ind w:firstLine="562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（1）部门履职目标</w:t>
      </w:r>
    </w:p>
    <w:p w14:paraId="3383E93C">
      <w:pPr>
        <w:ind w:firstLine="560"/>
        <w:rPr>
          <w:rFonts w:hint="eastAsia"/>
          <w:highlight w:val="none"/>
        </w:rPr>
      </w:pPr>
      <w:r>
        <w:rPr>
          <w:rFonts w:hint="eastAsia"/>
          <w:highlight w:val="none"/>
        </w:rPr>
        <w:t>部门履职效果</w:t>
      </w:r>
      <w:r>
        <w:rPr>
          <w:rFonts w:hint="eastAsia" w:hAnsi="宋体"/>
          <w:szCs w:val="28"/>
          <w:highlight w:val="none"/>
          <w:lang w:val="en-US" w:eastAsia="zh-CN"/>
        </w:rPr>
        <w:t>指标分值</w:t>
      </w:r>
      <w:r>
        <w:rPr>
          <w:rFonts w:hint="eastAsia"/>
          <w:highlight w:val="none"/>
          <w:lang w:val="en-US" w:eastAsia="zh-CN"/>
        </w:rPr>
        <w:t>33.35</w:t>
      </w:r>
      <w:r>
        <w:rPr>
          <w:rFonts w:hint="eastAsia"/>
          <w:highlight w:val="none"/>
        </w:rPr>
        <w:t>分，自评得分</w:t>
      </w:r>
      <w:r>
        <w:rPr>
          <w:rFonts w:hint="eastAsia"/>
          <w:highlight w:val="none"/>
          <w:lang w:val="en-US" w:eastAsia="zh-CN"/>
        </w:rPr>
        <w:t>33.35</w:t>
      </w:r>
      <w:r>
        <w:rPr>
          <w:rFonts w:hint="eastAsia"/>
          <w:highlight w:val="none"/>
        </w:rPr>
        <w:t>分，得分率</w:t>
      </w:r>
      <w:r>
        <w:rPr>
          <w:rFonts w:hint="eastAsia"/>
          <w:highlight w:val="none"/>
          <w:lang w:val="en-US" w:eastAsia="zh-CN"/>
        </w:rPr>
        <w:t>100</w:t>
      </w:r>
      <w:r>
        <w:rPr>
          <w:rFonts w:hint="eastAsia"/>
          <w:highlight w:val="none"/>
        </w:rPr>
        <w:t>%。</w:t>
      </w:r>
    </w:p>
    <w:p w14:paraId="3F00FAB3">
      <w:pPr>
        <w:ind w:firstLine="560"/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/>
          <w:b/>
          <w:bCs/>
          <w:highlight w:val="none"/>
          <w:lang w:val="en-US" w:eastAsia="zh-CN"/>
        </w:rPr>
        <w:t>登记立案率：</w:t>
      </w:r>
      <w:r>
        <w:rPr>
          <w:rFonts w:hint="eastAsia"/>
          <w:highlight w:val="none"/>
          <w:lang w:val="en-US" w:eastAsia="zh-CN"/>
        </w:rPr>
        <w:t>我院本年度立案率90%，达到年度目标值。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3.38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3.38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%。</w:t>
      </w:r>
    </w:p>
    <w:p w14:paraId="1E9AAF21">
      <w:pPr>
        <w:ind w:firstLine="560"/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hAnsi="宋体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案件结案率：</w:t>
      </w:r>
      <w:r>
        <w:rPr>
          <w:rFonts w:hint="eastAsia"/>
          <w:highlight w:val="none"/>
          <w:lang w:val="en-US" w:eastAsia="zh-CN"/>
        </w:rPr>
        <w:t>我院本年度结案率93.40%，达到年度目标值。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3.33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3.33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%。</w:t>
      </w:r>
    </w:p>
    <w:p w14:paraId="75542EC9">
      <w:pPr>
        <w:ind w:firstLine="560"/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hAnsi="宋体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购置设备数：</w:t>
      </w:r>
      <w:r>
        <w:rPr>
          <w:rFonts w:hint="eastAsia"/>
          <w:highlight w:val="none"/>
          <w:lang w:val="en-US" w:eastAsia="zh-CN"/>
        </w:rPr>
        <w:t>我院本年度购置设备数15台（套），达到年度目标值。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3.33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3.33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%。</w:t>
      </w:r>
    </w:p>
    <w:p w14:paraId="25A17272">
      <w:pPr>
        <w:ind w:firstLine="560"/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hAnsi="宋体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案件受理准确率：</w:t>
      </w:r>
      <w:r>
        <w:rPr>
          <w:rFonts w:hint="eastAsia"/>
          <w:highlight w:val="none"/>
          <w:lang w:val="en-US" w:eastAsia="zh-CN"/>
        </w:rPr>
        <w:t>我院本年度案件受理准确率100%，达到年度目标值。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3.33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3.33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%。</w:t>
      </w:r>
    </w:p>
    <w:p w14:paraId="225BF461">
      <w:pPr>
        <w:ind w:firstLine="560"/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hAnsi="宋体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案件上诉率：</w:t>
      </w:r>
      <w:r>
        <w:rPr>
          <w:rFonts w:hint="eastAsia"/>
          <w:highlight w:val="none"/>
          <w:lang w:val="en-US" w:eastAsia="zh-CN"/>
        </w:rPr>
        <w:t>我院本年度案件上诉率30%，达到年度目标值。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3.33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3.33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%。</w:t>
      </w:r>
    </w:p>
    <w:p w14:paraId="031ED27D">
      <w:pPr>
        <w:ind w:firstLine="560"/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hAnsi="宋体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设备验收合格率：</w:t>
      </w:r>
      <w:r>
        <w:rPr>
          <w:rFonts w:hint="eastAsia"/>
          <w:highlight w:val="none"/>
          <w:lang w:val="en-US" w:eastAsia="zh-CN"/>
        </w:rPr>
        <w:t>我院本年度设备验收合格率100%，达到年度目标值。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3.33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3.33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%。</w:t>
      </w:r>
    </w:p>
    <w:p w14:paraId="3097B2AF">
      <w:pPr>
        <w:ind w:firstLine="560"/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hAnsi="宋体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法定审限内结案率：</w:t>
      </w:r>
      <w:r>
        <w:rPr>
          <w:rFonts w:hint="eastAsia"/>
          <w:highlight w:val="none"/>
          <w:lang w:val="en-US" w:eastAsia="zh-CN"/>
        </w:rPr>
        <w:t>我院本年度法定审限内结案率90%，达到年度目标值。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3.33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3.33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%。</w:t>
      </w:r>
    </w:p>
    <w:p w14:paraId="28CEFE74">
      <w:pPr>
        <w:ind w:firstLine="562"/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hAnsi="宋体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判决文书送达及时性：</w:t>
      </w:r>
      <w:r>
        <w:rPr>
          <w:rFonts w:hint="eastAsia"/>
          <w:highlight w:val="none"/>
          <w:lang w:val="en-US" w:eastAsia="zh-CN"/>
        </w:rPr>
        <w:t>我院本年度判决文书送达及时性100%，达到年度目标值。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3.33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3.33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%。</w:t>
      </w:r>
    </w:p>
    <w:p w14:paraId="2B80036A">
      <w:pPr>
        <w:ind w:firstLine="562"/>
        <w:rPr>
          <w:rFonts w:hint="eastAsia" w:hAnsi="宋体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hAnsi="宋体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设备购置及时性：</w:t>
      </w:r>
      <w:r>
        <w:rPr>
          <w:rFonts w:hint="eastAsia"/>
          <w:highlight w:val="none"/>
          <w:lang w:val="en-US" w:eastAsia="zh-CN"/>
        </w:rPr>
        <w:t>我院本年度设备购置及时性100%，达到年度目标值。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3.33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3.33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%。</w:t>
      </w:r>
    </w:p>
    <w:p w14:paraId="635C254D">
      <w:pPr>
        <w:ind w:firstLine="562"/>
        <w:rPr>
          <w:rFonts w:hint="eastAsia"/>
          <w:lang w:val="en-US" w:eastAsia="zh-CN"/>
        </w:rPr>
      </w:pPr>
      <w:r>
        <w:rPr>
          <w:rFonts w:hint="eastAsia" w:hAnsi="宋体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成本控制情况：</w:t>
      </w:r>
      <w:r>
        <w:rPr>
          <w:rFonts w:hint="eastAsia" w:hAnsi="宋体" w:cs="宋体"/>
          <w:kern w:val="0"/>
          <w:szCs w:val="28"/>
          <w:highlight w:val="none"/>
          <w:lang w:val="en-US" w:eastAsia="zh-CN"/>
        </w:rPr>
        <w:t>我</w:t>
      </w:r>
      <w:r>
        <w:rPr>
          <w:rFonts w:hint="eastAsia" w:hAnsi="宋体" w:cs="宋体"/>
          <w:kern w:val="0"/>
          <w:szCs w:val="28"/>
          <w:highlight w:val="none"/>
          <w:lang w:eastAsia="zh-CN"/>
        </w:rPr>
        <w:t>院</w:t>
      </w:r>
      <w:r>
        <w:rPr>
          <w:rFonts w:hint="eastAsia" w:hAnsi="宋体" w:cs="宋体"/>
          <w:kern w:val="0"/>
          <w:szCs w:val="28"/>
        </w:rPr>
        <w:t>实际支出数为</w:t>
      </w:r>
      <w:r>
        <w:rPr>
          <w:rFonts w:hint="eastAsia" w:hAnsi="宋体" w:cs="宋体"/>
          <w:kern w:val="0"/>
          <w:szCs w:val="28"/>
          <w:lang w:val="en-US" w:eastAsia="zh-CN"/>
        </w:rPr>
        <w:t>3,667.05</w:t>
      </w:r>
      <w:r>
        <w:rPr>
          <w:rFonts w:hint="eastAsia" w:hAnsi="宋体" w:cs="宋体"/>
          <w:kern w:val="0"/>
          <w:szCs w:val="28"/>
        </w:rPr>
        <w:t>万元</w:t>
      </w:r>
      <w:r>
        <w:rPr>
          <w:rFonts w:hint="eastAsia" w:hAnsi="宋体" w:cs="宋体"/>
          <w:kern w:val="0"/>
          <w:szCs w:val="28"/>
          <w:highlight w:val="none"/>
        </w:rPr>
        <w:t>，</w:t>
      </w:r>
      <w:r>
        <w:rPr>
          <w:rFonts w:hint="eastAsia" w:hAnsi="宋体" w:cs="宋体"/>
          <w:kern w:val="0"/>
          <w:szCs w:val="28"/>
          <w:highlight w:val="none"/>
          <w:lang w:eastAsia="zh-CN"/>
        </w:rPr>
        <w:t>成本控制在</w:t>
      </w:r>
      <w:r>
        <w:rPr>
          <w:rFonts w:hint="eastAsia" w:hAnsi="宋体" w:cs="宋体"/>
          <w:kern w:val="0"/>
          <w:szCs w:val="28"/>
          <w:highlight w:val="none"/>
        </w:rPr>
        <w:t>全年预算数</w:t>
      </w:r>
      <w:r>
        <w:rPr>
          <w:rFonts w:hint="eastAsia" w:hAnsi="宋体" w:cs="宋体"/>
          <w:kern w:val="0"/>
          <w:szCs w:val="28"/>
          <w:highlight w:val="none"/>
          <w:lang w:eastAsia="zh-CN"/>
        </w:rPr>
        <w:t>以内</w:t>
      </w:r>
      <w:r>
        <w:rPr>
          <w:rFonts w:hint="eastAsia" w:hAnsi="宋体" w:cs="宋体"/>
          <w:kern w:val="0"/>
          <w:szCs w:val="28"/>
          <w:highlight w:val="none"/>
        </w:rPr>
        <w:t>，</w:t>
      </w:r>
      <w:r>
        <w:rPr>
          <w:rFonts w:hint="eastAsia" w:hAnsi="宋体" w:cs="宋体"/>
          <w:kern w:val="0"/>
          <w:szCs w:val="28"/>
        </w:rPr>
        <w:t>符合年度指标值的要求。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3.33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3.33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%。</w:t>
      </w:r>
    </w:p>
    <w:p w14:paraId="18EEA7EA">
      <w:pPr>
        <w:ind w:firstLine="562"/>
        <w:rPr>
          <w:rFonts w:hint="eastAsia" w:hAnsi="宋体"/>
          <w:szCs w:val="28"/>
          <w:highlight w:val="none"/>
        </w:rPr>
      </w:pPr>
      <w:r>
        <w:rPr>
          <w:rFonts w:hint="eastAsia" w:hAnsi="宋体"/>
          <w:b/>
          <w:bCs/>
          <w:szCs w:val="28"/>
          <w:highlight w:val="none"/>
        </w:rPr>
        <w:t>（2）部门效果目标</w:t>
      </w:r>
    </w:p>
    <w:p w14:paraId="3699189D">
      <w:pPr>
        <w:ind w:firstLine="560"/>
        <w:rPr>
          <w:rFonts w:hint="eastAsia"/>
          <w:highlight w:val="none"/>
        </w:rPr>
      </w:pPr>
      <w:r>
        <w:rPr>
          <w:rFonts w:hint="eastAsia"/>
          <w:highlight w:val="none"/>
        </w:rPr>
        <w:t>部门效果</w:t>
      </w:r>
      <w:r>
        <w:rPr>
          <w:rFonts w:hint="eastAsia"/>
          <w:highlight w:val="none"/>
          <w:lang w:val="en-US" w:eastAsia="zh-CN"/>
        </w:rPr>
        <w:t>目标</w:t>
      </w:r>
      <w:r>
        <w:rPr>
          <w:rFonts w:hint="eastAsia" w:hAnsi="宋体"/>
          <w:szCs w:val="28"/>
          <w:highlight w:val="none"/>
          <w:lang w:val="en-US" w:eastAsia="zh-CN"/>
        </w:rPr>
        <w:t>指标分值</w:t>
      </w:r>
      <w:r>
        <w:rPr>
          <w:rFonts w:hint="eastAsia"/>
          <w:highlight w:val="none"/>
          <w:lang w:val="en-US" w:eastAsia="zh-CN"/>
        </w:rPr>
        <w:t>9.99</w:t>
      </w:r>
      <w:r>
        <w:rPr>
          <w:rFonts w:hint="eastAsia"/>
          <w:highlight w:val="none"/>
        </w:rPr>
        <w:t>分，自评得分</w:t>
      </w:r>
      <w:r>
        <w:rPr>
          <w:rFonts w:hint="eastAsia"/>
          <w:highlight w:val="none"/>
          <w:lang w:val="en-US" w:eastAsia="zh-CN"/>
        </w:rPr>
        <w:t>9.99</w:t>
      </w:r>
      <w:r>
        <w:rPr>
          <w:rFonts w:hint="eastAsia"/>
          <w:highlight w:val="none"/>
        </w:rPr>
        <w:t>分，得分率</w:t>
      </w:r>
      <w:r>
        <w:rPr>
          <w:rFonts w:hint="eastAsia"/>
          <w:highlight w:val="none"/>
          <w:lang w:val="en-US" w:eastAsia="zh-CN"/>
        </w:rPr>
        <w:t>100</w:t>
      </w:r>
      <w:r>
        <w:rPr>
          <w:rFonts w:hint="eastAsia"/>
          <w:highlight w:val="none"/>
        </w:rPr>
        <w:t>%。</w:t>
      </w:r>
    </w:p>
    <w:p w14:paraId="481B5D04">
      <w:pPr>
        <w:ind w:firstLine="562"/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/>
          <w:b/>
          <w:bCs/>
          <w:highlight w:val="none"/>
          <w:lang w:val="en-US" w:eastAsia="zh-CN"/>
        </w:rPr>
        <w:t>执行标的到位率：</w:t>
      </w:r>
      <w:r>
        <w:rPr>
          <w:rFonts w:hint="eastAsia"/>
          <w:highlight w:val="none"/>
          <w:lang w:val="en-US" w:eastAsia="zh-CN"/>
        </w:rPr>
        <w:t>我院本年度执行标的到位率20%，达到年度目标值。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3.33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3.33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%。</w:t>
      </w:r>
    </w:p>
    <w:p w14:paraId="7E275F01">
      <w:pPr>
        <w:ind w:firstLine="562"/>
        <w:rPr>
          <w:rFonts w:hint="eastAsia" w:hAnsi="宋体"/>
          <w:szCs w:val="28"/>
          <w:highlight w:val="none"/>
        </w:rPr>
      </w:pPr>
      <w:r>
        <w:rPr>
          <w:rFonts w:hint="eastAsia" w:hAnsi="宋体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挽回经济损失效果：</w:t>
      </w:r>
      <w:r>
        <w:rPr>
          <w:rFonts w:hint="eastAsia"/>
          <w:b w:val="0"/>
          <w:bCs w:val="0"/>
          <w:highlight w:val="none"/>
          <w:lang w:val="en-US" w:eastAsia="zh-CN"/>
        </w:rPr>
        <w:t>以高度的政治责任感坚决扛牢防范化解金融风险责任，组建工作专班，设立绿色通道，快立快审快执。</w:t>
      </w:r>
      <w:r>
        <w:rPr>
          <w:rFonts w:hint="eastAsia" w:hAnsi="宋体"/>
          <w:szCs w:val="28"/>
          <w:highlight w:val="none"/>
          <w:lang w:val="en-US" w:eastAsia="zh-CN"/>
        </w:rPr>
        <w:t>该</w:t>
      </w:r>
      <w:r>
        <w:rPr>
          <w:rFonts w:hint="eastAsia" w:hAnsi="宋体"/>
          <w:szCs w:val="28"/>
          <w:highlight w:val="none"/>
        </w:rPr>
        <w:t>指标分值合计</w:t>
      </w:r>
      <w:r>
        <w:rPr>
          <w:rFonts w:hint="eastAsia" w:hAnsi="宋体"/>
          <w:szCs w:val="28"/>
          <w:highlight w:val="none"/>
          <w:lang w:val="en-US" w:eastAsia="zh-CN"/>
        </w:rPr>
        <w:t>3.33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3.33</w:t>
      </w:r>
      <w:r>
        <w:rPr>
          <w:rFonts w:hint="eastAsia" w:hAnsi="宋体"/>
          <w:szCs w:val="28"/>
          <w:highlight w:val="none"/>
        </w:rPr>
        <w:t>分，得分率为100%</w:t>
      </w:r>
    </w:p>
    <w:p w14:paraId="2B12F792">
      <w:pPr>
        <w:ind w:firstLine="562"/>
        <w:rPr>
          <w:rFonts w:hint="eastAsia" w:hAnsi="宋体"/>
          <w:szCs w:val="28"/>
          <w:highlight w:val="none"/>
          <w:lang w:eastAsia="zh-CN"/>
        </w:rPr>
      </w:pPr>
      <w:r>
        <w:rPr>
          <w:rFonts w:hint="default" w:eastAsia="仿宋_GB2312"/>
          <w:b/>
          <w:bCs/>
          <w:highlight w:val="none"/>
          <w:lang w:val="en-US" w:eastAsia="zh-CN"/>
        </w:rPr>
        <w:t>法治宣传内容知晓度</w:t>
      </w:r>
      <w:r>
        <w:rPr>
          <w:rFonts w:hint="eastAsia"/>
          <w:b/>
          <w:bCs/>
          <w:highlight w:val="none"/>
          <w:lang w:val="en-US" w:eastAsia="zh-CN"/>
        </w:rPr>
        <w:t>：</w:t>
      </w:r>
      <w:r>
        <w:rPr>
          <w:rFonts w:hint="eastAsia"/>
          <w:b w:val="0"/>
          <w:bCs w:val="0"/>
          <w:highlight w:val="none"/>
          <w:lang w:val="en-US" w:eastAsia="zh-CN"/>
        </w:rPr>
        <w:t>将法治宣传教育贯穿审判执行全过程，积极开展旁听庭审，以阳光司法促全民守法。</w:t>
      </w:r>
      <w:r>
        <w:rPr>
          <w:rFonts w:hint="eastAsia" w:hAnsi="宋体"/>
          <w:szCs w:val="28"/>
          <w:highlight w:val="none"/>
          <w:lang w:val="en-US" w:eastAsia="zh-CN"/>
        </w:rPr>
        <w:t>该</w:t>
      </w:r>
      <w:r>
        <w:rPr>
          <w:rFonts w:hint="eastAsia" w:hAnsi="宋体"/>
          <w:szCs w:val="28"/>
          <w:highlight w:val="none"/>
        </w:rPr>
        <w:t>指标分值合计</w:t>
      </w:r>
      <w:r>
        <w:rPr>
          <w:rFonts w:hint="eastAsia" w:hAnsi="宋体"/>
          <w:szCs w:val="28"/>
          <w:highlight w:val="none"/>
          <w:lang w:val="en-US" w:eastAsia="zh-CN"/>
        </w:rPr>
        <w:t>3.33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3.33</w:t>
      </w:r>
      <w:r>
        <w:rPr>
          <w:rFonts w:hint="eastAsia" w:hAnsi="宋体"/>
          <w:szCs w:val="28"/>
          <w:highlight w:val="none"/>
        </w:rPr>
        <w:t>分，得分率为100%</w:t>
      </w:r>
      <w:r>
        <w:rPr>
          <w:rFonts w:hint="eastAsia" w:hAnsi="宋体"/>
          <w:szCs w:val="28"/>
          <w:highlight w:val="none"/>
          <w:lang w:eastAsia="zh-CN"/>
        </w:rPr>
        <w:t>。</w:t>
      </w:r>
    </w:p>
    <w:p w14:paraId="11E69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default" w:hAnsi="宋体" w:eastAsia="仿宋_GB2312"/>
          <w:b/>
          <w:bCs/>
          <w:szCs w:val="28"/>
          <w:highlight w:val="none"/>
          <w:lang w:val="en-US" w:eastAsia="zh-CN"/>
        </w:rPr>
      </w:pPr>
      <w:r>
        <w:rPr>
          <w:rFonts w:hint="eastAsia" w:hAnsi="宋体"/>
          <w:b/>
          <w:bCs/>
          <w:szCs w:val="28"/>
          <w:highlight w:val="none"/>
        </w:rPr>
        <w:t>（3）</w:t>
      </w:r>
      <w:r>
        <w:rPr>
          <w:rFonts w:hint="eastAsia" w:hAnsi="宋体"/>
          <w:b/>
          <w:bCs/>
          <w:szCs w:val="28"/>
          <w:highlight w:val="none"/>
          <w:lang w:val="en-US" w:eastAsia="zh-CN"/>
        </w:rPr>
        <w:t>服务对象满意度</w:t>
      </w:r>
    </w:p>
    <w:p w14:paraId="17F9E1E7">
      <w:pPr>
        <w:pStyle w:val="19"/>
        <w:rPr>
          <w:rFonts w:hint="eastAsia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当事人满意度：</w:t>
      </w:r>
      <w:r>
        <w:rPr>
          <w:rFonts w:hint="eastAsia"/>
          <w:b w:val="0"/>
          <w:bCs w:val="0"/>
          <w:highlight w:val="none"/>
          <w:lang w:val="en-US" w:eastAsia="zh-CN"/>
        </w:rPr>
        <w:t>2023</w:t>
      </w:r>
      <w:r>
        <w:rPr>
          <w:rFonts w:hint="eastAsia" w:ascii="Times New Roman"/>
          <w:sz w:val="28"/>
          <w:szCs w:val="24"/>
          <w:highlight w:val="none"/>
          <w:lang w:val="en-US" w:eastAsia="zh-CN"/>
        </w:rPr>
        <w:t>年度</w:t>
      </w:r>
      <w:r>
        <w:rPr>
          <w:rFonts w:hint="eastAsia"/>
          <w:highlight w:val="none"/>
          <w:lang w:val="en-US" w:eastAsia="zh-CN"/>
        </w:rPr>
        <w:t>我院依法审理各类案件，妥善化解矛盾纠纷和行政争议，维护了法院审判工作的有序开展，积极保障人民群众生命财产安全，不断增强人民群众获得感、幸福感和安全感，减轻人民群众诉讼诉累，因此得到了人民群众的好评，</w:t>
      </w:r>
      <w:r>
        <w:rPr>
          <w:rFonts w:hint="eastAsia" w:ascii="Times New Roman" w:eastAsia="仿宋_GB2312"/>
          <w:sz w:val="28"/>
          <w:szCs w:val="24"/>
          <w:highlight w:val="none"/>
          <w:lang w:val="en-US" w:eastAsia="zh-CN"/>
        </w:rPr>
        <w:t>通过满意度调查，当事人对法院工作满意，</w:t>
      </w:r>
      <w:r>
        <w:rPr>
          <w:rFonts w:hint="eastAsia" w:hAnsi="宋体"/>
          <w:szCs w:val="28"/>
          <w:highlight w:val="none"/>
          <w:lang w:val="en-US" w:eastAsia="zh-CN"/>
        </w:rPr>
        <w:t>该</w:t>
      </w:r>
      <w:r>
        <w:rPr>
          <w:rFonts w:hint="eastAsia" w:hAnsi="宋体"/>
          <w:szCs w:val="28"/>
          <w:highlight w:val="none"/>
        </w:rPr>
        <w:t>指标分值合计</w:t>
      </w:r>
      <w:r>
        <w:rPr>
          <w:rFonts w:hint="eastAsia" w:hAnsi="宋体"/>
          <w:szCs w:val="28"/>
          <w:highlight w:val="none"/>
          <w:lang w:val="en-US" w:eastAsia="zh-CN"/>
        </w:rPr>
        <w:t>10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10</w:t>
      </w:r>
      <w:r>
        <w:rPr>
          <w:rFonts w:hint="eastAsia" w:hAnsi="宋体"/>
          <w:szCs w:val="28"/>
          <w:highlight w:val="none"/>
        </w:rPr>
        <w:t>分，得分率为100%。</w:t>
      </w:r>
    </w:p>
    <w:p w14:paraId="19214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Ansi="宋体"/>
          <w:b/>
          <w:bCs/>
          <w:szCs w:val="28"/>
          <w:highlight w:val="none"/>
        </w:rPr>
      </w:pPr>
      <w:r>
        <w:rPr>
          <w:rFonts w:hint="eastAsia" w:hAnsi="宋体"/>
          <w:b/>
          <w:bCs/>
          <w:szCs w:val="28"/>
          <w:highlight w:val="none"/>
        </w:rPr>
        <w:t>（</w:t>
      </w:r>
      <w:r>
        <w:rPr>
          <w:rFonts w:hint="eastAsia" w:hAnsi="宋体"/>
          <w:b/>
          <w:bCs/>
          <w:szCs w:val="28"/>
          <w:highlight w:val="none"/>
          <w:lang w:val="en-US" w:eastAsia="zh-CN"/>
        </w:rPr>
        <w:t>4</w:t>
      </w:r>
      <w:r>
        <w:rPr>
          <w:rFonts w:hint="eastAsia" w:hAnsi="宋体"/>
          <w:b/>
          <w:bCs/>
          <w:szCs w:val="28"/>
          <w:highlight w:val="none"/>
        </w:rPr>
        <w:t>）社会影响</w:t>
      </w:r>
    </w:p>
    <w:p w14:paraId="6CCF8E91">
      <w:pPr>
        <w:ind w:firstLine="56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社会影响</w:t>
      </w:r>
      <w:r>
        <w:rPr>
          <w:rFonts w:hint="eastAsia" w:hAnsi="宋体"/>
          <w:szCs w:val="28"/>
          <w:highlight w:val="none"/>
          <w:lang w:val="en-US" w:eastAsia="zh-CN"/>
        </w:rPr>
        <w:t>指标分值</w:t>
      </w:r>
      <w:r>
        <w:rPr>
          <w:rFonts w:hint="eastAsia"/>
          <w:highlight w:val="none"/>
          <w:lang w:val="en-US" w:eastAsia="zh-CN"/>
        </w:rPr>
        <w:t>6.66</w:t>
      </w:r>
      <w:r>
        <w:rPr>
          <w:rFonts w:hint="eastAsia"/>
          <w:highlight w:val="none"/>
        </w:rPr>
        <w:t>分，自评得分</w:t>
      </w:r>
      <w:r>
        <w:rPr>
          <w:rFonts w:hint="eastAsia"/>
          <w:highlight w:val="none"/>
          <w:lang w:val="en-US" w:eastAsia="zh-CN"/>
        </w:rPr>
        <w:t>6.66</w:t>
      </w:r>
      <w:r>
        <w:rPr>
          <w:rFonts w:hint="eastAsia"/>
          <w:highlight w:val="none"/>
        </w:rPr>
        <w:t>分，得分率</w:t>
      </w:r>
      <w:r>
        <w:rPr>
          <w:rFonts w:hint="eastAsia"/>
          <w:highlight w:val="none"/>
          <w:lang w:val="en-US" w:eastAsia="zh-CN"/>
        </w:rPr>
        <w:t>100</w:t>
      </w:r>
      <w:r>
        <w:rPr>
          <w:rFonts w:hint="eastAsia"/>
          <w:highlight w:val="none"/>
        </w:rPr>
        <w:t>%。</w:t>
      </w:r>
    </w:p>
    <w:p w14:paraId="1F96A3FC">
      <w:pPr>
        <w:ind w:firstLine="560"/>
        <w:rPr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单位获奖次数：</w:t>
      </w:r>
      <w:r>
        <w:rPr>
          <w:rFonts w:hint="eastAsia"/>
          <w:highlight w:val="none"/>
          <w:lang w:val="en-US" w:eastAsia="zh-CN"/>
        </w:rPr>
        <w:t>我院</w:t>
      </w:r>
      <w:r>
        <w:rPr>
          <w:rFonts w:hint="eastAsia"/>
          <w:highlight w:val="none"/>
          <w:lang w:eastAsia="zh-CN"/>
        </w:rPr>
        <w:t>围绕创城部署要求，扎实开展包抓共建、结对帮扶、普法宣传、志愿服务工作，</w:t>
      </w:r>
      <w:r>
        <w:rPr>
          <w:rFonts w:hint="eastAsia"/>
          <w:highlight w:val="none"/>
          <w:lang w:val="en-US" w:eastAsia="zh-CN"/>
        </w:rPr>
        <w:t>得到了社会公众的普遍好评，产生了较好的社会影响</w:t>
      </w:r>
      <w:r>
        <w:rPr>
          <w:rFonts w:hint="eastAsia"/>
          <w:highlight w:val="none"/>
          <w:lang w:eastAsia="zh-CN"/>
        </w:rPr>
        <w:t>。</w:t>
      </w:r>
      <w:r>
        <w:rPr>
          <w:rFonts w:hint="eastAsia"/>
          <w:b w:val="0"/>
          <w:bCs w:val="0"/>
          <w:lang w:val="en-US" w:eastAsia="zh-CN"/>
        </w:rPr>
        <w:t>2023年度我院获奖1项。</w:t>
      </w:r>
      <w:r>
        <w:rPr>
          <w:rFonts w:hint="eastAsia"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  <w:t>该指标分值</w:t>
      </w:r>
      <w:r>
        <w:rPr>
          <w:rFonts w:hint="eastAsia"/>
          <w:color w:val="000000" w:themeColor="text1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合计</w:t>
      </w:r>
      <w:r>
        <w:rPr>
          <w:rFonts w:hint="eastAsia"/>
          <w:highlight w:val="none"/>
          <w:lang w:val="en-US" w:eastAsia="zh-CN"/>
        </w:rPr>
        <w:t>3.33</w:t>
      </w:r>
      <w:r>
        <w:rPr>
          <w:rFonts w:hint="eastAsia"/>
          <w:highlight w:val="none"/>
        </w:rPr>
        <w:t>分，自评得分</w:t>
      </w:r>
      <w:r>
        <w:rPr>
          <w:rFonts w:hint="eastAsia"/>
          <w:highlight w:val="none"/>
          <w:lang w:val="en-US" w:eastAsia="zh-CN"/>
        </w:rPr>
        <w:t>3.33</w:t>
      </w:r>
      <w:r>
        <w:rPr>
          <w:rFonts w:hint="eastAsia"/>
          <w:highlight w:val="none"/>
        </w:rPr>
        <w:t>分，得分率</w:t>
      </w:r>
      <w:r>
        <w:rPr>
          <w:rFonts w:hint="eastAsia"/>
          <w:highlight w:val="none"/>
          <w:lang w:val="en-US" w:eastAsia="zh-CN"/>
        </w:rPr>
        <w:t>100</w:t>
      </w:r>
      <w:r>
        <w:rPr>
          <w:rFonts w:hint="eastAsia"/>
          <w:highlight w:val="none"/>
        </w:rPr>
        <w:t>%。</w:t>
      </w:r>
    </w:p>
    <w:p w14:paraId="7272369D">
      <w:pPr>
        <w:pStyle w:val="5"/>
        <w:ind w:firstLine="562"/>
        <w:rPr>
          <w:rFonts w:hint="default" w:eastAsia="仿宋_GB2312"/>
          <w:highlight w:val="none"/>
          <w:lang w:val="en-US" w:eastAsia="zh-CN"/>
        </w:rPr>
      </w:pPr>
      <w:bookmarkStart w:id="64" w:name="_Toc40046033"/>
      <w:r>
        <w:rPr>
          <w:rFonts w:hint="eastAsia"/>
          <w:highlight w:val="none"/>
        </w:rPr>
        <w:t>违法违纪情况</w:t>
      </w:r>
      <w:r>
        <w:rPr>
          <w:rFonts w:hint="eastAsia"/>
          <w:highlight w:val="none"/>
          <w:lang w:eastAsia="zh-CN"/>
        </w:rPr>
        <w:t>：</w:t>
      </w:r>
      <w:r>
        <w:rPr>
          <w:rFonts w:hint="eastAsia"/>
          <w:b w:val="0"/>
          <w:bCs w:val="0"/>
          <w:highlight w:val="none"/>
          <w:lang w:val="en-US" w:eastAsia="zh-CN"/>
        </w:rPr>
        <w:t>我院本年度未发生违法违纪情况，达到年度目标值。该指标分值3.33分，自评得分为3.33分，得分率为100%。</w:t>
      </w:r>
    </w:p>
    <w:p w14:paraId="7D867B7A">
      <w:pPr>
        <w:pStyle w:val="5"/>
        <w:ind w:firstLine="562"/>
        <w:rPr>
          <w:highlight w:val="none"/>
        </w:rPr>
      </w:pPr>
      <w:r>
        <w:rPr>
          <w:rFonts w:hint="eastAsia"/>
          <w:highlight w:val="none"/>
        </w:rPr>
        <w:t>4</w:t>
      </w:r>
      <w:r>
        <w:rPr>
          <w:rFonts w:hint="eastAsia"/>
          <w:highlight w:val="none"/>
          <w:lang w:eastAsia="zh-CN"/>
        </w:rPr>
        <w:t>.</w:t>
      </w:r>
      <w:r>
        <w:rPr>
          <w:rFonts w:hint="eastAsia"/>
          <w:highlight w:val="none"/>
        </w:rPr>
        <w:t>能力建设</w:t>
      </w:r>
      <w:bookmarkEnd w:id="64"/>
    </w:p>
    <w:p w14:paraId="00E832C3">
      <w:pPr>
        <w:ind w:firstLine="560"/>
        <w:rPr>
          <w:rFonts w:hint="default" w:hAnsi="宋体" w:eastAsia="仿宋_GB2312"/>
          <w:szCs w:val="28"/>
          <w:highlight w:val="none"/>
          <w:lang w:val="en-US" w:eastAsia="zh-CN"/>
        </w:rPr>
      </w:pPr>
      <w:r>
        <w:rPr>
          <w:rFonts w:hint="eastAsia" w:hAnsi="宋体"/>
          <w:szCs w:val="28"/>
          <w:highlight w:val="none"/>
          <w:lang w:val="en-US" w:eastAsia="zh-CN"/>
        </w:rPr>
        <w:t>能力建设指标分值合计</w:t>
      </w:r>
      <w:r>
        <w:rPr>
          <w:rFonts w:hint="eastAsia"/>
          <w:highlight w:val="none"/>
          <w:lang w:val="en-US" w:eastAsia="zh-CN"/>
        </w:rPr>
        <w:t>10</w:t>
      </w:r>
      <w:r>
        <w:rPr>
          <w:rFonts w:hint="eastAsia"/>
          <w:highlight w:val="none"/>
        </w:rPr>
        <w:t>分，自评得分</w:t>
      </w:r>
      <w:r>
        <w:rPr>
          <w:rFonts w:hint="eastAsia"/>
          <w:highlight w:val="none"/>
          <w:lang w:val="en-US" w:eastAsia="zh-CN"/>
        </w:rPr>
        <w:t>10</w:t>
      </w:r>
      <w:r>
        <w:rPr>
          <w:rFonts w:hint="eastAsia"/>
          <w:highlight w:val="none"/>
        </w:rPr>
        <w:t>分，得分率</w:t>
      </w:r>
      <w:r>
        <w:rPr>
          <w:rFonts w:hint="eastAsia"/>
          <w:highlight w:val="none"/>
          <w:lang w:val="en-US" w:eastAsia="zh-CN"/>
        </w:rPr>
        <w:t>100</w:t>
      </w:r>
      <w:r>
        <w:rPr>
          <w:rFonts w:hint="eastAsia"/>
          <w:highlight w:val="none"/>
        </w:rPr>
        <w:t>%。</w:t>
      </w:r>
    </w:p>
    <w:p w14:paraId="189F8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default" w:eastAsia="仿宋_GB2312"/>
          <w:highlight w:val="none"/>
          <w:lang w:val="en-US" w:eastAsia="zh-CN"/>
        </w:rPr>
      </w:pPr>
      <w:r>
        <w:rPr>
          <w:rFonts w:hint="eastAsia" w:hAnsi="宋体"/>
          <w:b/>
          <w:bCs/>
          <w:szCs w:val="28"/>
          <w:highlight w:val="none"/>
        </w:rPr>
        <w:t>（</w:t>
      </w:r>
      <w:r>
        <w:rPr>
          <w:rFonts w:hint="eastAsia" w:hAnsi="宋体"/>
          <w:b/>
          <w:bCs/>
          <w:szCs w:val="28"/>
          <w:highlight w:val="none"/>
          <w:lang w:val="en-US" w:eastAsia="zh-CN"/>
        </w:rPr>
        <w:t>1</w:t>
      </w:r>
      <w:r>
        <w:rPr>
          <w:rFonts w:hint="eastAsia" w:hAnsi="宋体"/>
          <w:b/>
          <w:bCs/>
          <w:szCs w:val="28"/>
          <w:highlight w:val="none"/>
        </w:rPr>
        <w:t>）</w:t>
      </w:r>
      <w:r>
        <w:rPr>
          <w:rFonts w:hint="eastAsia" w:hAnsi="宋体"/>
          <w:b/>
          <w:bCs/>
          <w:szCs w:val="28"/>
          <w:highlight w:val="none"/>
          <w:lang w:val="en-US" w:eastAsia="zh-CN"/>
        </w:rPr>
        <w:t>长效管理</w:t>
      </w:r>
    </w:p>
    <w:p w14:paraId="65149999">
      <w:pPr>
        <w:ind w:firstLine="562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长效管理</w:t>
      </w:r>
      <w:r>
        <w:rPr>
          <w:rFonts w:hint="eastAsia" w:hAnsi="宋体"/>
          <w:szCs w:val="28"/>
          <w:highlight w:val="none"/>
          <w:lang w:val="en-US" w:eastAsia="zh-CN"/>
        </w:rPr>
        <w:t>指标分值</w:t>
      </w: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分，自评得分</w:t>
      </w:r>
      <w:r>
        <w:rPr>
          <w:rFonts w:hint="eastAsia"/>
          <w:highlight w:val="none"/>
          <w:lang w:val="en-US" w:eastAsia="zh-CN"/>
        </w:rPr>
        <w:t>5.62</w:t>
      </w:r>
      <w:r>
        <w:rPr>
          <w:rFonts w:hint="eastAsia"/>
          <w:highlight w:val="none"/>
        </w:rPr>
        <w:t>分，得分率</w:t>
      </w:r>
      <w:r>
        <w:rPr>
          <w:rFonts w:hint="eastAsia"/>
          <w:highlight w:val="none"/>
          <w:lang w:val="en-US" w:eastAsia="zh-CN"/>
        </w:rPr>
        <w:t>93.67</w:t>
      </w:r>
      <w:r>
        <w:rPr>
          <w:rFonts w:hint="eastAsia"/>
          <w:highlight w:val="none"/>
        </w:rPr>
        <w:t>%。</w:t>
      </w:r>
    </w:p>
    <w:p w14:paraId="24326886">
      <w:pPr>
        <w:ind w:firstLine="562"/>
        <w:rPr>
          <w:rFonts w:hint="eastAsia" w:hAnsi="宋体"/>
          <w:szCs w:val="28"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中期规划建设完备程度</w:t>
      </w:r>
      <w:r>
        <w:rPr>
          <w:rFonts w:hint="eastAsia"/>
          <w:b w:val="0"/>
          <w:bCs w:val="0"/>
          <w:highlight w:val="none"/>
          <w:lang w:val="en-US" w:eastAsia="zh-CN"/>
        </w:rPr>
        <w:t>：</w:t>
      </w:r>
      <w:r>
        <w:rPr>
          <w:rFonts w:hint="eastAsia" w:hAnsi="宋体"/>
          <w:szCs w:val="28"/>
          <w:highlight w:val="none"/>
        </w:rPr>
        <w:t>我院中期规划完整清晰、内容全面可行，能够为未来的工作明确目标、方向和内容，</w:t>
      </w:r>
      <w:r>
        <w:rPr>
          <w:rFonts w:hint="eastAsia"/>
          <w:highlight w:val="none"/>
        </w:rPr>
        <w:t>达到年度指标值。</w:t>
      </w:r>
      <w:r>
        <w:rPr>
          <w:rFonts w:hint="eastAsia" w:hAnsi="宋体"/>
          <w:szCs w:val="28"/>
          <w:highlight w:val="none"/>
        </w:rPr>
        <w:t>该指标分值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分，自评得分为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分，得分率100%。</w:t>
      </w:r>
    </w:p>
    <w:p w14:paraId="07B90E80">
      <w:pPr>
        <w:ind w:firstLine="562"/>
        <w:rPr>
          <w:rFonts w:hint="default" w:hAnsi="宋体"/>
          <w:b w:val="0"/>
          <w:bCs w:val="0"/>
          <w:szCs w:val="28"/>
          <w:highlight w:val="none"/>
          <w:lang w:val="en-US" w:eastAsia="zh-CN"/>
        </w:rPr>
      </w:pPr>
      <w:r>
        <w:rPr>
          <w:rFonts w:hint="eastAsia" w:hAnsi="宋体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党建工作开展规律性：</w:t>
      </w:r>
      <w:r>
        <w:rPr>
          <w:rFonts w:hint="eastAsia" w:hAnsi="宋体"/>
          <w:b w:val="0"/>
          <w:bCs w:val="0"/>
          <w:szCs w:val="28"/>
          <w:highlight w:val="none"/>
          <w:lang w:val="en-US" w:eastAsia="zh-CN"/>
        </w:rPr>
        <w:t>以党的政治建设为统领，坚持“抓党建带队建促审判”总体思路，立足实际，特色突出，以“阳光司法”党建品牌为引领，为党组织注入了新鲜血液。</w:t>
      </w:r>
      <w:r>
        <w:rPr>
          <w:rFonts w:hint="eastAsia" w:hAnsi="宋体"/>
          <w:szCs w:val="28"/>
          <w:highlight w:val="none"/>
        </w:rPr>
        <w:t>该指标分值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分，自评得分为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分，得分率100%。</w:t>
      </w:r>
    </w:p>
    <w:p w14:paraId="40EAC162">
      <w:pPr>
        <w:ind w:firstLine="562"/>
        <w:rPr>
          <w:rFonts w:hint="eastAsia" w:hAnsi="宋体"/>
          <w:szCs w:val="28"/>
          <w:highlight w:val="none"/>
        </w:rPr>
      </w:pPr>
      <w:r>
        <w:rPr>
          <w:rFonts w:hint="eastAsia" w:hAnsi="宋体"/>
          <w:b/>
          <w:bCs/>
          <w:szCs w:val="28"/>
          <w:highlight w:val="none"/>
        </w:rPr>
        <w:t>信息化管理覆盖率：</w:t>
      </w:r>
      <w:r>
        <w:rPr>
          <w:rFonts w:hint="eastAsia" w:hAnsi="宋体"/>
          <w:szCs w:val="28"/>
          <w:highlight w:val="none"/>
        </w:rPr>
        <w:t>我院信息化管理覆盖率</w:t>
      </w:r>
      <w:r>
        <w:rPr>
          <w:rFonts w:hint="eastAsia" w:hAnsi="宋体"/>
          <w:szCs w:val="28"/>
          <w:highlight w:val="none"/>
          <w:lang w:val="en-US" w:eastAsia="zh-CN"/>
        </w:rPr>
        <w:t>100%，达到年度指标值</w:t>
      </w:r>
      <w:r>
        <w:rPr>
          <w:rFonts w:hint="eastAsia" w:hAnsi="宋体"/>
          <w:szCs w:val="28"/>
          <w:highlight w:val="none"/>
        </w:rPr>
        <w:t>该指标分值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分，自评得分为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分，得分率100%。</w:t>
      </w:r>
    </w:p>
    <w:p w14:paraId="18888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default" w:eastAsia="仿宋_GB2312"/>
          <w:highlight w:val="none"/>
          <w:lang w:val="en-US" w:eastAsia="zh-CN"/>
        </w:rPr>
      </w:pPr>
      <w:r>
        <w:rPr>
          <w:rFonts w:hint="eastAsia" w:hAnsi="宋体"/>
          <w:b/>
          <w:bCs/>
          <w:szCs w:val="28"/>
          <w:highlight w:val="none"/>
        </w:rPr>
        <w:t>（</w:t>
      </w:r>
      <w:r>
        <w:rPr>
          <w:rFonts w:hint="eastAsia" w:hAnsi="宋体"/>
          <w:b/>
          <w:bCs/>
          <w:szCs w:val="28"/>
          <w:highlight w:val="none"/>
          <w:lang w:val="en-US" w:eastAsia="zh-CN"/>
        </w:rPr>
        <w:t>2</w:t>
      </w:r>
      <w:r>
        <w:rPr>
          <w:rFonts w:hint="eastAsia" w:hAnsi="宋体"/>
          <w:b/>
          <w:bCs/>
          <w:szCs w:val="28"/>
          <w:highlight w:val="none"/>
        </w:rPr>
        <w:t>）</w:t>
      </w:r>
      <w:r>
        <w:rPr>
          <w:rFonts w:hint="eastAsia" w:hAnsi="宋体"/>
          <w:b/>
          <w:bCs/>
          <w:szCs w:val="28"/>
          <w:highlight w:val="none"/>
          <w:lang w:val="en-US" w:eastAsia="zh-CN"/>
        </w:rPr>
        <w:t>人力资源建设</w:t>
      </w:r>
    </w:p>
    <w:p w14:paraId="252F5950">
      <w:pPr>
        <w:pStyle w:val="5"/>
        <w:bidi w:val="0"/>
        <w:rPr>
          <w:rFonts w:hint="eastAsia" w:eastAsia="仿宋_GB2312"/>
          <w:b w:val="0"/>
          <w:bCs w:val="0"/>
          <w:highlight w:val="none"/>
          <w:lang w:eastAsia="zh-CN"/>
        </w:rPr>
      </w:pPr>
      <w:bookmarkStart w:id="65" w:name="_Toc40046034"/>
      <w:r>
        <w:rPr>
          <w:rFonts w:hint="eastAsia"/>
          <w:highlight w:val="none"/>
        </w:rPr>
        <w:t>人员培训机制完备性</w:t>
      </w:r>
      <w:r>
        <w:rPr>
          <w:rFonts w:hint="eastAsia"/>
          <w:highlight w:val="none"/>
          <w:lang w:eastAsia="zh-CN"/>
        </w:rPr>
        <w:t>：</w:t>
      </w:r>
      <w:r>
        <w:rPr>
          <w:rFonts w:hint="eastAsia"/>
          <w:b w:val="0"/>
          <w:bCs w:val="0"/>
          <w:highlight w:val="none"/>
          <w:lang w:val="en-US" w:eastAsia="zh-CN"/>
        </w:rPr>
        <w:t>我院本年度培训合格率达到100%，</w:t>
      </w:r>
      <w:r>
        <w:rPr>
          <w:rFonts w:hint="eastAsia"/>
          <w:b w:val="0"/>
          <w:bCs w:val="0"/>
          <w:lang w:val="en-US" w:eastAsia="zh-CN"/>
        </w:rPr>
        <w:t>年度指标设置有误。加强绩效管理，提高绩效目标编制的科学性、准确性。</w:t>
      </w:r>
      <w:r>
        <w:rPr>
          <w:rFonts w:hint="eastAsia"/>
          <w:b w:val="0"/>
          <w:bCs w:val="0"/>
          <w:highlight w:val="none"/>
          <w:lang w:eastAsia="zh-CN"/>
        </w:rPr>
        <w:t>该指标分值</w:t>
      </w:r>
      <w:r>
        <w:rPr>
          <w:rFonts w:hint="eastAsia"/>
          <w:b w:val="0"/>
          <w:bCs w:val="0"/>
          <w:highlight w:val="none"/>
          <w:lang w:val="en-US" w:eastAsia="zh-CN"/>
        </w:rPr>
        <w:t>2</w:t>
      </w:r>
      <w:r>
        <w:rPr>
          <w:rFonts w:hint="eastAsia"/>
          <w:b w:val="0"/>
          <w:bCs w:val="0"/>
          <w:highlight w:val="none"/>
          <w:lang w:eastAsia="zh-CN"/>
        </w:rPr>
        <w:t>分，自评得分为</w:t>
      </w:r>
      <w:r>
        <w:rPr>
          <w:rFonts w:hint="eastAsia"/>
          <w:b w:val="0"/>
          <w:bCs w:val="0"/>
          <w:highlight w:val="none"/>
          <w:lang w:val="en-US" w:eastAsia="zh-CN"/>
        </w:rPr>
        <w:t>1.62</w:t>
      </w:r>
      <w:r>
        <w:rPr>
          <w:rFonts w:hint="eastAsia"/>
          <w:b w:val="0"/>
          <w:bCs w:val="0"/>
          <w:highlight w:val="none"/>
          <w:lang w:eastAsia="zh-CN"/>
        </w:rPr>
        <w:t>分，得分率为</w:t>
      </w:r>
      <w:r>
        <w:rPr>
          <w:rFonts w:hint="eastAsia"/>
          <w:b w:val="0"/>
          <w:bCs w:val="0"/>
          <w:highlight w:val="none"/>
          <w:lang w:val="en-US" w:eastAsia="zh-CN"/>
        </w:rPr>
        <w:t>81</w:t>
      </w:r>
      <w:r>
        <w:rPr>
          <w:rFonts w:hint="eastAsia"/>
          <w:b w:val="0"/>
          <w:bCs w:val="0"/>
          <w:highlight w:val="none"/>
          <w:lang w:eastAsia="zh-CN"/>
        </w:rPr>
        <w:t>%。</w:t>
      </w:r>
    </w:p>
    <w:p w14:paraId="540C3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default" w:eastAsia="仿宋_GB2312"/>
          <w:highlight w:val="none"/>
          <w:lang w:val="en-US" w:eastAsia="zh-CN"/>
        </w:rPr>
      </w:pPr>
      <w:r>
        <w:rPr>
          <w:rFonts w:hint="eastAsia" w:hAnsi="宋体"/>
          <w:b/>
          <w:bCs/>
          <w:szCs w:val="28"/>
          <w:highlight w:val="none"/>
        </w:rPr>
        <w:t>（</w:t>
      </w:r>
      <w:r>
        <w:rPr>
          <w:rFonts w:hint="eastAsia" w:hAnsi="宋体"/>
          <w:b/>
          <w:bCs/>
          <w:szCs w:val="28"/>
          <w:highlight w:val="none"/>
          <w:lang w:val="en-US" w:eastAsia="zh-CN"/>
        </w:rPr>
        <w:t>3</w:t>
      </w:r>
      <w:r>
        <w:rPr>
          <w:rFonts w:hint="eastAsia" w:hAnsi="宋体"/>
          <w:b/>
          <w:bCs/>
          <w:szCs w:val="28"/>
          <w:highlight w:val="none"/>
        </w:rPr>
        <w:t>）</w:t>
      </w:r>
      <w:r>
        <w:rPr>
          <w:rFonts w:hint="eastAsia" w:hAnsi="宋体"/>
          <w:b/>
          <w:bCs/>
          <w:szCs w:val="28"/>
          <w:highlight w:val="none"/>
          <w:lang w:val="en-US" w:eastAsia="zh-CN"/>
        </w:rPr>
        <w:t>档案管理</w:t>
      </w:r>
    </w:p>
    <w:p w14:paraId="14D20443">
      <w:pPr>
        <w:ind w:firstLine="562"/>
        <w:rPr>
          <w:rFonts w:hint="eastAsia" w:eastAsia="仿宋_GB2312"/>
          <w:highlight w:val="none"/>
          <w:lang w:eastAsia="zh-CN"/>
        </w:rPr>
      </w:pPr>
      <w:r>
        <w:rPr>
          <w:rFonts w:hint="eastAsia"/>
          <w:highlight w:val="none"/>
        </w:rPr>
        <w:t>档案管理完备性</w:t>
      </w:r>
      <w:r>
        <w:rPr>
          <w:rFonts w:hint="eastAsia"/>
          <w:highlight w:val="none"/>
          <w:lang w:eastAsia="zh-CN"/>
        </w:rPr>
        <w:t>：</w:t>
      </w:r>
      <w:r>
        <w:rPr>
          <w:rFonts w:hint="eastAsia" w:hAnsi="宋体"/>
          <w:szCs w:val="28"/>
          <w:highlight w:val="none"/>
        </w:rPr>
        <w:t>我院严格规范和完善各项档案管理工作，在档案收集、保管方面管理到位，有效执行，并设有档案管理的专职人员，</w:t>
      </w:r>
      <w:r>
        <w:rPr>
          <w:rFonts w:hint="eastAsia" w:hAnsi="宋体"/>
          <w:szCs w:val="28"/>
          <w:highlight w:val="none"/>
          <w:lang w:val="en-US" w:eastAsia="zh-CN"/>
        </w:rPr>
        <w:t>档案保存完好，</w:t>
      </w:r>
      <w:r>
        <w:rPr>
          <w:rFonts w:hint="eastAsia"/>
          <w:highlight w:val="none"/>
        </w:rPr>
        <w:t>达到年度指标值。</w:t>
      </w:r>
      <w:r>
        <w:rPr>
          <w:rFonts w:hint="eastAsia" w:hAnsi="宋体"/>
          <w:szCs w:val="28"/>
          <w:highlight w:val="none"/>
        </w:rPr>
        <w:t>该指标分值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分，自评得分为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分，得分率100%。</w:t>
      </w:r>
    </w:p>
    <w:bookmarkEnd w:id="65"/>
    <w:p w14:paraId="102D63BC">
      <w:pPr>
        <w:pStyle w:val="4"/>
        <w:bidi w:val="0"/>
        <w:ind w:left="0" w:leftChars="0" w:firstLine="321" w:firstLineChars="100"/>
        <w:rPr>
          <w:rFonts w:hint="eastAsia"/>
          <w:highlight w:val="none"/>
        </w:rPr>
      </w:pPr>
      <w:bookmarkStart w:id="66" w:name="_Toc3174"/>
      <w:bookmarkStart w:id="67" w:name="_Toc16525"/>
      <w:bookmarkStart w:id="68" w:name="_Toc12558"/>
      <w:bookmarkStart w:id="69" w:name="_Toc16731"/>
      <w:bookmarkStart w:id="70" w:name="_Toc8384"/>
      <w:bookmarkStart w:id="71" w:name="_Toc40046035"/>
      <w:r>
        <w:rPr>
          <w:rFonts w:hint="eastAsia"/>
          <w:highlight w:val="none"/>
          <w:lang w:eastAsia="zh-CN"/>
        </w:rPr>
        <w:t>（四）</w:t>
      </w:r>
      <w:r>
        <w:rPr>
          <w:rFonts w:hint="eastAsia"/>
          <w:highlight w:val="none"/>
        </w:rPr>
        <w:t>偏离绩效目标的原因及下一步改进措施</w:t>
      </w:r>
      <w:bookmarkEnd w:id="66"/>
      <w:bookmarkEnd w:id="67"/>
      <w:bookmarkEnd w:id="68"/>
      <w:bookmarkEnd w:id="69"/>
      <w:bookmarkEnd w:id="70"/>
      <w:bookmarkEnd w:id="71"/>
    </w:p>
    <w:p w14:paraId="5CC24ACE">
      <w:pPr>
        <w:bidi w:val="0"/>
        <w:rPr>
          <w:rFonts w:hint="eastAsia"/>
          <w:b w:val="0"/>
          <w:bCs w:val="0"/>
          <w:highlight w:val="none"/>
          <w:lang w:val="en-US" w:eastAsia="zh-CN"/>
        </w:rPr>
      </w:pPr>
      <w:bookmarkStart w:id="72" w:name="_Toc16890"/>
      <w:bookmarkStart w:id="73" w:name="_Toc8740"/>
      <w:bookmarkStart w:id="74" w:name="_Toc2045"/>
      <w:r>
        <w:rPr>
          <w:rFonts w:hint="eastAsia"/>
          <w:b/>
          <w:bCs/>
          <w:highlight w:val="none"/>
          <w:lang w:val="en-US" w:eastAsia="zh-CN"/>
        </w:rPr>
        <w:t>部分指标未达到目标值：</w:t>
      </w:r>
      <w:r>
        <w:rPr>
          <w:rFonts w:hint="eastAsia"/>
          <w:highlight w:val="none"/>
        </w:rPr>
        <w:t>人员培训机制完备性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b w:val="0"/>
          <w:bCs w:val="0"/>
          <w:highlight w:val="none"/>
          <w:lang w:val="en-US" w:eastAsia="zh-CN"/>
        </w:rPr>
        <w:t>指标目标值设置有误导致扣分，</w:t>
      </w:r>
      <w:r>
        <w:rPr>
          <w:rFonts w:hint="eastAsia"/>
          <w:highlight w:val="none"/>
          <w:lang w:val="en-US" w:eastAsia="zh-CN"/>
        </w:rPr>
        <w:t>下年度我院将加强预算绩效知识学习，合理设置年度指标值。</w:t>
      </w:r>
    </w:p>
    <w:p w14:paraId="00EEBE39">
      <w:pPr>
        <w:pStyle w:val="3"/>
        <w:rPr>
          <w:highlight w:val="none"/>
        </w:rPr>
      </w:pPr>
      <w:bookmarkStart w:id="75" w:name="_Toc5948"/>
      <w:r>
        <w:rPr>
          <w:rFonts w:hint="eastAsia"/>
          <w:highlight w:val="none"/>
        </w:rPr>
        <w:t>四、部门预算项目支出绩效自评情况分析</w:t>
      </w:r>
      <w:bookmarkEnd w:id="72"/>
      <w:bookmarkEnd w:id="73"/>
      <w:bookmarkEnd w:id="74"/>
      <w:bookmarkEnd w:id="75"/>
    </w:p>
    <w:p w14:paraId="5FC18328">
      <w:pPr>
        <w:ind w:firstLine="560"/>
        <w:rPr>
          <w:rFonts w:hAnsi="宋体"/>
          <w:szCs w:val="28"/>
          <w:highlight w:val="none"/>
        </w:rPr>
      </w:pPr>
      <w:r>
        <w:rPr>
          <w:rFonts w:hint="eastAsia" w:hAnsi="宋体"/>
          <w:szCs w:val="28"/>
          <w:highlight w:val="none"/>
          <w:lang w:eastAsia="zh-CN"/>
        </w:rPr>
        <w:t>202</w:t>
      </w:r>
      <w:r>
        <w:rPr>
          <w:rFonts w:hint="eastAsia" w:hAnsi="宋体"/>
          <w:szCs w:val="28"/>
          <w:highlight w:val="none"/>
          <w:lang w:val="en-US" w:eastAsia="zh-CN"/>
        </w:rPr>
        <w:t>3</w:t>
      </w:r>
      <w:r>
        <w:rPr>
          <w:rFonts w:hint="eastAsia" w:hAnsi="宋体"/>
          <w:szCs w:val="28"/>
          <w:highlight w:val="none"/>
        </w:rPr>
        <w:t>年，我院预算支出项目为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个，通过自评，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个项目结果为“优”</w:t>
      </w:r>
      <w:r>
        <w:rPr>
          <w:rFonts w:hint="eastAsia" w:hAnsi="宋体"/>
          <w:szCs w:val="28"/>
          <w:highlight w:val="none"/>
          <w:lang w:val="en-US" w:eastAsia="zh-CN"/>
        </w:rPr>
        <w:t>。</w:t>
      </w:r>
      <w:r>
        <w:rPr>
          <w:rFonts w:hint="eastAsia" w:hAnsi="宋体"/>
          <w:szCs w:val="28"/>
          <w:highlight w:val="none"/>
        </w:rPr>
        <w:t>分项目自评情况分析如下：</w:t>
      </w:r>
    </w:p>
    <w:p w14:paraId="45C03AA9">
      <w:pPr>
        <w:pStyle w:val="4"/>
        <w:bidi w:val="0"/>
        <w:rPr>
          <w:rFonts w:hint="eastAsia" w:eastAsia="楷体"/>
          <w:highlight w:val="none"/>
          <w:lang w:val="en-US" w:eastAsia="zh-CN"/>
        </w:rPr>
      </w:pPr>
      <w:bookmarkStart w:id="76" w:name="_Toc4248"/>
      <w:bookmarkStart w:id="77" w:name="_Toc22792"/>
      <w:bookmarkStart w:id="78" w:name="_Toc40046039"/>
      <w:bookmarkStart w:id="79" w:name="_Toc16262"/>
      <w:bookmarkStart w:id="80" w:name="_Toc28366"/>
      <w:r>
        <w:rPr>
          <w:rFonts w:hint="eastAsia"/>
          <w:highlight w:val="none"/>
          <w:lang w:eastAsia="zh-CN"/>
        </w:rPr>
        <w:t>（一）</w:t>
      </w:r>
      <w:bookmarkEnd w:id="76"/>
      <w:bookmarkEnd w:id="77"/>
      <w:bookmarkEnd w:id="78"/>
      <w:bookmarkEnd w:id="79"/>
      <w:r>
        <w:rPr>
          <w:rFonts w:hint="eastAsia"/>
          <w:highlight w:val="none"/>
          <w:lang w:val="en-US" w:eastAsia="zh-CN"/>
        </w:rPr>
        <w:t>业务费</w:t>
      </w:r>
      <w:bookmarkEnd w:id="80"/>
    </w:p>
    <w:p w14:paraId="7C045B26">
      <w:pPr>
        <w:rPr>
          <w:highlight w:val="none"/>
        </w:rPr>
      </w:pPr>
      <w:bookmarkStart w:id="81" w:name="_Toc40046040"/>
      <w:r>
        <w:rPr>
          <w:rFonts w:hint="eastAsia"/>
          <w:highlight w:val="none"/>
        </w:rPr>
        <w:t>本次绩效自评综合评定202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法庭业务费</w:t>
      </w:r>
      <w:r>
        <w:rPr>
          <w:rFonts w:hint="eastAsia"/>
          <w:highlight w:val="none"/>
        </w:rPr>
        <w:t>项目支出绩效得分为</w:t>
      </w:r>
      <w:r>
        <w:rPr>
          <w:rFonts w:hint="eastAsia"/>
          <w:highlight w:val="none"/>
          <w:lang w:val="en-US" w:eastAsia="zh-CN"/>
        </w:rPr>
        <w:t>100</w:t>
      </w:r>
      <w:r>
        <w:rPr>
          <w:rFonts w:hint="eastAsia"/>
          <w:highlight w:val="none"/>
        </w:rPr>
        <w:t>分，绩效等级为“优”。项目支出绩效评价包括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项目资金预算执行率</w:t>
      </w:r>
      <w:r>
        <w:rPr>
          <w:rFonts w:hint="eastAsia" w:ascii="仿宋_GB2312" w:hAnsi="仿宋_GB2312" w:cs="仿宋_GB2312"/>
          <w:highlight w:val="none"/>
          <w:lang w:val="en-US" w:eastAsia="zh-CN"/>
        </w:rPr>
        <w:t>、</w:t>
      </w:r>
      <w:r>
        <w:rPr>
          <w:rFonts w:hint="eastAsia" w:cs="仿宋_GB2312"/>
          <w:highlight w:val="none"/>
          <w:lang w:val="en-US" w:eastAsia="zh-CN"/>
        </w:rPr>
        <w:t>成本、</w:t>
      </w:r>
      <w:r>
        <w:rPr>
          <w:rFonts w:hint="eastAsia"/>
          <w:highlight w:val="none"/>
        </w:rPr>
        <w:t>产出、效益、满意度</w:t>
      </w:r>
      <w:r>
        <w:rPr>
          <w:rFonts w:hint="eastAsia"/>
          <w:highlight w:val="none"/>
          <w:lang w:val="en-US" w:eastAsia="zh-CN"/>
        </w:rPr>
        <w:t>五</w:t>
      </w:r>
      <w:r>
        <w:rPr>
          <w:rFonts w:hint="eastAsia"/>
          <w:highlight w:val="none"/>
        </w:rPr>
        <w:t>个一级指标，下设</w:t>
      </w:r>
      <w:r>
        <w:rPr>
          <w:rFonts w:hint="eastAsia"/>
          <w:highlight w:val="none"/>
          <w:lang w:val="en-US" w:eastAsia="zh-CN"/>
        </w:rPr>
        <w:t>8</w:t>
      </w:r>
      <w:r>
        <w:rPr>
          <w:rFonts w:hint="eastAsia"/>
          <w:highlight w:val="none"/>
        </w:rPr>
        <w:t>个二级指标和</w:t>
      </w:r>
      <w:r>
        <w:rPr>
          <w:rFonts w:hint="eastAsia"/>
          <w:highlight w:val="none"/>
          <w:lang w:val="en-US" w:eastAsia="zh-CN"/>
        </w:rPr>
        <w:t>20</w:t>
      </w:r>
      <w:r>
        <w:rPr>
          <w:rFonts w:hint="eastAsia"/>
          <w:highlight w:val="none"/>
        </w:rPr>
        <w:t>个三级指标。项目资金预算执行率</w:t>
      </w:r>
      <w:r>
        <w:rPr>
          <w:rFonts w:hint="eastAsia"/>
          <w:highlight w:val="none"/>
          <w:lang w:val="en-US" w:eastAsia="zh-CN"/>
        </w:rPr>
        <w:t>100</w:t>
      </w:r>
      <w:r>
        <w:rPr>
          <w:rFonts w:hint="eastAsia"/>
          <w:highlight w:val="none"/>
        </w:rPr>
        <w:t>%，一级指标得分情况详见下表 ：</w:t>
      </w:r>
    </w:p>
    <w:tbl>
      <w:tblPr>
        <w:tblStyle w:val="22"/>
        <w:tblW w:w="903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1678"/>
        <w:gridCol w:w="1560"/>
        <w:gridCol w:w="2268"/>
      </w:tblGrid>
      <w:tr w14:paraId="3CB8E6B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 w14:paraId="7D7CA2E2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  <w:t>一级指标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6EE6BC36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  <w:t>分值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293F7BB6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  <w:t>自评得分</w:t>
            </w:r>
          </w:p>
        </w:tc>
        <w:tc>
          <w:tcPr>
            <w:tcW w:w="2268" w:type="dxa"/>
            <w:shd w:val="clear" w:color="auto" w:fill="BDD6EE"/>
            <w:vAlign w:val="center"/>
          </w:tcPr>
          <w:p w14:paraId="2C5452DD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  <w:t>得分率</w:t>
            </w:r>
          </w:p>
        </w:tc>
      </w:tr>
      <w:tr w14:paraId="3416A44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533" w:type="dxa"/>
            <w:vAlign w:val="center"/>
          </w:tcPr>
          <w:p w14:paraId="065728FD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预算执行率</w:t>
            </w:r>
          </w:p>
        </w:tc>
        <w:tc>
          <w:tcPr>
            <w:tcW w:w="1678" w:type="dxa"/>
            <w:vAlign w:val="center"/>
          </w:tcPr>
          <w:p w14:paraId="4CE1AD70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560" w:type="dxa"/>
            <w:vAlign w:val="center"/>
          </w:tcPr>
          <w:p w14:paraId="1D70AE5E">
            <w:pPr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2268" w:type="dxa"/>
            <w:vAlign w:val="center"/>
          </w:tcPr>
          <w:p w14:paraId="3C81F2D1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  <w:tr w14:paraId="3C76451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 w14:paraId="014ADF2E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成本指标</w:t>
            </w:r>
          </w:p>
        </w:tc>
        <w:tc>
          <w:tcPr>
            <w:tcW w:w="1678" w:type="dxa"/>
            <w:vAlign w:val="center"/>
          </w:tcPr>
          <w:p w14:paraId="3B146791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560" w:type="dxa"/>
            <w:vAlign w:val="center"/>
          </w:tcPr>
          <w:p w14:paraId="1EAAD2C5">
            <w:pPr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2268" w:type="dxa"/>
            <w:vAlign w:val="center"/>
          </w:tcPr>
          <w:p w14:paraId="29E78341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  <w:tr w14:paraId="72D45FA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 w14:paraId="0B2A8C1E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产出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指标</w:t>
            </w:r>
          </w:p>
        </w:tc>
        <w:tc>
          <w:tcPr>
            <w:tcW w:w="1678" w:type="dxa"/>
            <w:vAlign w:val="center"/>
          </w:tcPr>
          <w:p w14:paraId="4DD6903D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560" w:type="dxa"/>
            <w:vAlign w:val="center"/>
          </w:tcPr>
          <w:p w14:paraId="5CB3C0E9">
            <w:pPr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2268" w:type="dxa"/>
            <w:vAlign w:val="center"/>
          </w:tcPr>
          <w:p w14:paraId="3F5BE889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  <w:tr w14:paraId="7D4B338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 w14:paraId="394C36FA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效益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指标</w:t>
            </w:r>
          </w:p>
        </w:tc>
        <w:tc>
          <w:tcPr>
            <w:tcW w:w="1678" w:type="dxa"/>
            <w:vAlign w:val="center"/>
          </w:tcPr>
          <w:p w14:paraId="660CCDA3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560" w:type="dxa"/>
            <w:vAlign w:val="center"/>
          </w:tcPr>
          <w:p w14:paraId="7234BB5B">
            <w:pPr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2268" w:type="dxa"/>
            <w:vAlign w:val="center"/>
          </w:tcPr>
          <w:p w14:paraId="5EA0F161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  <w:tr w14:paraId="0F74838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auto"/>
            <w:vAlign w:val="center"/>
          </w:tcPr>
          <w:p w14:paraId="2DD39572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满意度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指标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E472915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44C3BB">
            <w:pPr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10E511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100%</w:t>
            </w:r>
          </w:p>
        </w:tc>
      </w:tr>
      <w:tr w14:paraId="5156A8E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 w14:paraId="7F9DC715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82" w:firstLineChars="20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  <w:t>合计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2694C697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44AAB5FB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  <w:tc>
          <w:tcPr>
            <w:tcW w:w="2268" w:type="dxa"/>
            <w:shd w:val="clear" w:color="auto" w:fill="BDD6EE"/>
            <w:vAlign w:val="center"/>
          </w:tcPr>
          <w:p w14:paraId="3FC0FB08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</w:tbl>
    <w:p w14:paraId="71E35F11">
      <w:pPr>
        <w:pStyle w:val="5"/>
        <w:ind w:firstLine="562"/>
        <w:rPr>
          <w:szCs w:val="28"/>
          <w:highlight w:val="none"/>
        </w:rPr>
      </w:pPr>
      <w:r>
        <w:rPr>
          <w:rFonts w:hint="eastAsia"/>
          <w:szCs w:val="28"/>
          <w:highlight w:val="none"/>
        </w:rPr>
        <w:t>1</w:t>
      </w:r>
      <w:r>
        <w:rPr>
          <w:rFonts w:hint="eastAsia"/>
          <w:szCs w:val="28"/>
          <w:highlight w:val="none"/>
          <w:lang w:eastAsia="zh-CN"/>
        </w:rPr>
        <w:t>.</w:t>
      </w:r>
      <w:r>
        <w:rPr>
          <w:rFonts w:hint="eastAsia"/>
          <w:szCs w:val="28"/>
          <w:highlight w:val="none"/>
        </w:rPr>
        <w:t>项目支出预算执行情况</w:t>
      </w:r>
      <w:bookmarkEnd w:id="81"/>
    </w:p>
    <w:p w14:paraId="4A53A69F">
      <w:pPr>
        <w:ind w:firstLine="560"/>
        <w:rPr>
          <w:szCs w:val="28"/>
          <w:highlight w:val="none"/>
        </w:rPr>
      </w:pPr>
      <w:r>
        <w:rPr>
          <w:rFonts w:hint="eastAsia"/>
          <w:highlight w:val="none"/>
        </w:rPr>
        <w:t>法庭</w:t>
      </w:r>
      <w:r>
        <w:rPr>
          <w:rFonts w:hint="eastAsia"/>
          <w:highlight w:val="none"/>
          <w:lang w:val="en-US" w:eastAsia="zh-CN"/>
        </w:rPr>
        <w:t>业务费</w:t>
      </w:r>
      <w:r>
        <w:rPr>
          <w:rFonts w:hint="eastAsia"/>
          <w:szCs w:val="28"/>
          <w:highlight w:val="none"/>
        </w:rPr>
        <w:t>项目年初预算数</w:t>
      </w:r>
      <w:r>
        <w:rPr>
          <w:rFonts w:hint="eastAsia"/>
          <w:szCs w:val="28"/>
          <w:highlight w:val="none"/>
          <w:lang w:val="en-US" w:eastAsia="zh-CN"/>
        </w:rPr>
        <w:t>为105.00万元，</w:t>
      </w:r>
      <w:r>
        <w:rPr>
          <w:rFonts w:hint="eastAsia"/>
          <w:szCs w:val="28"/>
          <w:highlight w:val="none"/>
        </w:rPr>
        <w:t>全年预算数以及全年执行数</w:t>
      </w:r>
      <w:r>
        <w:rPr>
          <w:rFonts w:hint="eastAsia"/>
          <w:szCs w:val="28"/>
          <w:highlight w:val="none"/>
          <w:lang w:eastAsia="zh-CN"/>
        </w:rPr>
        <w:t>均为</w:t>
      </w:r>
      <w:r>
        <w:rPr>
          <w:rFonts w:hint="eastAsia"/>
          <w:szCs w:val="28"/>
          <w:highlight w:val="none"/>
          <w:lang w:val="en-US" w:eastAsia="zh-CN"/>
        </w:rPr>
        <w:t>120.00</w:t>
      </w:r>
      <w:r>
        <w:rPr>
          <w:rFonts w:hint="eastAsia"/>
          <w:szCs w:val="28"/>
          <w:highlight w:val="none"/>
        </w:rPr>
        <w:t>万元，预算执行率100%，</w:t>
      </w:r>
      <w:r>
        <w:rPr>
          <w:rFonts w:hint="eastAsia"/>
          <w:szCs w:val="28"/>
          <w:highlight w:val="none"/>
          <w:lang w:val="en-US" w:eastAsia="zh-CN"/>
        </w:rPr>
        <w:t>分值</w:t>
      </w:r>
      <w:r>
        <w:rPr>
          <w:rFonts w:hint="eastAsia"/>
          <w:szCs w:val="28"/>
          <w:highlight w:val="none"/>
        </w:rPr>
        <w:t>10分，得分10分。</w:t>
      </w:r>
    </w:p>
    <w:p w14:paraId="3E233EE8">
      <w:pPr>
        <w:pStyle w:val="5"/>
        <w:ind w:firstLine="562"/>
        <w:rPr>
          <w:szCs w:val="28"/>
          <w:highlight w:val="none"/>
        </w:rPr>
      </w:pPr>
      <w:bookmarkStart w:id="82" w:name="_Toc40046041"/>
      <w:r>
        <w:rPr>
          <w:rFonts w:hint="eastAsia"/>
          <w:szCs w:val="28"/>
          <w:highlight w:val="none"/>
        </w:rPr>
        <w:t>2</w:t>
      </w:r>
      <w:r>
        <w:rPr>
          <w:rFonts w:hint="eastAsia"/>
          <w:szCs w:val="28"/>
          <w:highlight w:val="none"/>
          <w:lang w:eastAsia="zh-CN"/>
        </w:rPr>
        <w:t>.</w:t>
      </w:r>
      <w:r>
        <w:rPr>
          <w:rFonts w:hint="eastAsia"/>
          <w:szCs w:val="28"/>
          <w:highlight w:val="none"/>
        </w:rPr>
        <w:t>总体绩效目标完成情况分析</w:t>
      </w:r>
      <w:bookmarkEnd w:id="82"/>
    </w:p>
    <w:p w14:paraId="371831AF">
      <w:pPr>
        <w:pStyle w:val="19"/>
        <w:rPr>
          <w:rFonts w:hint="eastAsia"/>
          <w:highlight w:val="none"/>
          <w:lang w:val="en-US" w:eastAsia="zh-CN"/>
        </w:rPr>
      </w:pPr>
      <w:bookmarkStart w:id="83" w:name="_Toc40046042"/>
      <w:r>
        <w:rPr>
          <w:rFonts w:hint="eastAsia"/>
          <w:highlight w:val="none"/>
          <w:lang w:val="en-US" w:eastAsia="zh-CN"/>
        </w:rPr>
        <w:t>项目总体绩效完成情况：通过法庭运维经费的投入，确保我院基层人民法庭办案办公的正常开展，更好地执行及维护国家法制、法律的权威，维护社会稳定和谐。我院2023年法庭运维费执行率为100%，圆满完成预期目标。</w:t>
      </w:r>
    </w:p>
    <w:p w14:paraId="396A84AC">
      <w:pPr>
        <w:pStyle w:val="5"/>
        <w:bidi w:val="0"/>
        <w:rPr>
          <w:highlight w:val="none"/>
        </w:rPr>
      </w:pPr>
      <w:r>
        <w:rPr>
          <w:rFonts w:hint="eastAsia"/>
          <w:highlight w:val="none"/>
        </w:rPr>
        <w:t>3</w:t>
      </w:r>
      <w:r>
        <w:rPr>
          <w:rFonts w:hint="eastAsia"/>
          <w:highlight w:val="none"/>
          <w:lang w:eastAsia="zh-CN"/>
        </w:rPr>
        <w:t>.</w:t>
      </w:r>
      <w:r>
        <w:rPr>
          <w:rFonts w:hint="eastAsia"/>
          <w:highlight w:val="none"/>
        </w:rPr>
        <w:t>各项指标完成情况分析</w:t>
      </w:r>
      <w:bookmarkEnd w:id="83"/>
    </w:p>
    <w:p w14:paraId="5DE2541A">
      <w:pPr>
        <w:ind w:firstLine="562"/>
        <w:rPr>
          <w:b/>
          <w:bCs/>
          <w:szCs w:val="28"/>
          <w:highlight w:val="none"/>
        </w:rPr>
      </w:pPr>
      <w:r>
        <w:rPr>
          <w:rFonts w:hint="eastAsia"/>
          <w:b/>
          <w:bCs/>
          <w:szCs w:val="28"/>
          <w:highlight w:val="none"/>
        </w:rPr>
        <w:t>（1）</w:t>
      </w:r>
      <w:r>
        <w:rPr>
          <w:rFonts w:hint="eastAsia"/>
          <w:b/>
          <w:bCs/>
          <w:szCs w:val="28"/>
          <w:highlight w:val="none"/>
          <w:lang w:val="en-US" w:eastAsia="zh-CN"/>
        </w:rPr>
        <w:t>成本</w:t>
      </w:r>
      <w:r>
        <w:rPr>
          <w:rFonts w:hint="eastAsia"/>
          <w:b/>
          <w:bCs/>
          <w:szCs w:val="28"/>
          <w:highlight w:val="none"/>
        </w:rPr>
        <w:t>指标</w:t>
      </w:r>
    </w:p>
    <w:p w14:paraId="2BF491CB">
      <w:pPr>
        <w:ind w:firstLine="562"/>
        <w:rPr>
          <w:rFonts w:hint="default" w:eastAsia="仿宋_GB2312"/>
          <w:b w:val="0"/>
          <w:bCs w:val="0"/>
          <w:szCs w:val="28"/>
          <w:highlight w:val="none"/>
          <w:lang w:val="en-US" w:eastAsia="zh-CN"/>
        </w:rPr>
      </w:pPr>
      <w:r>
        <w:rPr>
          <w:rFonts w:hint="eastAsia"/>
          <w:b/>
          <w:bCs/>
          <w:szCs w:val="28"/>
          <w:highlight w:val="none"/>
        </w:rPr>
        <w:t>成本控制情况</w:t>
      </w:r>
      <w:r>
        <w:rPr>
          <w:rFonts w:hint="eastAsia"/>
          <w:b/>
          <w:bCs/>
          <w:szCs w:val="28"/>
          <w:highlight w:val="none"/>
          <w:lang w:eastAsia="zh-CN"/>
        </w:rPr>
        <w:t>：</w:t>
      </w:r>
      <w:r>
        <w:rPr>
          <w:rFonts w:hint="eastAsia"/>
          <w:b w:val="0"/>
          <w:bCs w:val="0"/>
          <w:szCs w:val="28"/>
          <w:highlight w:val="none"/>
          <w:lang w:val="en-US" w:eastAsia="zh-CN"/>
        </w:rPr>
        <w:t>我院本年度法院业务费全年预算数和执行数均为120万元，</w:t>
      </w:r>
      <w:r>
        <w:rPr>
          <w:rFonts w:hint="eastAsia" w:hAnsi="宋体" w:cs="宋体"/>
          <w:kern w:val="0"/>
          <w:szCs w:val="28"/>
          <w:highlight w:val="none"/>
          <w:lang w:eastAsia="zh-CN"/>
        </w:rPr>
        <w:t>成本控制在</w:t>
      </w:r>
      <w:r>
        <w:rPr>
          <w:rFonts w:hint="eastAsia" w:hAnsi="宋体" w:cs="宋体"/>
          <w:kern w:val="0"/>
          <w:szCs w:val="28"/>
          <w:highlight w:val="none"/>
        </w:rPr>
        <w:t>全年预算数</w:t>
      </w:r>
      <w:r>
        <w:rPr>
          <w:rFonts w:hint="eastAsia" w:hAnsi="宋体" w:cs="宋体"/>
          <w:kern w:val="0"/>
          <w:szCs w:val="28"/>
          <w:highlight w:val="none"/>
          <w:lang w:eastAsia="zh-CN"/>
        </w:rPr>
        <w:t>以内</w:t>
      </w:r>
      <w:r>
        <w:rPr>
          <w:rFonts w:hint="eastAsia" w:hAnsi="宋体" w:cs="宋体"/>
          <w:kern w:val="0"/>
          <w:szCs w:val="28"/>
          <w:highlight w:val="none"/>
        </w:rPr>
        <w:t>，</w:t>
      </w:r>
      <w:r>
        <w:rPr>
          <w:rFonts w:hint="eastAsia" w:hAnsi="宋体" w:cs="宋体"/>
          <w:kern w:val="0"/>
          <w:szCs w:val="28"/>
        </w:rPr>
        <w:t>符合年度指标值的要求。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20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分，自评得分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20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得分率100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%。</w:t>
      </w:r>
    </w:p>
    <w:p w14:paraId="2CFD049A">
      <w:pPr>
        <w:ind w:firstLine="562"/>
        <w:rPr>
          <w:b/>
          <w:bCs/>
          <w:szCs w:val="28"/>
          <w:highlight w:val="none"/>
        </w:rPr>
      </w:pPr>
      <w:r>
        <w:rPr>
          <w:rFonts w:hint="eastAsia"/>
          <w:b/>
          <w:bCs/>
          <w:szCs w:val="28"/>
          <w:highlight w:val="none"/>
        </w:rPr>
        <w:t>（</w:t>
      </w:r>
      <w:r>
        <w:rPr>
          <w:rFonts w:hint="eastAsia"/>
          <w:b/>
          <w:bCs/>
          <w:szCs w:val="28"/>
          <w:highlight w:val="none"/>
          <w:lang w:val="en-US" w:eastAsia="zh-CN"/>
        </w:rPr>
        <w:t>2</w:t>
      </w:r>
      <w:r>
        <w:rPr>
          <w:rFonts w:hint="eastAsia"/>
          <w:b/>
          <w:bCs/>
          <w:szCs w:val="28"/>
          <w:highlight w:val="none"/>
        </w:rPr>
        <w:t>）产出指标</w:t>
      </w:r>
    </w:p>
    <w:p w14:paraId="22BE183E">
      <w:pPr>
        <w:ind w:firstLine="560"/>
        <w:rPr>
          <w:rFonts w:cs="仿宋_GB2312"/>
          <w:szCs w:val="28"/>
          <w:highlight w:val="none"/>
        </w:rPr>
      </w:pPr>
      <w:r>
        <w:rPr>
          <w:rFonts w:hint="eastAsia" w:cs="仿宋_GB2312"/>
          <w:szCs w:val="28"/>
          <w:highlight w:val="none"/>
        </w:rPr>
        <w:t>产出指标下设数量</w:t>
      </w:r>
      <w:r>
        <w:rPr>
          <w:rFonts w:hint="eastAsia" w:cs="仿宋_GB2312"/>
          <w:szCs w:val="28"/>
          <w:highlight w:val="none"/>
          <w:lang w:eastAsia="zh-CN"/>
        </w:rPr>
        <w:t>、</w:t>
      </w:r>
      <w:r>
        <w:rPr>
          <w:rFonts w:hint="eastAsia" w:cs="仿宋_GB2312"/>
          <w:szCs w:val="28"/>
          <w:highlight w:val="none"/>
        </w:rPr>
        <w:t>质量</w:t>
      </w:r>
      <w:r>
        <w:rPr>
          <w:rFonts w:hint="eastAsia" w:cs="仿宋_GB2312"/>
          <w:szCs w:val="28"/>
          <w:highlight w:val="none"/>
          <w:lang w:eastAsia="zh-CN"/>
        </w:rPr>
        <w:t>、时效</w:t>
      </w:r>
      <w:r>
        <w:rPr>
          <w:rFonts w:hint="eastAsia" w:cs="仿宋_GB2312"/>
          <w:szCs w:val="28"/>
          <w:highlight w:val="none"/>
          <w:lang w:val="en-US" w:eastAsia="zh-CN"/>
        </w:rPr>
        <w:t>3</w:t>
      </w:r>
      <w:r>
        <w:rPr>
          <w:rFonts w:hint="eastAsia" w:cs="仿宋_GB2312"/>
          <w:szCs w:val="28"/>
          <w:highlight w:val="none"/>
        </w:rPr>
        <w:t>个二级指标。</w:t>
      </w:r>
      <w:r>
        <w:rPr>
          <w:rFonts w:hint="eastAsia" w:hAnsi="宋体"/>
          <w:szCs w:val="28"/>
          <w:highlight w:val="none"/>
        </w:rPr>
        <w:t>该指标分值</w:t>
      </w:r>
      <w:r>
        <w:rPr>
          <w:rFonts w:hint="eastAsia" w:cs="仿宋_GB2312"/>
          <w:szCs w:val="28"/>
          <w:highlight w:val="none"/>
          <w:lang w:val="en-US" w:eastAsia="zh-CN"/>
        </w:rPr>
        <w:t>4</w:t>
      </w:r>
      <w:r>
        <w:rPr>
          <w:rFonts w:hint="eastAsia" w:cs="仿宋_GB2312"/>
          <w:szCs w:val="28"/>
          <w:highlight w:val="none"/>
        </w:rPr>
        <w:t>0分，</w:t>
      </w:r>
      <w:r>
        <w:rPr>
          <w:rFonts w:hint="eastAsia" w:cs="仿宋_GB2312"/>
          <w:szCs w:val="28"/>
          <w:highlight w:val="none"/>
          <w:lang w:val="en-US" w:eastAsia="zh-CN"/>
        </w:rPr>
        <w:t>自评</w:t>
      </w:r>
      <w:r>
        <w:rPr>
          <w:rFonts w:hint="eastAsia" w:cs="仿宋_GB2312"/>
          <w:szCs w:val="28"/>
          <w:highlight w:val="none"/>
        </w:rPr>
        <w:t>得分</w:t>
      </w:r>
      <w:r>
        <w:rPr>
          <w:rFonts w:hint="eastAsia" w:cs="仿宋_GB2312"/>
          <w:szCs w:val="28"/>
          <w:highlight w:val="none"/>
          <w:lang w:val="en-US" w:eastAsia="zh-CN"/>
        </w:rPr>
        <w:t>40</w:t>
      </w:r>
      <w:r>
        <w:rPr>
          <w:rFonts w:hint="eastAsia" w:cs="仿宋_GB2312"/>
          <w:szCs w:val="28"/>
          <w:highlight w:val="none"/>
        </w:rPr>
        <w:t>分，得分率</w:t>
      </w:r>
      <w:r>
        <w:rPr>
          <w:rFonts w:hint="eastAsia" w:cs="仿宋_GB2312"/>
          <w:szCs w:val="28"/>
          <w:highlight w:val="none"/>
          <w:lang w:val="en-US" w:eastAsia="zh-CN"/>
        </w:rPr>
        <w:t>100</w:t>
      </w:r>
      <w:r>
        <w:rPr>
          <w:rFonts w:hint="eastAsia" w:cs="仿宋_GB2312"/>
          <w:szCs w:val="28"/>
          <w:highlight w:val="none"/>
        </w:rPr>
        <w:t>%。</w:t>
      </w:r>
    </w:p>
    <w:p w14:paraId="200D2CE3">
      <w:pPr>
        <w:ind w:firstLine="562"/>
        <w:rPr>
          <w:rFonts w:cs="仿宋_GB2312"/>
          <w:szCs w:val="28"/>
          <w:highlight w:val="none"/>
        </w:rPr>
      </w:pPr>
      <w:r>
        <w:rPr>
          <w:rFonts w:hint="eastAsia"/>
          <w:b/>
          <w:bCs/>
          <w:szCs w:val="28"/>
          <w:highlight w:val="none"/>
        </w:rPr>
        <w:t>①数量指标</w:t>
      </w:r>
    </w:p>
    <w:p w14:paraId="231E2572">
      <w:pPr>
        <w:ind w:firstLine="560"/>
        <w:rPr>
          <w:rFonts w:hAnsi="宋体"/>
          <w:szCs w:val="28"/>
          <w:highlight w:val="none"/>
        </w:rPr>
      </w:pPr>
      <w:r>
        <w:rPr>
          <w:rFonts w:hint="eastAsia"/>
          <w:highlight w:val="none"/>
        </w:rPr>
        <w:t>数量指标下设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个三级指标，</w:t>
      </w:r>
      <w:r>
        <w:rPr>
          <w:rFonts w:hint="eastAsia" w:hAnsi="宋体"/>
          <w:szCs w:val="28"/>
          <w:highlight w:val="none"/>
        </w:rPr>
        <w:t>指标</w:t>
      </w:r>
      <w:r>
        <w:rPr>
          <w:rFonts w:hint="eastAsia" w:hAnsi="宋体"/>
          <w:szCs w:val="28"/>
          <w:highlight w:val="none"/>
          <w:lang w:val="en-US" w:eastAsia="zh-CN"/>
        </w:rPr>
        <w:t>分值合计15.44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15.44</w:t>
      </w:r>
      <w:r>
        <w:rPr>
          <w:rFonts w:hint="eastAsia" w:hAnsi="宋体"/>
          <w:szCs w:val="28"/>
          <w:highlight w:val="none"/>
        </w:rPr>
        <w:t>分，得分率为</w:t>
      </w:r>
      <w:r>
        <w:rPr>
          <w:rFonts w:hint="eastAsia" w:hAnsi="宋体"/>
          <w:szCs w:val="28"/>
          <w:highlight w:val="none"/>
          <w:lang w:val="en-US" w:eastAsia="zh-CN"/>
        </w:rPr>
        <w:t>100</w:t>
      </w:r>
      <w:r>
        <w:rPr>
          <w:rFonts w:hint="eastAsia" w:hAnsi="宋体"/>
          <w:szCs w:val="28"/>
          <w:highlight w:val="none"/>
        </w:rPr>
        <w:t>%。</w:t>
      </w:r>
    </w:p>
    <w:p w14:paraId="401DA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hAnsi="宋体"/>
          <w:szCs w:val="28"/>
          <w:highlight w:val="none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采购设备数量</w:t>
      </w:r>
      <w:r>
        <w:rPr>
          <w:rFonts w:hint="eastAsia" w:hAnsi="宋体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hAnsi="宋体" w:cstheme="minorBidi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年度目标≥15台（套），实际完成=15台（套），</w:t>
      </w:r>
      <w:r>
        <w:rPr>
          <w:rFonts w:hint="eastAsia" w:hAnsi="宋体"/>
          <w:color w:val="auto"/>
          <w:szCs w:val="28"/>
          <w:highlight w:val="none"/>
        </w:rPr>
        <w:t>该指标分值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3.07</w:t>
      </w:r>
      <w:r>
        <w:rPr>
          <w:rFonts w:hint="eastAsia" w:hAnsi="宋体"/>
          <w:color w:val="auto"/>
          <w:szCs w:val="28"/>
          <w:highlight w:val="none"/>
        </w:rPr>
        <w:t>分，自评得分为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3.07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%。</w:t>
      </w:r>
    </w:p>
    <w:p w14:paraId="33E99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hAnsi="宋体"/>
          <w:color w:val="auto"/>
          <w:szCs w:val="28"/>
          <w:highlight w:val="none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结案率</w:t>
      </w:r>
      <w:r>
        <w:rPr>
          <w:rFonts w:hint="eastAsia" w:hAnsi="宋体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hAnsi="宋体" w:cstheme="minorBidi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年度目标≥83%，实际完成=93.40%，</w:t>
      </w:r>
      <w:r>
        <w:rPr>
          <w:rFonts w:hint="eastAsia" w:hAnsi="宋体"/>
          <w:color w:val="auto"/>
          <w:szCs w:val="28"/>
          <w:highlight w:val="none"/>
        </w:rPr>
        <w:t>该指标分值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3.16</w:t>
      </w:r>
      <w:r>
        <w:rPr>
          <w:rFonts w:hint="eastAsia" w:hAnsi="宋体"/>
          <w:color w:val="auto"/>
          <w:szCs w:val="28"/>
          <w:highlight w:val="none"/>
        </w:rPr>
        <w:t>分，自评得分为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3.16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%。</w:t>
      </w:r>
    </w:p>
    <w:p w14:paraId="38C858E9">
      <w:pPr>
        <w:pStyle w:val="19"/>
        <w:ind w:firstLine="562"/>
        <w:rPr>
          <w:rFonts w:hint="eastAsia" w:hAnsi="宋体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维修维护项目数</w:t>
      </w:r>
      <w:r>
        <w:rPr>
          <w:rFonts w:hint="eastAsia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hAnsi="宋体" w:cstheme="minorBidi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年度目标≥3项，实际完成=3项，</w:t>
      </w:r>
      <w:r>
        <w:rPr>
          <w:rFonts w:hint="eastAsia" w:hAnsi="宋体"/>
          <w:color w:val="auto"/>
          <w:szCs w:val="28"/>
          <w:highlight w:val="none"/>
        </w:rPr>
        <w:t>该指标分值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3.07</w:t>
      </w:r>
      <w:r>
        <w:rPr>
          <w:rFonts w:hint="eastAsia" w:hAnsi="宋体"/>
          <w:color w:val="auto"/>
          <w:szCs w:val="28"/>
          <w:highlight w:val="none"/>
        </w:rPr>
        <w:t>分，自评得分为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3.07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%。</w:t>
      </w:r>
    </w:p>
    <w:p w14:paraId="56CD3770">
      <w:pPr>
        <w:rPr>
          <w:rFonts w:hint="eastAsia" w:hAnsi="宋体"/>
          <w:color w:val="auto"/>
          <w:szCs w:val="28"/>
          <w:highlight w:val="none"/>
        </w:rPr>
      </w:pPr>
      <w:r>
        <w:rPr>
          <w:rFonts w:hint="eastAsia" w:ascii="仿宋_GB2312" w:hAnsi="仿宋_GB2312" w:eastAsia="仿宋_GB2312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物业管理面积</w:t>
      </w:r>
      <w:r>
        <w:rPr>
          <w:rFonts w:hint="eastAsia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hAnsi="宋体" w:cstheme="minorBidi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年度目标=8292.72平方米，实际完成=8292.72平方米，</w:t>
      </w:r>
      <w:r>
        <w:rPr>
          <w:rFonts w:hint="eastAsia" w:hAnsi="宋体"/>
          <w:color w:val="auto"/>
          <w:szCs w:val="28"/>
          <w:highlight w:val="none"/>
        </w:rPr>
        <w:t>该指标分值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3.07</w:t>
      </w:r>
      <w:r>
        <w:rPr>
          <w:rFonts w:hint="eastAsia" w:hAnsi="宋体"/>
          <w:color w:val="auto"/>
          <w:szCs w:val="28"/>
          <w:highlight w:val="none"/>
        </w:rPr>
        <w:t>分，自评得分为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3.07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%。</w:t>
      </w:r>
    </w:p>
    <w:p w14:paraId="7765FA00">
      <w:pPr>
        <w:rPr>
          <w:rFonts w:hint="eastAsia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信息化运维服务完成率</w:t>
      </w:r>
      <w:r>
        <w:rPr>
          <w:rFonts w:hint="eastAsia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hAnsi="宋体" w:cstheme="minorBidi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年度目标=100%，实际完成=100%，</w:t>
      </w:r>
      <w:r>
        <w:rPr>
          <w:rFonts w:hint="eastAsia" w:hAnsi="宋体"/>
          <w:color w:val="auto"/>
          <w:szCs w:val="28"/>
          <w:highlight w:val="none"/>
        </w:rPr>
        <w:t>该指标分值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3.07</w:t>
      </w:r>
      <w:r>
        <w:rPr>
          <w:rFonts w:hint="eastAsia" w:hAnsi="宋体"/>
          <w:color w:val="auto"/>
          <w:szCs w:val="28"/>
          <w:highlight w:val="none"/>
        </w:rPr>
        <w:t>分，自评得分为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3.07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%。</w:t>
      </w:r>
    </w:p>
    <w:p w14:paraId="7D3F735C">
      <w:pPr>
        <w:pStyle w:val="19"/>
        <w:ind w:firstLine="562"/>
        <w:rPr>
          <w:rFonts w:hAnsi="宋体"/>
          <w:b/>
          <w:bCs/>
          <w:szCs w:val="28"/>
          <w:highlight w:val="none"/>
        </w:rPr>
      </w:pPr>
      <w:r>
        <w:rPr>
          <w:rFonts w:hint="eastAsia" w:ascii="仿宋_GB2312" w:hAnsi="仿宋_GB2312" w:eastAsia="仿宋_GB2312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②</w:t>
      </w:r>
      <w:r>
        <w:rPr>
          <w:rFonts w:hint="eastAsia" w:ascii="Calibri" w:hAnsi="Calibri" w:cs="Calibri"/>
          <w:b/>
          <w:bCs/>
          <w:szCs w:val="28"/>
          <w:highlight w:val="none"/>
        </w:rPr>
        <w:t>质量</w:t>
      </w:r>
      <w:r>
        <w:rPr>
          <w:rFonts w:hint="eastAsia" w:hAnsi="宋体"/>
          <w:b/>
          <w:bCs/>
          <w:szCs w:val="28"/>
          <w:highlight w:val="none"/>
        </w:rPr>
        <w:t>指标</w:t>
      </w:r>
    </w:p>
    <w:p w14:paraId="3E3FF82B">
      <w:pPr>
        <w:ind w:firstLine="560"/>
        <w:rPr>
          <w:rFonts w:hAnsi="宋体"/>
          <w:szCs w:val="28"/>
          <w:highlight w:val="none"/>
        </w:rPr>
      </w:pPr>
      <w:r>
        <w:rPr>
          <w:rFonts w:hint="eastAsia"/>
          <w:highlight w:val="none"/>
        </w:rPr>
        <w:t>质量指标下设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个三级指标，</w:t>
      </w:r>
      <w:r>
        <w:rPr>
          <w:rFonts w:hint="eastAsia" w:hAnsi="宋体"/>
          <w:szCs w:val="28"/>
          <w:highlight w:val="none"/>
        </w:rPr>
        <w:t>指标</w:t>
      </w:r>
      <w:r>
        <w:rPr>
          <w:rFonts w:hint="eastAsia" w:hAnsi="宋体"/>
          <w:szCs w:val="28"/>
          <w:highlight w:val="none"/>
          <w:lang w:val="en-US" w:eastAsia="zh-CN"/>
        </w:rPr>
        <w:t>分值合计12.28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12.28</w:t>
      </w:r>
      <w:r>
        <w:rPr>
          <w:rFonts w:hint="eastAsia" w:hAnsi="宋体"/>
          <w:szCs w:val="28"/>
          <w:highlight w:val="none"/>
        </w:rPr>
        <w:t>分，得分率为100%。</w:t>
      </w:r>
    </w:p>
    <w:p w14:paraId="24933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仿宋_GB2312" w:hAnsi="宋体" w:eastAsia="仿宋_GB2312" w:cstheme="minorBidi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hAnsi="宋体"/>
          <w:b/>
          <w:bCs/>
          <w:szCs w:val="28"/>
          <w:highlight w:val="none"/>
          <w:lang w:val="en-US" w:eastAsia="zh-CN"/>
        </w:rPr>
        <w:t>维修维护项目验收合格率：</w:t>
      </w:r>
      <w:r>
        <w:rPr>
          <w:rFonts w:hint="eastAsia" w:hAnsi="宋体" w:cstheme="minorBidi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我院派出法庭开展日常维修维护工作，各项维修维护工作均验收合格，达到年度指标值。</w:t>
      </w:r>
      <w:r>
        <w:rPr>
          <w:rFonts w:hint="eastAsia" w:hAnsi="宋体"/>
          <w:color w:val="auto"/>
          <w:szCs w:val="28"/>
          <w:highlight w:val="none"/>
        </w:rPr>
        <w:t>该指标分值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3.07</w:t>
      </w:r>
      <w:r>
        <w:rPr>
          <w:rFonts w:hint="eastAsia" w:hAnsi="宋体"/>
          <w:color w:val="auto"/>
          <w:szCs w:val="28"/>
          <w:highlight w:val="none"/>
        </w:rPr>
        <w:t>分，自评得分为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3.07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%。</w:t>
      </w:r>
    </w:p>
    <w:p w14:paraId="02C8E4B1">
      <w:pPr>
        <w:pStyle w:val="9"/>
        <w:ind w:firstLine="560"/>
        <w:rPr>
          <w:rFonts w:hint="eastAsia" w:ascii="Calibri" w:hAnsi="Calibri" w:eastAsia="仿宋_GB2312" w:cs="Calibri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hAnsi="宋体"/>
          <w:b/>
          <w:bCs/>
          <w:szCs w:val="28"/>
          <w:highlight w:val="none"/>
          <w:lang w:val="en-US" w:eastAsia="zh-CN"/>
        </w:rPr>
        <w:t>物业管理合格率：</w:t>
      </w:r>
      <w:r>
        <w:rPr>
          <w:rFonts w:hint="eastAsia" w:hAnsi="宋体" w:cstheme="minorBidi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我院物业服务常规性开展，保障派出法庭正常运转，物业服务保障工作验收合格率100%。</w:t>
      </w:r>
      <w:r>
        <w:rPr>
          <w:rFonts w:hint="eastAsia" w:hAnsi="宋体"/>
          <w:color w:val="auto"/>
          <w:szCs w:val="28"/>
          <w:highlight w:val="none"/>
        </w:rPr>
        <w:t>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3.07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%。</w:t>
      </w:r>
    </w:p>
    <w:p w14:paraId="6BFA2E57">
      <w:pPr>
        <w:pStyle w:val="9"/>
        <w:ind w:firstLine="560"/>
        <w:rPr>
          <w:rFonts w:hint="eastAsia" w:ascii="Calibri" w:hAnsi="Calibri" w:eastAsia="仿宋_GB2312" w:cs="Calibri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hAnsi="宋体"/>
          <w:b/>
          <w:bCs/>
          <w:szCs w:val="28"/>
          <w:highlight w:val="none"/>
          <w:lang w:val="en-US" w:eastAsia="zh-CN"/>
        </w:rPr>
        <w:t>信息化运维服务验收合格率：</w:t>
      </w:r>
      <w:r>
        <w:rPr>
          <w:rFonts w:hint="eastAsia" w:hAnsi="宋体" w:cstheme="minorBidi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我院为保证信息化系统的正常使用，按期开展信息化运维，信息化运维服务完成率100%。并通过验收。</w:t>
      </w:r>
      <w:r>
        <w:rPr>
          <w:rFonts w:hint="eastAsia" w:hAnsi="宋体"/>
          <w:color w:val="auto"/>
          <w:szCs w:val="28"/>
          <w:highlight w:val="none"/>
        </w:rPr>
        <w:t>该指标分值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3.07</w:t>
      </w:r>
      <w:r>
        <w:rPr>
          <w:rFonts w:hint="eastAsia" w:hAnsi="宋体"/>
          <w:color w:val="auto"/>
          <w:szCs w:val="28"/>
          <w:highlight w:val="none"/>
        </w:rPr>
        <w:t>分，自评得分为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3.07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%。</w:t>
      </w:r>
    </w:p>
    <w:p w14:paraId="78FF906F">
      <w:pPr>
        <w:pStyle w:val="9"/>
        <w:ind w:firstLine="560"/>
        <w:rPr>
          <w:rFonts w:hint="eastAsia" w:ascii="Calibri" w:hAnsi="Calibri" w:eastAsia="仿宋_GB2312" w:cs="Calibri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hAnsi="宋体"/>
          <w:b/>
          <w:bCs/>
          <w:szCs w:val="28"/>
          <w:highlight w:val="none"/>
          <w:lang w:val="en-US" w:eastAsia="zh-CN"/>
        </w:rPr>
        <w:t>一审服判息诉率：</w:t>
      </w:r>
      <w:r>
        <w:rPr>
          <w:rFonts w:hint="eastAsia" w:hAnsi="宋体" w:cstheme="minorBidi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年度目标≥90%，实际完成=90%，</w:t>
      </w:r>
      <w:r>
        <w:rPr>
          <w:rFonts w:hint="eastAsia" w:hAnsi="宋体"/>
          <w:color w:val="auto"/>
          <w:szCs w:val="28"/>
          <w:highlight w:val="none"/>
        </w:rPr>
        <w:t>该指标分值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3.07</w:t>
      </w:r>
      <w:r>
        <w:rPr>
          <w:rFonts w:hint="eastAsia" w:hAnsi="宋体"/>
          <w:color w:val="auto"/>
          <w:szCs w:val="28"/>
          <w:highlight w:val="none"/>
        </w:rPr>
        <w:t>分，自评得分为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3.07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%。</w:t>
      </w:r>
    </w:p>
    <w:p w14:paraId="499DA6A4">
      <w:pPr>
        <w:pStyle w:val="9"/>
        <w:ind w:firstLine="560"/>
        <w:rPr>
          <w:rFonts w:hint="eastAsia" w:ascii="Calibri" w:hAnsi="Calibri" w:eastAsia="仿宋_GB2312" w:cs="Calibri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仿宋_GB2312" w:cs="Calibri"/>
          <w:b/>
          <w:bCs/>
          <w:kern w:val="2"/>
          <w:sz w:val="28"/>
          <w:szCs w:val="28"/>
          <w:highlight w:val="none"/>
          <w:lang w:val="en-US" w:eastAsia="zh-CN" w:bidi="ar-SA"/>
        </w:rPr>
        <w:t>③时效指标</w:t>
      </w:r>
    </w:p>
    <w:p w14:paraId="46A6C689">
      <w:pPr>
        <w:ind w:firstLine="56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时效</w:t>
      </w:r>
      <w:r>
        <w:rPr>
          <w:rFonts w:hint="eastAsia"/>
          <w:highlight w:val="none"/>
        </w:rPr>
        <w:t>指标下设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个三级指标，</w:t>
      </w:r>
      <w:r>
        <w:rPr>
          <w:rFonts w:hint="eastAsia" w:hAnsi="宋体"/>
          <w:szCs w:val="28"/>
          <w:highlight w:val="none"/>
        </w:rPr>
        <w:t>指标</w:t>
      </w:r>
      <w:r>
        <w:rPr>
          <w:rFonts w:hint="eastAsia" w:hAnsi="宋体"/>
          <w:szCs w:val="28"/>
          <w:highlight w:val="none"/>
          <w:lang w:val="en-US" w:eastAsia="zh-CN"/>
        </w:rPr>
        <w:t>分值合计12.28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12.28</w:t>
      </w:r>
      <w:r>
        <w:rPr>
          <w:rFonts w:hint="eastAsia" w:hAnsi="宋体"/>
          <w:szCs w:val="28"/>
          <w:highlight w:val="none"/>
        </w:rPr>
        <w:t>分，得分率为</w:t>
      </w:r>
      <w:r>
        <w:rPr>
          <w:rFonts w:hint="eastAsia" w:hAnsi="宋体"/>
          <w:szCs w:val="28"/>
          <w:highlight w:val="none"/>
          <w:lang w:val="en-US" w:eastAsia="zh-CN"/>
        </w:rPr>
        <w:t>100</w:t>
      </w:r>
      <w:r>
        <w:rPr>
          <w:rFonts w:hint="eastAsia" w:hAnsi="宋体"/>
          <w:szCs w:val="28"/>
          <w:highlight w:val="none"/>
        </w:rPr>
        <w:t>%。</w:t>
      </w:r>
    </w:p>
    <w:p w14:paraId="4CAB3EBD">
      <w:pPr>
        <w:ind w:firstLine="562"/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hAnsi="宋体"/>
          <w:b/>
          <w:bCs/>
          <w:szCs w:val="28"/>
          <w:highlight w:val="none"/>
          <w:lang w:val="en-US" w:eastAsia="zh-CN"/>
        </w:rPr>
        <w:t>办案经费支付及时率</w:t>
      </w:r>
      <w:r>
        <w:rPr>
          <w:rFonts w:hint="eastAsia" w:hAnsi="宋体"/>
          <w:b/>
          <w:bCs/>
          <w:szCs w:val="28"/>
          <w:highlight w:val="none"/>
          <w:lang w:val="en-US" w:eastAsia="zh-CN"/>
        </w:rPr>
        <w:t>：</w:t>
      </w:r>
      <w:r>
        <w:rPr>
          <w:rFonts w:hint="eastAsia" w:hAnsi="宋体" w:cstheme="minorBidi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年度目标=100%，实际完成=100%，</w:t>
      </w:r>
      <w:r>
        <w:rPr>
          <w:rFonts w:hint="eastAsia" w:hAnsi="宋体"/>
          <w:color w:val="auto"/>
          <w:szCs w:val="28"/>
          <w:highlight w:val="none"/>
        </w:rPr>
        <w:t>该指标分值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3.07</w:t>
      </w:r>
      <w:r>
        <w:rPr>
          <w:rFonts w:hint="eastAsia" w:hAnsi="宋体"/>
          <w:color w:val="auto"/>
          <w:szCs w:val="28"/>
          <w:highlight w:val="none"/>
        </w:rPr>
        <w:t>分，自评得分为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3.07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%。</w:t>
      </w:r>
    </w:p>
    <w:p w14:paraId="3E5FE614">
      <w:pPr>
        <w:ind w:firstLine="562"/>
        <w:rPr>
          <w:rFonts w:hint="eastAsia" w:hAnsi="宋体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hAnsi="宋体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法定审限内结案率：</w:t>
      </w:r>
      <w:r>
        <w:rPr>
          <w:rFonts w:hint="eastAsia" w:hAnsi="宋体" w:cstheme="minorBidi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年度目标≥90%，实际完成=90%，</w:t>
      </w:r>
      <w:r>
        <w:rPr>
          <w:rFonts w:hint="eastAsia" w:hAnsi="宋体"/>
          <w:color w:val="auto"/>
          <w:szCs w:val="28"/>
          <w:highlight w:val="none"/>
        </w:rPr>
        <w:t>该指标分值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3.07</w:t>
      </w:r>
      <w:r>
        <w:rPr>
          <w:rFonts w:hint="eastAsia" w:hAnsi="宋体"/>
          <w:color w:val="auto"/>
          <w:szCs w:val="28"/>
          <w:highlight w:val="none"/>
        </w:rPr>
        <w:t>分，自评得分为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3.07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%。</w:t>
      </w:r>
    </w:p>
    <w:p w14:paraId="29FEAEF5">
      <w:pPr>
        <w:ind w:firstLine="562"/>
        <w:rPr>
          <w:rFonts w:hint="eastAsia" w:hAnsi="宋体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hAnsi="宋体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维修修护及时性：</w:t>
      </w:r>
      <w:r>
        <w:rPr>
          <w:rFonts w:hint="eastAsia" w:hAnsi="宋体" w:cstheme="minorBidi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我院派出法庭开展日常维修维护工作及时，达到年度指标值。</w:t>
      </w:r>
      <w:r>
        <w:rPr>
          <w:rFonts w:hint="eastAsia" w:hAnsi="宋体"/>
          <w:color w:val="auto"/>
          <w:szCs w:val="28"/>
          <w:highlight w:val="none"/>
        </w:rPr>
        <w:t>该指标分值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3.07</w:t>
      </w:r>
      <w:r>
        <w:rPr>
          <w:rFonts w:hint="eastAsia" w:hAnsi="宋体"/>
          <w:color w:val="auto"/>
          <w:szCs w:val="28"/>
          <w:highlight w:val="none"/>
        </w:rPr>
        <w:t>分，自评得分为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3.07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%。</w:t>
      </w:r>
    </w:p>
    <w:p w14:paraId="6D5B2ACD">
      <w:pPr>
        <w:ind w:firstLine="562"/>
        <w:rPr>
          <w:rFonts w:hint="default" w:ascii="仿宋_GB2312" w:hAnsi="宋体" w:eastAsia="仿宋_GB2312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hAnsi="宋体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信息化运维工作及时性：</w:t>
      </w:r>
      <w:r>
        <w:rPr>
          <w:rFonts w:hint="eastAsia" w:hAnsi="宋体" w:cstheme="minorBidi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我院信息化运维工作开展及时，保障信息化系统正常运转，达到年度指标值。</w:t>
      </w:r>
      <w:r>
        <w:rPr>
          <w:rFonts w:hint="eastAsia" w:hAnsi="宋体"/>
          <w:color w:val="auto"/>
          <w:szCs w:val="28"/>
          <w:highlight w:val="none"/>
        </w:rPr>
        <w:t>该指标分值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3.07</w:t>
      </w:r>
      <w:r>
        <w:rPr>
          <w:rFonts w:hint="eastAsia" w:hAnsi="宋体"/>
          <w:color w:val="auto"/>
          <w:szCs w:val="28"/>
          <w:highlight w:val="none"/>
        </w:rPr>
        <w:t>分，自评得分为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3.07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%。</w:t>
      </w:r>
    </w:p>
    <w:p w14:paraId="52752EE1">
      <w:pPr>
        <w:ind w:firstLine="562"/>
        <w:rPr>
          <w:b/>
          <w:bCs/>
          <w:szCs w:val="28"/>
          <w:highlight w:val="none"/>
        </w:rPr>
      </w:pPr>
      <w:r>
        <w:rPr>
          <w:rFonts w:hint="eastAsia"/>
          <w:b/>
          <w:bCs/>
          <w:szCs w:val="28"/>
          <w:highlight w:val="none"/>
        </w:rPr>
        <w:t>（</w:t>
      </w:r>
      <w:r>
        <w:rPr>
          <w:rFonts w:hint="eastAsia"/>
          <w:b/>
          <w:bCs/>
          <w:szCs w:val="28"/>
          <w:highlight w:val="none"/>
          <w:lang w:val="en-US" w:eastAsia="zh-CN"/>
        </w:rPr>
        <w:t>3</w:t>
      </w:r>
      <w:r>
        <w:rPr>
          <w:rFonts w:hint="eastAsia"/>
          <w:b/>
          <w:bCs/>
          <w:szCs w:val="28"/>
          <w:highlight w:val="none"/>
        </w:rPr>
        <w:t>）效益指标</w:t>
      </w:r>
    </w:p>
    <w:p w14:paraId="2D7EE502">
      <w:pPr>
        <w:ind w:firstLine="560"/>
        <w:rPr>
          <w:szCs w:val="28"/>
          <w:highlight w:val="none"/>
        </w:rPr>
      </w:pPr>
      <w:r>
        <w:rPr>
          <w:rFonts w:hint="eastAsia"/>
          <w:szCs w:val="28"/>
          <w:highlight w:val="none"/>
        </w:rPr>
        <w:t>本项目效益指标主要考虑经济效益</w:t>
      </w:r>
      <w:r>
        <w:rPr>
          <w:rFonts w:hint="eastAsia"/>
          <w:szCs w:val="28"/>
          <w:highlight w:val="none"/>
          <w:lang w:eastAsia="zh-CN"/>
        </w:rPr>
        <w:t>、</w:t>
      </w:r>
      <w:r>
        <w:rPr>
          <w:rFonts w:hint="eastAsia"/>
          <w:szCs w:val="28"/>
          <w:highlight w:val="none"/>
        </w:rPr>
        <w:t>社会效益和</w:t>
      </w:r>
      <w:r>
        <w:rPr>
          <w:rFonts w:hint="eastAsia"/>
          <w:szCs w:val="28"/>
          <w:highlight w:val="none"/>
          <w:lang w:val="en-US" w:eastAsia="zh-CN"/>
        </w:rPr>
        <w:t>生态效益三个二级指标</w:t>
      </w:r>
      <w:r>
        <w:rPr>
          <w:rFonts w:hint="eastAsia"/>
          <w:szCs w:val="28"/>
          <w:highlight w:val="none"/>
        </w:rPr>
        <w:t>。</w:t>
      </w:r>
      <w:r>
        <w:rPr>
          <w:rFonts w:hint="eastAsia"/>
          <w:szCs w:val="28"/>
          <w:highlight w:val="none"/>
          <w:lang w:val="en-US" w:eastAsia="zh-CN"/>
        </w:rPr>
        <w:t>指标</w:t>
      </w:r>
      <w:r>
        <w:rPr>
          <w:rFonts w:hint="eastAsia"/>
          <w:szCs w:val="28"/>
          <w:highlight w:val="none"/>
        </w:rPr>
        <w:t>分值</w:t>
      </w:r>
      <w:r>
        <w:rPr>
          <w:rFonts w:hint="eastAsia"/>
          <w:szCs w:val="28"/>
          <w:highlight w:val="none"/>
          <w:lang w:val="en-US" w:eastAsia="zh-CN"/>
        </w:rPr>
        <w:t>合计2</w:t>
      </w:r>
      <w:r>
        <w:rPr>
          <w:rFonts w:hint="eastAsia"/>
          <w:szCs w:val="28"/>
          <w:highlight w:val="none"/>
        </w:rPr>
        <w:t>0分，得分</w:t>
      </w:r>
      <w:r>
        <w:rPr>
          <w:rFonts w:hint="eastAsia"/>
          <w:szCs w:val="28"/>
          <w:highlight w:val="none"/>
          <w:lang w:val="en-US" w:eastAsia="zh-CN"/>
        </w:rPr>
        <w:t>2</w:t>
      </w:r>
      <w:r>
        <w:rPr>
          <w:rFonts w:hint="eastAsia"/>
          <w:szCs w:val="28"/>
          <w:highlight w:val="none"/>
        </w:rPr>
        <w:t>0分，得分率100%。</w:t>
      </w:r>
    </w:p>
    <w:p w14:paraId="7F233474">
      <w:pPr>
        <w:ind w:firstLine="562"/>
        <w:rPr>
          <w:b/>
          <w:bCs/>
          <w:szCs w:val="28"/>
          <w:highlight w:val="none"/>
        </w:rPr>
      </w:pPr>
      <w:r>
        <w:rPr>
          <w:rFonts w:hint="eastAsia"/>
          <w:b/>
          <w:bCs/>
          <w:szCs w:val="28"/>
          <w:highlight w:val="none"/>
        </w:rPr>
        <w:t>①</w:t>
      </w:r>
      <w:r>
        <w:rPr>
          <w:rFonts w:hint="eastAsia"/>
          <w:b/>
          <w:bCs/>
          <w:szCs w:val="28"/>
          <w:highlight w:val="none"/>
          <w:lang w:val="en-US" w:eastAsia="zh-CN"/>
        </w:rPr>
        <w:t>经济</w:t>
      </w:r>
      <w:r>
        <w:rPr>
          <w:rFonts w:hint="eastAsia"/>
          <w:b/>
          <w:bCs/>
          <w:szCs w:val="28"/>
          <w:highlight w:val="none"/>
        </w:rPr>
        <w:t>效益指标</w:t>
      </w:r>
    </w:p>
    <w:p w14:paraId="51712E56">
      <w:pPr>
        <w:ind w:firstLine="560"/>
        <w:rPr>
          <w:rFonts w:hint="eastAsia" w:hAnsi="宋体"/>
          <w:szCs w:val="28"/>
          <w:highlight w:val="none"/>
        </w:rPr>
      </w:pPr>
      <w:r>
        <w:rPr>
          <w:rFonts w:hint="eastAsia"/>
          <w:highlight w:val="none"/>
          <w:lang w:val="en-US" w:eastAsia="zh-CN"/>
        </w:rPr>
        <w:t>经济</w:t>
      </w:r>
      <w:r>
        <w:rPr>
          <w:rFonts w:hint="eastAsia"/>
          <w:highlight w:val="none"/>
        </w:rPr>
        <w:t>效益指标下设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个三级指标，</w:t>
      </w:r>
      <w:r>
        <w:rPr>
          <w:rFonts w:hint="eastAsia" w:hAnsi="宋体"/>
          <w:szCs w:val="28"/>
          <w:highlight w:val="none"/>
        </w:rPr>
        <w:t>指标</w:t>
      </w:r>
      <w:r>
        <w:rPr>
          <w:rFonts w:hint="eastAsia" w:hAnsi="宋体"/>
          <w:szCs w:val="28"/>
          <w:highlight w:val="none"/>
          <w:lang w:val="en-US" w:eastAsia="zh-CN"/>
        </w:rPr>
        <w:t>分值5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5</w:t>
      </w:r>
      <w:r>
        <w:rPr>
          <w:rFonts w:hint="eastAsia" w:hAnsi="宋体"/>
          <w:szCs w:val="28"/>
          <w:highlight w:val="none"/>
        </w:rPr>
        <w:t>分，得分率为10</w:t>
      </w:r>
      <w:r>
        <w:rPr>
          <w:rFonts w:hAnsi="宋体"/>
          <w:szCs w:val="28"/>
          <w:highlight w:val="none"/>
        </w:rPr>
        <w:t>0</w:t>
      </w:r>
      <w:r>
        <w:rPr>
          <w:rFonts w:hint="eastAsia" w:hAnsi="宋体"/>
          <w:szCs w:val="28"/>
          <w:highlight w:val="none"/>
        </w:rPr>
        <w:t>%。</w:t>
      </w:r>
    </w:p>
    <w:p w14:paraId="1DB0E9DA">
      <w:pPr>
        <w:ind w:firstLine="562"/>
        <w:rPr>
          <w:rFonts w:hint="eastAsia" w:hAnsi="宋体" w:eastAsia="仿宋_GB2312"/>
          <w:szCs w:val="28"/>
          <w:highlight w:val="none"/>
          <w:lang w:eastAsia="zh-CN"/>
        </w:rPr>
      </w:pPr>
      <w:r>
        <w:rPr>
          <w:rFonts w:hint="eastAsia"/>
          <w:b/>
          <w:bCs/>
          <w:highlight w:val="none"/>
          <w:lang w:eastAsia="zh-CN"/>
        </w:rPr>
        <w:t>挽回经济损失效果：</w:t>
      </w:r>
      <w:r>
        <w:rPr>
          <w:rFonts w:hint="eastAsia"/>
          <w:b w:val="0"/>
          <w:bCs w:val="0"/>
          <w:highlight w:val="none"/>
          <w:lang w:val="en-US" w:eastAsia="zh-CN"/>
        </w:rPr>
        <w:t>以高度的政治责任感坚决扛牢防范化解金融风险责任，组建工作专班，设立绿色通道，快立快审快执。</w:t>
      </w:r>
      <w:r>
        <w:rPr>
          <w:rFonts w:hint="eastAsia" w:hAnsi="宋体"/>
          <w:szCs w:val="28"/>
          <w:highlight w:val="none"/>
          <w:lang w:val="en-US" w:eastAsia="zh-CN"/>
        </w:rPr>
        <w:t>该</w:t>
      </w:r>
      <w:r>
        <w:rPr>
          <w:rFonts w:hint="eastAsia" w:hAnsi="宋体"/>
          <w:szCs w:val="28"/>
          <w:highlight w:val="none"/>
        </w:rPr>
        <w:t>指标分值合计</w:t>
      </w:r>
      <w:r>
        <w:rPr>
          <w:rFonts w:hint="eastAsia" w:hAnsi="宋体"/>
          <w:szCs w:val="28"/>
          <w:highlight w:val="none"/>
          <w:lang w:val="en-US" w:eastAsia="zh-CN"/>
        </w:rPr>
        <w:t>5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5</w:t>
      </w:r>
      <w:r>
        <w:rPr>
          <w:rFonts w:hint="eastAsia" w:hAnsi="宋体"/>
          <w:szCs w:val="28"/>
          <w:highlight w:val="none"/>
        </w:rPr>
        <w:t>分，得分率为100%</w:t>
      </w:r>
    </w:p>
    <w:p w14:paraId="508E8177">
      <w:pPr>
        <w:rPr>
          <w:rFonts w:hint="default"/>
          <w:highlight w:val="none"/>
          <w:lang w:val="en-US" w:eastAsia="zh-CN"/>
        </w:rPr>
      </w:pPr>
      <w:r>
        <w:rPr>
          <w:rFonts w:hint="eastAsia"/>
          <w:b/>
          <w:bCs/>
          <w:szCs w:val="28"/>
          <w:highlight w:val="none"/>
        </w:rPr>
        <w:t>②</w:t>
      </w:r>
      <w:r>
        <w:rPr>
          <w:rFonts w:hint="eastAsia"/>
          <w:b/>
          <w:bCs/>
          <w:highlight w:val="none"/>
          <w:lang w:val="en-US" w:eastAsia="zh-CN"/>
        </w:rPr>
        <w:t>社会效益指标</w:t>
      </w:r>
    </w:p>
    <w:p w14:paraId="5064C9F2">
      <w:pPr>
        <w:ind w:firstLine="560"/>
        <w:rPr>
          <w:rFonts w:hAnsi="宋体"/>
          <w:szCs w:val="28"/>
          <w:highlight w:val="none"/>
        </w:rPr>
      </w:pPr>
      <w:r>
        <w:rPr>
          <w:rFonts w:hint="eastAsia"/>
          <w:highlight w:val="none"/>
        </w:rPr>
        <w:t>社会效益指标下设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个三级指标，</w:t>
      </w:r>
      <w:r>
        <w:rPr>
          <w:rFonts w:hint="eastAsia" w:hAnsi="宋体"/>
          <w:szCs w:val="28"/>
          <w:highlight w:val="none"/>
        </w:rPr>
        <w:t>指标</w:t>
      </w:r>
      <w:r>
        <w:rPr>
          <w:rFonts w:hint="eastAsia" w:hAnsi="宋体"/>
          <w:szCs w:val="28"/>
          <w:highlight w:val="none"/>
          <w:lang w:val="en-US" w:eastAsia="zh-CN"/>
        </w:rPr>
        <w:t>分值合计</w:t>
      </w:r>
      <w:r>
        <w:rPr>
          <w:rFonts w:hint="eastAsia" w:hAnsi="宋体"/>
          <w:szCs w:val="28"/>
          <w:highlight w:val="none"/>
        </w:rPr>
        <w:t>1</w:t>
      </w:r>
      <w:r>
        <w:rPr>
          <w:rFonts w:hint="eastAsia" w:hAnsi="宋体"/>
          <w:szCs w:val="28"/>
          <w:highlight w:val="none"/>
          <w:lang w:val="en-US" w:eastAsia="zh-CN"/>
        </w:rPr>
        <w:t>0</w:t>
      </w:r>
      <w:r>
        <w:rPr>
          <w:rFonts w:hint="eastAsia" w:hAnsi="宋体"/>
          <w:szCs w:val="28"/>
          <w:highlight w:val="none"/>
        </w:rPr>
        <w:t>分，自评得分1</w:t>
      </w:r>
      <w:r>
        <w:rPr>
          <w:rFonts w:hint="eastAsia" w:hAnsi="宋体"/>
          <w:szCs w:val="28"/>
          <w:highlight w:val="none"/>
          <w:lang w:val="en-US" w:eastAsia="zh-CN"/>
        </w:rPr>
        <w:t>0</w:t>
      </w:r>
      <w:r>
        <w:rPr>
          <w:rFonts w:hint="eastAsia" w:hAnsi="宋体"/>
          <w:szCs w:val="28"/>
          <w:highlight w:val="none"/>
        </w:rPr>
        <w:t>分，得分率为10</w:t>
      </w:r>
      <w:r>
        <w:rPr>
          <w:rFonts w:hAnsi="宋体"/>
          <w:szCs w:val="28"/>
          <w:highlight w:val="none"/>
        </w:rPr>
        <w:t>0</w:t>
      </w:r>
      <w:r>
        <w:rPr>
          <w:rFonts w:hint="eastAsia" w:hAnsi="宋体"/>
          <w:szCs w:val="28"/>
          <w:highlight w:val="none"/>
        </w:rPr>
        <w:t>%。</w:t>
      </w:r>
    </w:p>
    <w:p w14:paraId="51F6E222">
      <w:pPr>
        <w:ind w:firstLine="562"/>
        <w:rPr>
          <w:rFonts w:hint="eastAsia" w:hAnsi="宋体" w:eastAsia="仿宋_GB2312"/>
          <w:szCs w:val="28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维护社会稳定：</w:t>
      </w:r>
      <w:r>
        <w:rPr>
          <w:rFonts w:hint="eastAsia"/>
          <w:b w:val="0"/>
          <w:bCs w:val="0"/>
          <w:highlight w:val="none"/>
          <w:lang w:val="en-US" w:eastAsia="zh-CN"/>
        </w:rPr>
        <w:t>2023年我院依法开展刑事审判，全力维护社会稳定；妥善解决民商纠纷，积极化解社会矛盾；加强行政审判工作，促进法制政府建设；全力破解执行难题，兑现涉诉合法权益，不断提高人民群众对法院信任度。</w:t>
      </w:r>
      <w:r>
        <w:rPr>
          <w:rFonts w:hint="eastAsia" w:hAnsi="宋体"/>
          <w:szCs w:val="28"/>
          <w:highlight w:val="none"/>
          <w:lang w:val="en-US" w:eastAsia="zh-CN"/>
        </w:rPr>
        <w:t>该</w:t>
      </w:r>
      <w:r>
        <w:rPr>
          <w:rFonts w:hint="eastAsia" w:hAnsi="宋体"/>
          <w:szCs w:val="28"/>
          <w:highlight w:val="none"/>
        </w:rPr>
        <w:t>指标分值</w:t>
      </w:r>
      <w:r>
        <w:rPr>
          <w:rFonts w:hint="eastAsia" w:hAnsi="宋体"/>
          <w:szCs w:val="28"/>
          <w:highlight w:val="none"/>
          <w:lang w:val="en-US" w:eastAsia="zh-CN"/>
        </w:rPr>
        <w:t>5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5</w:t>
      </w:r>
      <w:r>
        <w:rPr>
          <w:rFonts w:hint="eastAsia" w:hAnsi="宋体"/>
          <w:szCs w:val="28"/>
          <w:highlight w:val="none"/>
        </w:rPr>
        <w:t>分，得分率为100%</w:t>
      </w:r>
      <w:r>
        <w:rPr>
          <w:rFonts w:hint="eastAsia" w:hAnsi="宋体"/>
          <w:szCs w:val="28"/>
          <w:highlight w:val="none"/>
          <w:lang w:eastAsia="zh-CN"/>
        </w:rPr>
        <w:t>。</w:t>
      </w:r>
    </w:p>
    <w:p w14:paraId="6D3BA7F6">
      <w:pPr>
        <w:ind w:firstLine="562"/>
        <w:rPr>
          <w:rFonts w:hint="eastAsia" w:hAnsi="宋体" w:eastAsia="仿宋_GB2312"/>
          <w:b/>
          <w:bCs/>
          <w:szCs w:val="28"/>
          <w:highlight w:val="none"/>
          <w:lang w:eastAsia="zh-CN"/>
        </w:rPr>
      </w:pPr>
      <w:r>
        <w:rPr>
          <w:rFonts w:hint="eastAsia" w:hAnsi="宋体"/>
          <w:b/>
          <w:bCs/>
          <w:szCs w:val="28"/>
          <w:highlight w:val="none"/>
        </w:rPr>
        <w:t>有效保障审判服务</w:t>
      </w:r>
      <w:r>
        <w:rPr>
          <w:rFonts w:hint="eastAsia" w:hAnsi="宋体"/>
          <w:b/>
          <w:bCs/>
          <w:szCs w:val="28"/>
          <w:highlight w:val="none"/>
          <w:lang w:eastAsia="zh-CN"/>
        </w:rPr>
        <w:t>：</w:t>
      </w:r>
      <w:r>
        <w:rPr>
          <w:rFonts w:hint="eastAsia"/>
          <w:b w:val="0"/>
          <w:bCs w:val="0"/>
          <w:highlight w:val="none"/>
          <w:lang w:val="en-US" w:eastAsia="zh-CN"/>
        </w:rPr>
        <w:t>深入贯彻总体国家安全观，纵深推进常态化扫黑除恶，坚决守住国家政治安全和社会大局稳定底线，依法惩治打击各类犯罪活动。</w:t>
      </w:r>
      <w:r>
        <w:rPr>
          <w:rFonts w:hint="eastAsia" w:hAnsi="宋体"/>
          <w:szCs w:val="28"/>
          <w:highlight w:val="none"/>
          <w:lang w:val="en-US" w:eastAsia="zh-CN"/>
        </w:rPr>
        <w:t>该</w:t>
      </w:r>
      <w:r>
        <w:rPr>
          <w:rFonts w:hint="eastAsia" w:hAnsi="宋体"/>
          <w:szCs w:val="28"/>
          <w:highlight w:val="none"/>
        </w:rPr>
        <w:t>指标分值合计</w:t>
      </w:r>
      <w:r>
        <w:rPr>
          <w:rFonts w:hint="eastAsia" w:hAnsi="宋体"/>
          <w:szCs w:val="28"/>
          <w:highlight w:val="none"/>
          <w:lang w:val="en-US" w:eastAsia="zh-CN"/>
        </w:rPr>
        <w:t>5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5</w:t>
      </w:r>
      <w:r>
        <w:rPr>
          <w:rFonts w:hint="eastAsia" w:hAnsi="宋体"/>
          <w:szCs w:val="28"/>
          <w:highlight w:val="none"/>
        </w:rPr>
        <w:t>分，得分率为100%</w:t>
      </w:r>
    </w:p>
    <w:p w14:paraId="00D00DBE">
      <w:pPr>
        <w:ind w:firstLine="562"/>
        <w:rPr>
          <w:rFonts w:hint="default" w:hAnsi="宋体" w:eastAsia="仿宋_GB2312"/>
          <w:b/>
          <w:bCs/>
          <w:szCs w:val="28"/>
          <w:highlight w:val="none"/>
          <w:lang w:val="en-US" w:eastAsia="zh-CN"/>
        </w:rPr>
      </w:pPr>
      <w:r>
        <w:rPr>
          <w:rFonts w:hint="eastAsia" w:ascii="Calibri" w:hAnsi="Calibri" w:eastAsia="仿宋_GB2312" w:cs="Calibri"/>
          <w:b/>
          <w:bCs/>
          <w:kern w:val="2"/>
          <w:sz w:val="28"/>
          <w:szCs w:val="28"/>
          <w:highlight w:val="none"/>
          <w:lang w:val="en-US" w:eastAsia="zh-CN" w:bidi="ar-SA"/>
        </w:rPr>
        <w:t>③</w:t>
      </w:r>
      <w:r>
        <w:rPr>
          <w:rFonts w:hint="eastAsia" w:hAnsi="宋体"/>
          <w:b/>
          <w:bCs/>
          <w:szCs w:val="28"/>
          <w:highlight w:val="none"/>
          <w:lang w:val="en-US" w:eastAsia="zh-CN"/>
        </w:rPr>
        <w:t>生态效益</w:t>
      </w:r>
    </w:p>
    <w:p w14:paraId="16A79630">
      <w:pPr>
        <w:ind w:firstLine="560"/>
        <w:rPr>
          <w:rFonts w:hAnsi="宋体"/>
          <w:szCs w:val="28"/>
          <w:highlight w:val="none"/>
        </w:rPr>
      </w:pPr>
      <w:r>
        <w:rPr>
          <w:rFonts w:hint="eastAsia"/>
          <w:highlight w:val="none"/>
          <w:lang w:val="en-US" w:eastAsia="zh-CN"/>
        </w:rPr>
        <w:t>生态</w:t>
      </w:r>
      <w:r>
        <w:rPr>
          <w:rFonts w:hint="eastAsia"/>
          <w:highlight w:val="none"/>
        </w:rPr>
        <w:t>指标下设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个三级指标，</w:t>
      </w:r>
      <w:r>
        <w:rPr>
          <w:rFonts w:hint="eastAsia" w:hAnsi="宋体"/>
          <w:szCs w:val="28"/>
          <w:highlight w:val="none"/>
        </w:rPr>
        <w:t>指标</w:t>
      </w:r>
      <w:r>
        <w:rPr>
          <w:rFonts w:hint="eastAsia" w:hAnsi="宋体"/>
          <w:szCs w:val="28"/>
          <w:highlight w:val="none"/>
          <w:lang w:val="en-US" w:eastAsia="zh-CN"/>
        </w:rPr>
        <w:t>分值</w:t>
      </w:r>
      <w:r>
        <w:rPr>
          <w:rFonts w:hint="eastAsia" w:hAnsi="宋体"/>
          <w:szCs w:val="28"/>
          <w:highlight w:val="none"/>
        </w:rPr>
        <w:t>合计</w:t>
      </w:r>
      <w:r>
        <w:rPr>
          <w:rFonts w:hint="eastAsia" w:hAnsi="宋体"/>
          <w:szCs w:val="28"/>
          <w:highlight w:val="none"/>
          <w:lang w:val="en-US" w:eastAsia="zh-CN"/>
        </w:rPr>
        <w:t>5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5</w:t>
      </w:r>
      <w:r>
        <w:rPr>
          <w:rFonts w:hint="eastAsia" w:hAnsi="宋体"/>
          <w:szCs w:val="28"/>
          <w:highlight w:val="none"/>
        </w:rPr>
        <w:t>分，得分率为1</w:t>
      </w:r>
      <w:r>
        <w:rPr>
          <w:rFonts w:hAnsi="宋体"/>
          <w:szCs w:val="28"/>
          <w:highlight w:val="none"/>
        </w:rPr>
        <w:t>00</w:t>
      </w:r>
      <w:r>
        <w:rPr>
          <w:rFonts w:hint="eastAsia" w:hAnsi="宋体"/>
          <w:szCs w:val="28"/>
          <w:highlight w:val="none"/>
        </w:rPr>
        <w:t>%。</w:t>
      </w:r>
    </w:p>
    <w:p w14:paraId="447816BA">
      <w:pPr>
        <w:ind w:firstLine="562"/>
        <w:rPr>
          <w:rFonts w:hint="eastAsia" w:hAnsi="宋体" w:eastAsia="仿宋_GB2312"/>
          <w:b/>
          <w:bCs/>
          <w:szCs w:val="28"/>
          <w:highlight w:val="none"/>
          <w:lang w:eastAsia="zh-CN"/>
        </w:rPr>
      </w:pPr>
      <w:r>
        <w:rPr>
          <w:rFonts w:hint="eastAsia" w:hAnsi="宋体"/>
          <w:b/>
          <w:bCs/>
          <w:szCs w:val="28"/>
          <w:highlight w:val="none"/>
          <w:lang w:val="en-US" w:eastAsia="zh-CN"/>
        </w:rPr>
        <w:t>打击生态犯罪，维护生态秩序：</w:t>
      </w:r>
      <w:r>
        <w:rPr>
          <w:rFonts w:hint="eastAsia"/>
          <w:b w:val="0"/>
          <w:bCs w:val="0"/>
          <w:highlight w:val="none"/>
          <w:lang w:val="en-US" w:eastAsia="zh-CN"/>
        </w:rPr>
        <w:t>我院依法惩治环境资源刑事犯罪，织密生态环境司法保护网。</w:t>
      </w:r>
      <w:r>
        <w:rPr>
          <w:rFonts w:hint="eastAsia" w:hAnsi="宋体"/>
          <w:szCs w:val="28"/>
          <w:highlight w:val="none"/>
          <w:lang w:val="en-US" w:eastAsia="zh-CN"/>
        </w:rPr>
        <w:t>该</w:t>
      </w:r>
      <w:r>
        <w:rPr>
          <w:rFonts w:hint="eastAsia" w:hAnsi="宋体"/>
          <w:szCs w:val="28"/>
          <w:highlight w:val="none"/>
        </w:rPr>
        <w:t>指标分值合计</w:t>
      </w:r>
      <w:r>
        <w:rPr>
          <w:rFonts w:hint="eastAsia" w:hAnsi="宋体"/>
          <w:szCs w:val="28"/>
          <w:highlight w:val="none"/>
          <w:lang w:val="en-US" w:eastAsia="zh-CN"/>
        </w:rPr>
        <w:t>5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5</w:t>
      </w:r>
      <w:r>
        <w:rPr>
          <w:rFonts w:hint="eastAsia" w:hAnsi="宋体"/>
          <w:szCs w:val="28"/>
          <w:highlight w:val="none"/>
        </w:rPr>
        <w:t>分，得分率为100%</w:t>
      </w:r>
    </w:p>
    <w:p w14:paraId="6CD3826F">
      <w:pPr>
        <w:numPr>
          <w:ilvl w:val="255"/>
          <w:numId w:val="0"/>
        </w:numPr>
        <w:ind w:firstLine="562"/>
        <w:rPr>
          <w:rFonts w:hint="eastAsia"/>
          <w:b/>
          <w:bCs/>
          <w:szCs w:val="28"/>
          <w:highlight w:val="none"/>
        </w:rPr>
      </w:pPr>
      <w:r>
        <w:rPr>
          <w:rFonts w:hint="eastAsia"/>
          <w:b/>
          <w:bCs/>
          <w:szCs w:val="28"/>
          <w:highlight w:val="none"/>
        </w:rPr>
        <w:t>（</w:t>
      </w:r>
      <w:r>
        <w:rPr>
          <w:rFonts w:hint="eastAsia"/>
          <w:b/>
          <w:bCs/>
          <w:szCs w:val="28"/>
          <w:highlight w:val="none"/>
          <w:lang w:val="en-US" w:eastAsia="zh-CN"/>
        </w:rPr>
        <w:t>4</w:t>
      </w:r>
      <w:r>
        <w:rPr>
          <w:rFonts w:hint="eastAsia"/>
          <w:b/>
          <w:bCs/>
          <w:szCs w:val="28"/>
          <w:highlight w:val="none"/>
        </w:rPr>
        <w:t>）满意度指标</w:t>
      </w:r>
    </w:p>
    <w:p w14:paraId="2753D362">
      <w:pPr>
        <w:pStyle w:val="19"/>
        <w:rPr>
          <w:rFonts w:hint="eastAsia" w:eastAsia="仿宋_GB2312"/>
          <w:b/>
          <w:bCs/>
          <w:highlight w:val="none"/>
          <w:lang w:eastAsia="zh-CN"/>
        </w:rPr>
      </w:pPr>
      <w:r>
        <w:rPr>
          <w:rFonts w:hint="eastAsia" w:hAnsi="宋体"/>
          <w:b/>
          <w:bCs/>
          <w:szCs w:val="28"/>
          <w:highlight w:val="none"/>
        </w:rPr>
        <w:t>当事人满意程度</w:t>
      </w:r>
      <w:r>
        <w:rPr>
          <w:rFonts w:hint="eastAsia" w:hAnsi="宋体"/>
          <w:b/>
          <w:bCs/>
          <w:szCs w:val="28"/>
          <w:highlight w:val="none"/>
          <w:lang w:eastAsia="zh-CN"/>
        </w:rPr>
        <w:t>、</w:t>
      </w:r>
      <w:r>
        <w:rPr>
          <w:rFonts w:hint="eastAsia"/>
          <w:b/>
          <w:bCs/>
          <w:highlight w:val="none"/>
        </w:rPr>
        <w:t>干警满意程度</w:t>
      </w:r>
      <w:r>
        <w:rPr>
          <w:rFonts w:hint="eastAsia" w:hAnsi="宋体"/>
          <w:szCs w:val="28"/>
          <w:highlight w:val="none"/>
          <w:lang w:eastAsia="zh-CN"/>
        </w:rPr>
        <w:t>：</w:t>
      </w:r>
      <w:r>
        <w:rPr>
          <w:rFonts w:hint="eastAsia"/>
          <w:b w:val="0"/>
          <w:bCs w:val="0"/>
          <w:highlight w:val="none"/>
          <w:lang w:val="en-US" w:eastAsia="zh-CN"/>
        </w:rPr>
        <w:t>2023</w:t>
      </w:r>
      <w:r>
        <w:rPr>
          <w:rFonts w:hint="eastAsia" w:ascii="Times New Roman"/>
          <w:sz w:val="28"/>
          <w:szCs w:val="24"/>
          <w:highlight w:val="none"/>
          <w:lang w:val="en-US" w:eastAsia="zh-CN"/>
        </w:rPr>
        <w:t>年度</w:t>
      </w:r>
      <w:r>
        <w:rPr>
          <w:rFonts w:hint="eastAsia" w:ascii="Times New Roman" w:eastAsia="仿宋_GB2312"/>
          <w:sz w:val="28"/>
          <w:szCs w:val="24"/>
          <w:highlight w:val="none"/>
          <w:lang w:val="en-US" w:eastAsia="zh-CN"/>
        </w:rPr>
        <w:t>我院在院党组的正确领导和悉心指导下，坚持以审判需求为导向、以司法能力建设为核心、以社会责任为目标，忠实履职尽责，主动担当作为，</w:t>
      </w:r>
      <w:r>
        <w:rPr>
          <w:rFonts w:hint="eastAsia" w:ascii="Times New Roman"/>
          <w:sz w:val="28"/>
          <w:szCs w:val="24"/>
          <w:highlight w:val="none"/>
          <w:lang w:val="en-US" w:eastAsia="zh-CN"/>
        </w:rPr>
        <w:t>我</w:t>
      </w:r>
      <w:r>
        <w:rPr>
          <w:rFonts w:hint="eastAsia" w:ascii="Times New Roman" w:eastAsia="仿宋_GB2312"/>
          <w:sz w:val="28"/>
          <w:szCs w:val="24"/>
          <w:highlight w:val="none"/>
          <w:lang w:val="en-US" w:eastAsia="zh-CN"/>
        </w:rPr>
        <w:t>院工作高质量发展的新篇章，我院依法审理各类案件，妥善化解矛盾纠纷和行政争议，维护了法院审判工作的有序开展，积极保障人民群众生命财产安全，不断增强人民群众获得感、幸福感和安全感，减轻人民群众诉讼诉累，因此得到了人民群众的好评</w:t>
      </w:r>
      <w:r>
        <w:rPr>
          <w:rFonts w:hint="eastAsia" w:ascii="Times New Roman"/>
          <w:sz w:val="28"/>
          <w:szCs w:val="24"/>
          <w:highlight w:val="none"/>
          <w:lang w:val="en-US" w:eastAsia="zh-CN"/>
        </w:rPr>
        <w:t>。</w:t>
      </w:r>
      <w:r>
        <w:rPr>
          <w:rFonts w:hint="eastAsia" w:ascii="Times New Roman" w:eastAsia="仿宋_GB2312"/>
          <w:sz w:val="28"/>
          <w:szCs w:val="24"/>
          <w:highlight w:val="none"/>
          <w:lang w:val="en-US" w:eastAsia="zh-CN"/>
        </w:rPr>
        <w:t>通过满意度调查，当事人对法院工作满意，干警对单位工作满意，</w:t>
      </w:r>
      <w:r>
        <w:rPr>
          <w:rFonts w:hint="eastAsia" w:hAnsi="宋体"/>
          <w:szCs w:val="28"/>
          <w:highlight w:val="none"/>
          <w:lang w:val="en-US" w:eastAsia="zh-CN"/>
        </w:rPr>
        <w:t>该</w:t>
      </w:r>
      <w:r>
        <w:rPr>
          <w:rFonts w:hint="eastAsia" w:hAnsi="宋体"/>
          <w:szCs w:val="28"/>
          <w:highlight w:val="none"/>
        </w:rPr>
        <w:t>指标分值合计</w:t>
      </w:r>
      <w:r>
        <w:rPr>
          <w:rFonts w:hint="eastAsia" w:hAnsi="宋体"/>
          <w:szCs w:val="28"/>
          <w:highlight w:val="none"/>
          <w:lang w:val="en-US" w:eastAsia="zh-CN"/>
        </w:rPr>
        <w:t>10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10</w:t>
      </w:r>
      <w:r>
        <w:rPr>
          <w:rFonts w:hint="eastAsia" w:hAnsi="宋体"/>
          <w:szCs w:val="28"/>
          <w:highlight w:val="none"/>
        </w:rPr>
        <w:t>分，得分率为100%。</w:t>
      </w:r>
    </w:p>
    <w:p w14:paraId="0D6C24D8"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highlight w:val="none"/>
        </w:rPr>
      </w:pPr>
      <w:bookmarkStart w:id="84" w:name="_Toc40046043"/>
      <w:r>
        <w:rPr>
          <w:rFonts w:hint="eastAsia"/>
          <w:highlight w:val="none"/>
          <w:lang w:val="en-US" w:eastAsia="zh-CN"/>
        </w:rPr>
        <w:t>3.</w:t>
      </w:r>
      <w:r>
        <w:rPr>
          <w:rFonts w:hint="eastAsia"/>
          <w:highlight w:val="none"/>
        </w:rPr>
        <w:t>偏离绩效目标的原因及下一步改进措施</w:t>
      </w:r>
      <w:bookmarkEnd w:id="84"/>
    </w:p>
    <w:p w14:paraId="7FBBED8A">
      <w:pPr>
        <w:pStyle w:val="4"/>
        <w:rPr>
          <w:rFonts w:hint="eastAsia"/>
          <w:b/>
          <w:bCs/>
          <w:highlight w:val="none"/>
          <w:lang w:val="en-US" w:eastAsia="zh-CN"/>
        </w:rPr>
      </w:pPr>
      <w:bookmarkStart w:id="85" w:name="_Toc20067"/>
      <w:bookmarkStart w:id="86" w:name="_Toc22902"/>
      <w:bookmarkStart w:id="87" w:name="_Toc16079"/>
      <w:bookmarkStart w:id="88" w:name="_Toc28429"/>
      <w:bookmarkStart w:id="89" w:name="_Toc40046044"/>
      <w:bookmarkStart w:id="90" w:name="_Toc7812"/>
      <w:bookmarkStart w:id="91" w:name="_Toc6037"/>
      <w:bookmarkStart w:id="92" w:name="_Toc513"/>
      <w:r>
        <w:rPr>
          <w:rFonts w:hint="eastAsia"/>
          <w:b/>
          <w:bCs/>
          <w:highlight w:val="none"/>
          <w:lang w:val="en-US" w:eastAsia="zh-CN"/>
        </w:rPr>
        <w:t>无。</w:t>
      </w:r>
      <w:bookmarkEnd w:id="85"/>
      <w:bookmarkEnd w:id="86"/>
      <w:bookmarkEnd w:id="87"/>
    </w:p>
    <w:p w14:paraId="4002BB9F">
      <w:pPr>
        <w:pStyle w:val="4"/>
        <w:rPr>
          <w:rFonts w:hint="eastAsia" w:eastAsia="楷体"/>
          <w:highlight w:val="none"/>
          <w:lang w:eastAsia="zh-CN"/>
        </w:rPr>
      </w:pPr>
      <w:bookmarkStart w:id="93" w:name="_Toc7698"/>
      <w:r>
        <w:rPr>
          <w:rFonts w:hint="eastAsia"/>
          <w:highlight w:val="none"/>
        </w:rPr>
        <w:t>（二）</w:t>
      </w:r>
      <w:bookmarkEnd w:id="88"/>
      <w:bookmarkEnd w:id="89"/>
      <w:bookmarkEnd w:id="90"/>
      <w:bookmarkEnd w:id="91"/>
      <w:bookmarkEnd w:id="92"/>
      <w:r>
        <w:rPr>
          <w:rFonts w:hint="eastAsia"/>
          <w:highlight w:val="none"/>
          <w:lang w:val="en-US" w:eastAsia="zh-CN"/>
        </w:rPr>
        <w:t>法庭运维费</w:t>
      </w:r>
      <w:bookmarkEnd w:id="93"/>
    </w:p>
    <w:p w14:paraId="2E7509F0">
      <w:pPr>
        <w:rPr>
          <w:highlight w:val="none"/>
        </w:rPr>
      </w:pPr>
      <w:bookmarkStart w:id="94" w:name="_Toc3777"/>
      <w:bookmarkStart w:id="95" w:name="_Toc1889"/>
      <w:bookmarkStart w:id="96" w:name="_Toc22570"/>
      <w:bookmarkStart w:id="97" w:name="_Toc18806"/>
      <w:bookmarkStart w:id="98" w:name="_Toc40046064"/>
      <w:bookmarkStart w:id="99" w:name="_Toc7144"/>
      <w:bookmarkStart w:id="100" w:name="_Toc40046065"/>
      <w:r>
        <w:rPr>
          <w:rFonts w:hint="eastAsia"/>
          <w:highlight w:val="none"/>
        </w:rPr>
        <w:t>本次绩效自评综合评定202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法庭运维费</w:t>
      </w:r>
      <w:r>
        <w:rPr>
          <w:rFonts w:hint="eastAsia"/>
          <w:highlight w:val="none"/>
        </w:rPr>
        <w:t>项目支出绩效得分为</w:t>
      </w:r>
      <w:r>
        <w:rPr>
          <w:rFonts w:hint="eastAsia"/>
          <w:highlight w:val="none"/>
          <w:lang w:val="en-US" w:eastAsia="zh-CN"/>
        </w:rPr>
        <w:t>100</w:t>
      </w:r>
      <w:r>
        <w:rPr>
          <w:rFonts w:hint="eastAsia"/>
          <w:highlight w:val="none"/>
        </w:rPr>
        <w:t>分，绩效等级为“</w:t>
      </w:r>
      <w:r>
        <w:rPr>
          <w:rFonts w:hint="eastAsia"/>
          <w:highlight w:val="none"/>
          <w:lang w:val="en-US" w:eastAsia="zh-CN"/>
        </w:rPr>
        <w:t>优</w:t>
      </w:r>
      <w:r>
        <w:rPr>
          <w:rFonts w:hint="eastAsia"/>
          <w:highlight w:val="none"/>
        </w:rPr>
        <w:t>”。项目支出绩效评价包括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项目资金预算执行率</w:t>
      </w:r>
      <w:r>
        <w:rPr>
          <w:rFonts w:hint="eastAsia" w:ascii="仿宋_GB2312" w:hAnsi="仿宋_GB2312" w:cs="仿宋_GB2312"/>
          <w:highlight w:val="none"/>
          <w:lang w:val="en-US" w:eastAsia="zh-CN"/>
        </w:rPr>
        <w:t>、</w:t>
      </w:r>
      <w:r>
        <w:rPr>
          <w:rFonts w:hint="eastAsia" w:cs="仿宋_GB2312"/>
          <w:highlight w:val="none"/>
          <w:lang w:val="en-US" w:eastAsia="zh-CN"/>
        </w:rPr>
        <w:t>成本、</w:t>
      </w:r>
      <w:r>
        <w:rPr>
          <w:rFonts w:hint="eastAsia"/>
          <w:highlight w:val="none"/>
        </w:rPr>
        <w:t>产出、效益、满意度</w:t>
      </w:r>
      <w:r>
        <w:rPr>
          <w:rFonts w:hint="eastAsia"/>
          <w:highlight w:val="none"/>
          <w:lang w:val="en-US" w:eastAsia="zh-CN"/>
        </w:rPr>
        <w:t>五</w:t>
      </w:r>
      <w:r>
        <w:rPr>
          <w:rFonts w:hint="eastAsia"/>
          <w:highlight w:val="none"/>
        </w:rPr>
        <w:t>个一级指标，下设</w:t>
      </w: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个二级指标和</w:t>
      </w:r>
      <w:r>
        <w:rPr>
          <w:rFonts w:hint="eastAsia"/>
          <w:highlight w:val="none"/>
          <w:lang w:val="en-US" w:eastAsia="zh-CN"/>
        </w:rPr>
        <w:t>13</w:t>
      </w:r>
      <w:r>
        <w:rPr>
          <w:rFonts w:hint="eastAsia"/>
          <w:highlight w:val="none"/>
        </w:rPr>
        <w:t>个三级指标。项目资金预算执行率</w:t>
      </w:r>
      <w:r>
        <w:rPr>
          <w:rFonts w:hint="eastAsia"/>
          <w:highlight w:val="none"/>
          <w:lang w:val="en-US" w:eastAsia="zh-CN"/>
        </w:rPr>
        <w:t>100</w:t>
      </w:r>
      <w:r>
        <w:rPr>
          <w:rFonts w:hint="eastAsia"/>
          <w:highlight w:val="none"/>
        </w:rPr>
        <w:t>%，一级指标得分情况详见下表 ：</w:t>
      </w:r>
    </w:p>
    <w:tbl>
      <w:tblPr>
        <w:tblStyle w:val="22"/>
        <w:tblW w:w="903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1678"/>
        <w:gridCol w:w="1668"/>
        <w:gridCol w:w="2160"/>
      </w:tblGrid>
      <w:tr w14:paraId="6948851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 w14:paraId="17A26B40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35365509"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1668" w:type="dxa"/>
            <w:shd w:val="clear" w:color="auto" w:fill="BDD6EE"/>
            <w:vAlign w:val="center"/>
          </w:tcPr>
          <w:p w14:paraId="2CAFE37F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2160" w:type="dxa"/>
            <w:shd w:val="clear" w:color="auto" w:fill="BDD6EE"/>
            <w:vAlign w:val="center"/>
          </w:tcPr>
          <w:p w14:paraId="26FA1FE0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得分率</w:t>
            </w:r>
          </w:p>
        </w:tc>
      </w:tr>
      <w:tr w14:paraId="65DF20B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533" w:type="dxa"/>
            <w:vAlign w:val="center"/>
          </w:tcPr>
          <w:p w14:paraId="62269F66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678" w:type="dxa"/>
            <w:vAlign w:val="center"/>
          </w:tcPr>
          <w:p w14:paraId="57F50D81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68" w:type="dxa"/>
            <w:vAlign w:val="center"/>
          </w:tcPr>
          <w:p w14:paraId="1B31B35A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vAlign w:val="center"/>
          </w:tcPr>
          <w:p w14:paraId="0B77ACEF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 w14:paraId="5EA8AC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 w14:paraId="3CB6B2E4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1678" w:type="dxa"/>
            <w:vAlign w:val="center"/>
          </w:tcPr>
          <w:p w14:paraId="391620C9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68" w:type="dxa"/>
            <w:vAlign w:val="center"/>
          </w:tcPr>
          <w:p w14:paraId="7EC246F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160" w:type="dxa"/>
            <w:vAlign w:val="center"/>
          </w:tcPr>
          <w:p w14:paraId="22087331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 w14:paraId="3EC0A0C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 w14:paraId="60252487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78" w:type="dxa"/>
            <w:vAlign w:val="center"/>
          </w:tcPr>
          <w:p w14:paraId="3527C16A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668" w:type="dxa"/>
            <w:vAlign w:val="center"/>
          </w:tcPr>
          <w:p w14:paraId="582B8802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160" w:type="dxa"/>
            <w:vAlign w:val="center"/>
          </w:tcPr>
          <w:p w14:paraId="2806428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 w14:paraId="5361B15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 w14:paraId="7BED073F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78" w:type="dxa"/>
            <w:vAlign w:val="center"/>
          </w:tcPr>
          <w:p w14:paraId="4DFDB1DC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68" w:type="dxa"/>
            <w:vAlign w:val="center"/>
          </w:tcPr>
          <w:p w14:paraId="76CB9B14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160" w:type="dxa"/>
            <w:vAlign w:val="center"/>
          </w:tcPr>
          <w:p w14:paraId="35987A0F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 w14:paraId="22F30A9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auto"/>
            <w:vAlign w:val="center"/>
          </w:tcPr>
          <w:p w14:paraId="31B9E38D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189F5EC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3E6745E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7D150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 w14:paraId="469158E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 w14:paraId="7F996EA0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554BD91F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668" w:type="dxa"/>
            <w:shd w:val="clear" w:color="auto" w:fill="BDD6EE"/>
            <w:vAlign w:val="center"/>
          </w:tcPr>
          <w:p w14:paraId="390DCABA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160" w:type="dxa"/>
            <w:shd w:val="clear" w:color="auto" w:fill="BDD6EE"/>
            <w:vAlign w:val="center"/>
          </w:tcPr>
          <w:p w14:paraId="79A0D690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</w:tr>
    </w:tbl>
    <w:p w14:paraId="3B1C1A5F">
      <w:pPr>
        <w:pStyle w:val="5"/>
        <w:ind w:firstLine="562"/>
        <w:rPr>
          <w:szCs w:val="28"/>
          <w:highlight w:val="none"/>
        </w:rPr>
      </w:pPr>
      <w:r>
        <w:rPr>
          <w:rFonts w:hint="eastAsia"/>
          <w:szCs w:val="28"/>
          <w:highlight w:val="none"/>
        </w:rPr>
        <w:t>1</w:t>
      </w:r>
      <w:r>
        <w:rPr>
          <w:rFonts w:hint="eastAsia"/>
          <w:szCs w:val="28"/>
          <w:highlight w:val="none"/>
          <w:lang w:eastAsia="zh-CN"/>
        </w:rPr>
        <w:t>.</w:t>
      </w:r>
      <w:r>
        <w:rPr>
          <w:rFonts w:hint="eastAsia"/>
          <w:szCs w:val="28"/>
          <w:highlight w:val="none"/>
        </w:rPr>
        <w:t>项目支出预算执行情况</w:t>
      </w:r>
    </w:p>
    <w:p w14:paraId="75694E8C">
      <w:pPr>
        <w:ind w:firstLine="56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法庭运维费</w:t>
      </w:r>
      <w:r>
        <w:rPr>
          <w:rFonts w:hint="eastAsia"/>
          <w:szCs w:val="28"/>
          <w:highlight w:val="none"/>
        </w:rPr>
        <w:t>项目年初预算数</w:t>
      </w:r>
      <w:r>
        <w:rPr>
          <w:rFonts w:hint="eastAsia"/>
          <w:szCs w:val="28"/>
          <w:highlight w:val="none"/>
          <w:lang w:eastAsia="zh-CN"/>
        </w:rPr>
        <w:t>为</w:t>
      </w:r>
      <w:r>
        <w:rPr>
          <w:rFonts w:hint="eastAsia"/>
          <w:szCs w:val="28"/>
          <w:highlight w:val="none"/>
          <w:lang w:val="en-US" w:eastAsia="zh-CN"/>
        </w:rPr>
        <w:t>24.00万元</w:t>
      </w:r>
      <w:r>
        <w:rPr>
          <w:rFonts w:hint="eastAsia"/>
          <w:szCs w:val="28"/>
          <w:highlight w:val="none"/>
          <w:lang w:eastAsia="zh-CN"/>
        </w:rPr>
        <w:t>，</w:t>
      </w:r>
      <w:r>
        <w:rPr>
          <w:rFonts w:hint="eastAsia"/>
          <w:szCs w:val="28"/>
          <w:highlight w:val="none"/>
        </w:rPr>
        <w:t>全年预算数</w:t>
      </w:r>
      <w:r>
        <w:rPr>
          <w:rFonts w:hint="eastAsia"/>
          <w:szCs w:val="28"/>
          <w:highlight w:val="none"/>
          <w:lang w:eastAsia="zh-CN"/>
        </w:rPr>
        <w:t>和</w:t>
      </w:r>
      <w:r>
        <w:rPr>
          <w:rFonts w:hint="eastAsia"/>
          <w:szCs w:val="28"/>
          <w:highlight w:val="none"/>
        </w:rPr>
        <w:t>全年执行数均为</w:t>
      </w:r>
      <w:r>
        <w:rPr>
          <w:rFonts w:hint="eastAsia"/>
          <w:szCs w:val="28"/>
          <w:highlight w:val="none"/>
          <w:lang w:val="en-US" w:eastAsia="zh-CN"/>
        </w:rPr>
        <w:t>24.00</w:t>
      </w:r>
      <w:r>
        <w:rPr>
          <w:rFonts w:hint="eastAsia"/>
          <w:szCs w:val="28"/>
          <w:highlight w:val="none"/>
        </w:rPr>
        <w:t>万元，预算执行率100%，</w:t>
      </w:r>
      <w:r>
        <w:rPr>
          <w:rFonts w:hint="eastAsia"/>
          <w:szCs w:val="28"/>
          <w:highlight w:val="none"/>
          <w:lang w:val="en-US" w:eastAsia="zh-CN"/>
        </w:rPr>
        <w:t>分值</w:t>
      </w:r>
      <w:r>
        <w:rPr>
          <w:rFonts w:hint="eastAsia"/>
          <w:szCs w:val="28"/>
          <w:highlight w:val="none"/>
        </w:rPr>
        <w:t>10分，得分10分。</w:t>
      </w:r>
    </w:p>
    <w:p w14:paraId="6492F8DF">
      <w:pPr>
        <w:pStyle w:val="5"/>
        <w:ind w:firstLine="562"/>
        <w:rPr>
          <w:szCs w:val="28"/>
          <w:highlight w:val="none"/>
        </w:rPr>
      </w:pPr>
      <w:r>
        <w:rPr>
          <w:rFonts w:hint="eastAsia"/>
          <w:szCs w:val="28"/>
          <w:highlight w:val="none"/>
        </w:rPr>
        <w:t>2</w:t>
      </w:r>
      <w:r>
        <w:rPr>
          <w:rFonts w:hint="eastAsia"/>
          <w:szCs w:val="28"/>
          <w:highlight w:val="none"/>
          <w:lang w:eastAsia="zh-CN"/>
        </w:rPr>
        <w:t>.</w:t>
      </w:r>
      <w:r>
        <w:rPr>
          <w:rFonts w:hint="eastAsia"/>
          <w:szCs w:val="28"/>
          <w:highlight w:val="none"/>
        </w:rPr>
        <w:t>总体绩效目标完成情况分析</w:t>
      </w:r>
    </w:p>
    <w:p w14:paraId="48FE78DD">
      <w:pPr>
        <w:bidi w:val="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/>
          <w:szCs w:val="28"/>
          <w:highlight w:val="none"/>
          <w:lang w:val="en-US" w:eastAsia="zh-CN"/>
        </w:rPr>
        <w:t>通过全省</w:t>
      </w:r>
      <w:r>
        <w:rPr>
          <w:rFonts w:hint="eastAsia"/>
          <w:highlight w:val="none"/>
          <w:lang w:val="en-US" w:eastAsia="zh-CN"/>
        </w:rPr>
        <w:t>法庭运维费</w:t>
      </w:r>
      <w:r>
        <w:rPr>
          <w:rFonts w:hint="eastAsia"/>
          <w:szCs w:val="28"/>
          <w:highlight w:val="none"/>
          <w:lang w:val="en-US" w:eastAsia="zh-CN"/>
        </w:rPr>
        <w:t>的投入，1、通过2023年度法庭运维经费的投入，确保我院基层人民法庭办案办公的正常开展，更好地执行及维护国家法制、法律的权威，维护社会稳定和谐；2、保障基层法庭运营维护经费，改善基层法庭办案办公条件，提供稳定经费保障，确保基层法庭有一个良好的办案办公条件；3、改善基层法庭办案办公条件，提高基层法庭干警工作积极性。</w:t>
      </w:r>
    </w:p>
    <w:p w14:paraId="7AA12377">
      <w:pPr>
        <w:pStyle w:val="5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3</w:t>
      </w:r>
      <w:r>
        <w:rPr>
          <w:rFonts w:hint="eastAsia"/>
          <w:highlight w:val="none"/>
          <w:lang w:eastAsia="zh-CN"/>
        </w:rPr>
        <w:t>.</w:t>
      </w:r>
      <w:r>
        <w:rPr>
          <w:rFonts w:hint="eastAsia"/>
          <w:highlight w:val="none"/>
        </w:rPr>
        <w:t>各项指标完成情况分析</w:t>
      </w:r>
    </w:p>
    <w:p w14:paraId="7908EEC6">
      <w:pPr>
        <w:bidi w:val="0"/>
        <w:rPr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（1）</w:t>
      </w:r>
      <w:r>
        <w:rPr>
          <w:rFonts w:hint="eastAsia"/>
          <w:b/>
          <w:bCs/>
          <w:highlight w:val="none"/>
          <w:lang w:val="en-US" w:eastAsia="zh-CN"/>
        </w:rPr>
        <w:t>成本</w:t>
      </w:r>
      <w:r>
        <w:rPr>
          <w:rFonts w:hint="eastAsia"/>
          <w:b/>
          <w:bCs/>
          <w:highlight w:val="none"/>
        </w:rPr>
        <w:t>指标</w:t>
      </w:r>
    </w:p>
    <w:p w14:paraId="1D3A459F">
      <w:pPr>
        <w:bidi w:val="0"/>
        <w:rPr>
          <w:rFonts w:hint="eastAsia" w:eastAsia="仿宋_GB2312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</w:rPr>
        <w:t>年度预算控制率</w:t>
      </w:r>
      <w:r>
        <w:rPr>
          <w:rFonts w:hint="eastAsia"/>
          <w:b/>
          <w:bCs/>
          <w:highlight w:val="none"/>
          <w:lang w:eastAsia="zh-CN"/>
        </w:rPr>
        <w:t>：</w:t>
      </w:r>
      <w:r>
        <w:rPr>
          <w:rFonts w:hint="eastAsia" w:hAnsi="宋体" w:cstheme="minorBidi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年度目标≥90%，实际完成=100%，</w:t>
      </w:r>
      <w:r>
        <w:rPr>
          <w:rFonts w:hint="eastAsia" w:hAnsi="宋体"/>
          <w:color w:val="auto"/>
          <w:szCs w:val="28"/>
          <w:highlight w:val="none"/>
        </w:rPr>
        <w:t>该指标分值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20</w:t>
      </w:r>
      <w:r>
        <w:rPr>
          <w:rFonts w:hint="eastAsia" w:hAnsi="宋体"/>
          <w:color w:val="auto"/>
          <w:szCs w:val="28"/>
          <w:highlight w:val="none"/>
        </w:rPr>
        <w:t>分，自评得分为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20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%。</w:t>
      </w:r>
    </w:p>
    <w:p w14:paraId="11D0F214">
      <w:pPr>
        <w:bidi w:val="0"/>
        <w:rPr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（</w:t>
      </w:r>
      <w:r>
        <w:rPr>
          <w:rFonts w:hint="eastAsia"/>
          <w:b/>
          <w:bCs/>
          <w:highlight w:val="none"/>
          <w:lang w:val="en-US" w:eastAsia="zh-CN"/>
        </w:rPr>
        <w:t>2</w:t>
      </w:r>
      <w:r>
        <w:rPr>
          <w:rFonts w:hint="eastAsia"/>
          <w:b/>
          <w:bCs/>
          <w:highlight w:val="none"/>
        </w:rPr>
        <w:t>）产出指标</w:t>
      </w:r>
    </w:p>
    <w:p w14:paraId="7B3188E5">
      <w:pPr>
        <w:ind w:firstLine="560"/>
        <w:rPr>
          <w:rFonts w:cs="仿宋_GB2312"/>
          <w:szCs w:val="28"/>
          <w:highlight w:val="none"/>
        </w:rPr>
      </w:pPr>
      <w:r>
        <w:rPr>
          <w:rFonts w:hint="eastAsia" w:cs="仿宋_GB2312"/>
          <w:szCs w:val="28"/>
          <w:highlight w:val="none"/>
        </w:rPr>
        <w:t>产出指标下设数量</w:t>
      </w:r>
      <w:r>
        <w:rPr>
          <w:rFonts w:hint="eastAsia" w:cs="仿宋_GB2312"/>
          <w:szCs w:val="28"/>
          <w:highlight w:val="none"/>
          <w:lang w:eastAsia="zh-CN"/>
        </w:rPr>
        <w:t>、</w:t>
      </w:r>
      <w:r>
        <w:rPr>
          <w:rFonts w:hint="eastAsia" w:cs="仿宋_GB2312"/>
          <w:szCs w:val="28"/>
          <w:highlight w:val="none"/>
        </w:rPr>
        <w:t>质量</w:t>
      </w:r>
      <w:r>
        <w:rPr>
          <w:rFonts w:hint="eastAsia" w:cs="仿宋_GB2312"/>
          <w:szCs w:val="28"/>
          <w:highlight w:val="none"/>
          <w:lang w:eastAsia="zh-CN"/>
        </w:rPr>
        <w:t>、时效</w:t>
      </w:r>
      <w:r>
        <w:rPr>
          <w:rFonts w:hint="eastAsia" w:cs="仿宋_GB2312"/>
          <w:szCs w:val="28"/>
          <w:highlight w:val="none"/>
          <w:lang w:val="en-US" w:eastAsia="zh-CN"/>
        </w:rPr>
        <w:t>3</w:t>
      </w:r>
      <w:r>
        <w:rPr>
          <w:rFonts w:hint="eastAsia" w:cs="仿宋_GB2312"/>
          <w:szCs w:val="28"/>
          <w:highlight w:val="none"/>
        </w:rPr>
        <w:t>个二级指标。总分值</w:t>
      </w:r>
      <w:r>
        <w:rPr>
          <w:rFonts w:hint="eastAsia" w:cs="仿宋_GB2312"/>
          <w:szCs w:val="28"/>
          <w:highlight w:val="none"/>
          <w:lang w:val="en-US" w:eastAsia="zh-CN"/>
        </w:rPr>
        <w:t>4</w:t>
      </w:r>
      <w:r>
        <w:rPr>
          <w:rFonts w:hint="eastAsia" w:cs="仿宋_GB2312"/>
          <w:szCs w:val="28"/>
          <w:highlight w:val="none"/>
        </w:rPr>
        <w:t>0分，得分</w:t>
      </w:r>
      <w:r>
        <w:rPr>
          <w:rFonts w:hint="eastAsia" w:cs="仿宋_GB2312"/>
          <w:szCs w:val="28"/>
          <w:highlight w:val="none"/>
          <w:lang w:val="en-US" w:eastAsia="zh-CN"/>
        </w:rPr>
        <w:t>40</w:t>
      </w:r>
      <w:r>
        <w:rPr>
          <w:rFonts w:hint="eastAsia" w:cs="仿宋_GB2312"/>
          <w:szCs w:val="28"/>
          <w:highlight w:val="none"/>
        </w:rPr>
        <w:t>分，得分率</w:t>
      </w:r>
      <w:r>
        <w:rPr>
          <w:rFonts w:hint="eastAsia" w:cs="仿宋_GB2312"/>
          <w:szCs w:val="28"/>
          <w:highlight w:val="none"/>
          <w:lang w:val="en-US" w:eastAsia="zh-CN"/>
        </w:rPr>
        <w:t>100</w:t>
      </w:r>
      <w:r>
        <w:rPr>
          <w:rFonts w:hint="eastAsia" w:cs="仿宋_GB2312"/>
          <w:szCs w:val="28"/>
          <w:highlight w:val="none"/>
        </w:rPr>
        <w:t>%。</w:t>
      </w:r>
    </w:p>
    <w:p w14:paraId="252425AF">
      <w:pPr>
        <w:ind w:firstLine="562"/>
        <w:rPr>
          <w:rFonts w:cs="仿宋_GB2312"/>
          <w:szCs w:val="28"/>
          <w:highlight w:val="none"/>
        </w:rPr>
      </w:pPr>
      <w:r>
        <w:rPr>
          <w:rFonts w:hint="eastAsia"/>
          <w:b/>
          <w:bCs/>
          <w:szCs w:val="28"/>
          <w:highlight w:val="none"/>
        </w:rPr>
        <w:t>①数量指标</w:t>
      </w:r>
    </w:p>
    <w:p w14:paraId="036C7C5C">
      <w:pPr>
        <w:ind w:firstLine="560"/>
        <w:rPr>
          <w:rFonts w:hAnsi="宋体"/>
          <w:szCs w:val="28"/>
          <w:highlight w:val="none"/>
        </w:rPr>
      </w:pPr>
      <w:r>
        <w:rPr>
          <w:rFonts w:hint="eastAsia"/>
          <w:highlight w:val="none"/>
        </w:rPr>
        <w:t>数量指标下设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个三级指标，</w:t>
      </w:r>
      <w:r>
        <w:rPr>
          <w:rFonts w:hint="eastAsia"/>
          <w:highlight w:val="none"/>
          <w:lang w:val="en-US" w:eastAsia="zh-CN"/>
        </w:rPr>
        <w:t>该</w:t>
      </w:r>
      <w:r>
        <w:rPr>
          <w:rFonts w:hint="eastAsia" w:hAnsi="宋体"/>
          <w:szCs w:val="28"/>
          <w:highlight w:val="none"/>
        </w:rPr>
        <w:t>指标</w:t>
      </w:r>
      <w:r>
        <w:rPr>
          <w:rFonts w:hint="eastAsia" w:hAnsi="宋体"/>
          <w:szCs w:val="28"/>
          <w:highlight w:val="none"/>
          <w:lang w:val="en-US" w:eastAsia="zh-CN"/>
        </w:rPr>
        <w:t>分值13.36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13.36</w:t>
      </w:r>
      <w:r>
        <w:rPr>
          <w:rFonts w:hint="eastAsia" w:hAnsi="宋体"/>
          <w:szCs w:val="28"/>
          <w:highlight w:val="none"/>
        </w:rPr>
        <w:t>分，得分率为</w:t>
      </w:r>
      <w:r>
        <w:rPr>
          <w:rFonts w:hint="eastAsia" w:hAnsi="宋体"/>
          <w:szCs w:val="28"/>
          <w:highlight w:val="none"/>
          <w:lang w:val="en-US" w:eastAsia="zh-CN"/>
        </w:rPr>
        <w:t>100</w:t>
      </w:r>
      <w:r>
        <w:rPr>
          <w:rFonts w:hint="eastAsia" w:hAnsi="宋体"/>
          <w:szCs w:val="28"/>
          <w:highlight w:val="none"/>
        </w:rPr>
        <w:t>%。</w:t>
      </w:r>
    </w:p>
    <w:p w14:paraId="2B2FC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hAnsi="宋体"/>
          <w:color w:val="auto"/>
          <w:szCs w:val="28"/>
          <w:highlight w:val="none"/>
          <w:lang w:val="en-US" w:eastAsia="zh-CN"/>
        </w:rPr>
      </w:pPr>
      <w:r>
        <w:rPr>
          <w:rFonts w:hint="eastAsia" w:hAnsi="宋体"/>
          <w:b/>
          <w:bCs/>
          <w:color w:val="auto"/>
          <w:szCs w:val="28"/>
          <w:highlight w:val="none"/>
          <w:lang w:val="en-US" w:eastAsia="zh-CN"/>
        </w:rPr>
        <w:t>保障基层法庭个数：</w:t>
      </w:r>
      <w:r>
        <w:rPr>
          <w:rFonts w:hint="eastAsia" w:hAnsi="宋体" w:cstheme="minorBidi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年度目标=3个，实际完成=3个，</w:t>
      </w:r>
      <w:r>
        <w:rPr>
          <w:rFonts w:hint="eastAsia" w:hAnsi="宋体"/>
          <w:color w:val="auto"/>
          <w:szCs w:val="28"/>
          <w:highlight w:val="none"/>
        </w:rPr>
        <w:t>该指标分值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4.48</w:t>
      </w:r>
      <w:r>
        <w:rPr>
          <w:rFonts w:hint="eastAsia" w:hAnsi="宋体"/>
          <w:color w:val="auto"/>
          <w:szCs w:val="28"/>
          <w:highlight w:val="none"/>
        </w:rPr>
        <w:t>分，自评得分为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4.48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%。</w:t>
      </w:r>
    </w:p>
    <w:p w14:paraId="0CC34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hAnsi="宋体"/>
          <w:b w:val="0"/>
          <w:bCs w:val="0"/>
          <w:szCs w:val="28"/>
          <w:highlight w:val="yellow"/>
        </w:rPr>
      </w:pPr>
      <w:r>
        <w:rPr>
          <w:rFonts w:hint="eastAsia" w:hAnsi="宋体"/>
          <w:b/>
          <w:bCs/>
          <w:szCs w:val="28"/>
          <w:highlight w:val="none"/>
          <w:lang w:val="en-US" w:eastAsia="zh-CN"/>
        </w:rPr>
        <w:t>保障水电暖供应率：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年度目标=100%，实际完成率=100%，</w:t>
      </w:r>
      <w:r>
        <w:rPr>
          <w:rFonts w:hint="eastAsia" w:hAnsi="宋体"/>
          <w:color w:val="auto"/>
          <w:szCs w:val="28"/>
          <w:highlight w:val="none"/>
        </w:rPr>
        <w:t>该指标分值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4.44</w:t>
      </w:r>
      <w:r>
        <w:rPr>
          <w:rFonts w:hint="eastAsia" w:hAnsi="宋体"/>
          <w:color w:val="auto"/>
          <w:szCs w:val="28"/>
          <w:highlight w:val="none"/>
        </w:rPr>
        <w:t>分，自评得分为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4.44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%。</w:t>
      </w:r>
    </w:p>
    <w:p w14:paraId="770C710E">
      <w:pPr>
        <w:bidi w:val="0"/>
        <w:rPr>
          <w:rFonts w:hint="eastAsia"/>
          <w:b/>
          <w:bCs/>
          <w:highlight w:val="none"/>
          <w:lang w:eastAsia="zh-CN"/>
        </w:rPr>
      </w:pPr>
      <w:r>
        <w:rPr>
          <w:rFonts w:hint="eastAsia" w:hAnsi="宋体"/>
          <w:b/>
          <w:bCs/>
          <w:szCs w:val="28"/>
          <w:highlight w:val="none"/>
          <w:lang w:val="en-US" w:eastAsia="zh-CN"/>
        </w:rPr>
        <w:t>维修维护工作完成率：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年度目标≥90%，实际完成率=90%，</w:t>
      </w:r>
      <w:r>
        <w:rPr>
          <w:rFonts w:hint="eastAsia" w:hAnsi="宋体"/>
          <w:color w:val="auto"/>
          <w:szCs w:val="28"/>
          <w:highlight w:val="none"/>
        </w:rPr>
        <w:t>该指标分值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4.44</w:t>
      </w:r>
      <w:r>
        <w:rPr>
          <w:rFonts w:hint="eastAsia" w:hAnsi="宋体"/>
          <w:color w:val="auto"/>
          <w:szCs w:val="28"/>
          <w:highlight w:val="none"/>
        </w:rPr>
        <w:t>分，自评得分为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4.44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%。</w:t>
      </w:r>
    </w:p>
    <w:p w14:paraId="744E7B66">
      <w:pPr>
        <w:bidi w:val="0"/>
        <w:rPr>
          <w:b/>
          <w:bCs/>
          <w:highlight w:val="none"/>
        </w:rPr>
      </w:pPr>
      <w:r>
        <w:rPr>
          <w:rFonts w:hint="eastAsia"/>
          <w:b/>
          <w:bCs/>
          <w:highlight w:val="none"/>
          <w:lang w:eastAsia="zh-CN"/>
        </w:rPr>
        <w:t>②</w:t>
      </w:r>
      <w:r>
        <w:rPr>
          <w:rFonts w:hint="eastAsia"/>
          <w:b/>
          <w:bCs/>
          <w:highlight w:val="none"/>
        </w:rPr>
        <w:t>质量指标</w:t>
      </w:r>
    </w:p>
    <w:p w14:paraId="3BDE1C4D">
      <w:pPr>
        <w:ind w:firstLine="560"/>
      </w:pPr>
      <w:r>
        <w:rPr>
          <w:rFonts w:hint="eastAsia"/>
          <w:highlight w:val="none"/>
        </w:rPr>
        <w:t>质量指标下设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个三级指标，</w:t>
      </w:r>
      <w:r>
        <w:rPr>
          <w:rFonts w:hint="eastAsia"/>
          <w:highlight w:val="none"/>
          <w:lang w:val="en-US" w:eastAsia="zh-CN"/>
        </w:rPr>
        <w:t>该</w:t>
      </w:r>
      <w:r>
        <w:rPr>
          <w:rFonts w:hint="eastAsia" w:hAnsi="宋体"/>
          <w:szCs w:val="28"/>
          <w:highlight w:val="none"/>
        </w:rPr>
        <w:t>指标</w:t>
      </w:r>
      <w:r>
        <w:rPr>
          <w:rFonts w:hint="eastAsia" w:hAnsi="宋体"/>
          <w:szCs w:val="28"/>
          <w:highlight w:val="none"/>
          <w:lang w:val="en-US" w:eastAsia="zh-CN"/>
        </w:rPr>
        <w:t>分值13.32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13.32</w:t>
      </w:r>
      <w:r>
        <w:rPr>
          <w:rFonts w:hint="eastAsia" w:hAnsi="宋体"/>
          <w:szCs w:val="28"/>
          <w:highlight w:val="none"/>
        </w:rPr>
        <w:t>分，得分率为</w:t>
      </w:r>
      <w:r>
        <w:rPr>
          <w:rFonts w:hint="eastAsia" w:hAnsi="宋体"/>
          <w:szCs w:val="28"/>
          <w:highlight w:val="none"/>
          <w:lang w:val="en-US" w:eastAsia="zh-CN"/>
        </w:rPr>
        <w:t>100</w:t>
      </w:r>
      <w:r>
        <w:rPr>
          <w:rFonts w:hint="eastAsia" w:hAnsi="宋体"/>
          <w:szCs w:val="28"/>
          <w:highlight w:val="none"/>
        </w:rPr>
        <w:t>%。</w:t>
      </w:r>
    </w:p>
    <w:p w14:paraId="27225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hAnsi="宋体" w:cstheme="minorBidi"/>
          <w:b w:val="0"/>
          <w:bCs w:val="0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/>
          <w:b/>
          <w:bCs/>
          <w:highlight w:val="none"/>
          <w:lang w:val="en-US" w:eastAsia="zh-CN"/>
        </w:rPr>
        <w:t>法庭正常运转保障率：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年度目标=100%，实际完成率=100%，</w:t>
      </w:r>
      <w:r>
        <w:rPr>
          <w:rFonts w:hint="eastAsia" w:hAnsi="宋体"/>
          <w:color w:val="auto"/>
          <w:szCs w:val="28"/>
          <w:highlight w:val="none"/>
        </w:rPr>
        <w:t>该指标分值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4.44</w:t>
      </w:r>
      <w:r>
        <w:rPr>
          <w:rFonts w:hint="eastAsia" w:hAnsi="宋体"/>
          <w:color w:val="auto"/>
          <w:szCs w:val="28"/>
          <w:highlight w:val="none"/>
        </w:rPr>
        <w:t>分，自评得分为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4.44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%。</w:t>
      </w:r>
    </w:p>
    <w:p w14:paraId="7C47E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default"/>
          <w:b/>
          <w:bCs/>
          <w:highlight w:val="none"/>
          <w:lang w:val="en-US" w:eastAsia="zh-CN"/>
        </w:rPr>
        <w:t>水电暖服务保障率</w:t>
      </w:r>
      <w:r>
        <w:rPr>
          <w:rFonts w:hint="eastAsia"/>
          <w:b/>
          <w:bCs/>
          <w:highlight w:val="none"/>
          <w:lang w:val="en-US" w:eastAsia="zh-CN"/>
        </w:rPr>
        <w:t>：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年度目标=100%，实际完成率=100%，</w:t>
      </w:r>
      <w:r>
        <w:rPr>
          <w:rFonts w:hint="eastAsia" w:hAnsi="宋体"/>
          <w:color w:val="auto"/>
          <w:szCs w:val="28"/>
          <w:highlight w:val="none"/>
        </w:rPr>
        <w:t>该指标分值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4.44</w:t>
      </w:r>
      <w:r>
        <w:rPr>
          <w:rFonts w:hint="eastAsia" w:hAnsi="宋体"/>
          <w:color w:val="auto"/>
          <w:szCs w:val="28"/>
          <w:highlight w:val="none"/>
        </w:rPr>
        <w:t>分，自评得分为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4.44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%。</w:t>
      </w:r>
    </w:p>
    <w:p w14:paraId="032AF571">
      <w:pPr>
        <w:pStyle w:val="9"/>
        <w:ind w:firstLine="560"/>
        <w:rPr>
          <w:rFonts w:hint="eastAsia" w:ascii="Calibri" w:hAnsi="Calibri" w:eastAsia="仿宋_GB2312" w:cs="Calibri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仿宋_GB2312" w:cs="Calibri"/>
          <w:b/>
          <w:bCs/>
          <w:kern w:val="2"/>
          <w:sz w:val="28"/>
          <w:szCs w:val="28"/>
          <w:highlight w:val="none"/>
          <w:lang w:val="en-US" w:eastAsia="zh-CN" w:bidi="ar-SA"/>
        </w:rPr>
        <w:t>维修维护合格率</w:t>
      </w:r>
      <w:r>
        <w:rPr>
          <w:rFonts w:hint="eastAsia" w:ascii="Calibri" w:hAnsi="Calibri" w:cs="Calibri"/>
          <w:b/>
          <w:bCs/>
          <w:kern w:val="2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年度目标=100%，实际完成率=100%，</w:t>
      </w:r>
      <w:r>
        <w:rPr>
          <w:rFonts w:hint="eastAsia" w:hAnsi="宋体"/>
          <w:color w:val="auto"/>
          <w:szCs w:val="28"/>
          <w:highlight w:val="none"/>
        </w:rPr>
        <w:t>该指标分值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4.44</w:t>
      </w:r>
      <w:r>
        <w:rPr>
          <w:rFonts w:hint="eastAsia" w:hAnsi="宋体"/>
          <w:color w:val="auto"/>
          <w:szCs w:val="28"/>
          <w:highlight w:val="none"/>
        </w:rPr>
        <w:t>分，自评得分为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4.44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%。</w:t>
      </w:r>
    </w:p>
    <w:p w14:paraId="0746824B">
      <w:pPr>
        <w:pStyle w:val="9"/>
        <w:ind w:firstLine="560"/>
        <w:rPr>
          <w:rFonts w:hint="eastAsia" w:ascii="Calibri" w:hAnsi="Calibri" w:eastAsia="仿宋_GB2312" w:cs="Calibri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仿宋_GB2312" w:cs="Calibri"/>
          <w:b/>
          <w:bCs/>
          <w:kern w:val="2"/>
          <w:sz w:val="28"/>
          <w:szCs w:val="28"/>
          <w:highlight w:val="none"/>
          <w:lang w:val="en-US" w:eastAsia="zh-CN" w:bidi="ar-SA"/>
        </w:rPr>
        <w:t>③时效指标</w:t>
      </w:r>
    </w:p>
    <w:p w14:paraId="6BC41326">
      <w:pPr>
        <w:ind w:firstLine="56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none"/>
          <w:lang w:eastAsia="zh-CN"/>
        </w:rPr>
        <w:t>时效</w:t>
      </w:r>
      <w:r>
        <w:rPr>
          <w:rFonts w:hint="eastAsia"/>
          <w:highlight w:val="none"/>
        </w:rPr>
        <w:t>指标下设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个三级指标，</w:t>
      </w:r>
      <w:r>
        <w:rPr>
          <w:rFonts w:hint="eastAsia"/>
          <w:highlight w:val="none"/>
          <w:lang w:val="en-US" w:eastAsia="zh-CN"/>
        </w:rPr>
        <w:t>该</w:t>
      </w:r>
      <w:r>
        <w:rPr>
          <w:rFonts w:hint="eastAsia" w:hAnsi="宋体"/>
          <w:szCs w:val="28"/>
          <w:highlight w:val="none"/>
        </w:rPr>
        <w:t>指标</w:t>
      </w:r>
      <w:r>
        <w:rPr>
          <w:rFonts w:hint="eastAsia" w:hAnsi="宋体"/>
          <w:szCs w:val="28"/>
          <w:highlight w:val="none"/>
          <w:lang w:val="en-US" w:eastAsia="zh-CN"/>
        </w:rPr>
        <w:t>分值13.32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13.32</w:t>
      </w:r>
      <w:r>
        <w:rPr>
          <w:rFonts w:hint="eastAsia" w:hAnsi="宋体"/>
          <w:szCs w:val="28"/>
          <w:highlight w:val="none"/>
        </w:rPr>
        <w:t>分，得分率为</w:t>
      </w:r>
      <w:r>
        <w:rPr>
          <w:rFonts w:hint="eastAsia" w:hAnsi="宋体"/>
          <w:szCs w:val="28"/>
          <w:highlight w:val="none"/>
          <w:lang w:val="en-US" w:eastAsia="zh-CN"/>
        </w:rPr>
        <w:t>100</w:t>
      </w:r>
      <w:r>
        <w:rPr>
          <w:rFonts w:hint="eastAsia" w:hAnsi="宋体"/>
          <w:szCs w:val="28"/>
          <w:highlight w:val="none"/>
        </w:rPr>
        <w:t>%。</w:t>
      </w:r>
    </w:p>
    <w:p w14:paraId="36159095">
      <w:pPr>
        <w:pStyle w:val="9"/>
        <w:ind w:firstLine="560"/>
        <w:rPr>
          <w:rFonts w:hint="eastAsia"/>
          <w:b/>
          <w:bCs/>
          <w:highlight w:val="none"/>
        </w:rPr>
      </w:pPr>
      <w:r>
        <w:rPr>
          <w:rFonts w:hint="eastAsia" w:ascii="仿宋_GB2312" w:hAnsi="仿宋_GB2312" w:eastAsia="仿宋_GB2312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法庭运维及时性</w:t>
      </w:r>
      <w:r>
        <w:rPr>
          <w:rFonts w:hint="eastAsia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我院本年度法庭运维及时完成，达到年度指标值，</w:t>
      </w:r>
      <w:r>
        <w:rPr>
          <w:rFonts w:hint="eastAsia" w:hAnsi="宋体"/>
          <w:color w:val="auto"/>
          <w:szCs w:val="28"/>
          <w:highlight w:val="none"/>
        </w:rPr>
        <w:t>该指标分值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4.44</w:t>
      </w:r>
      <w:r>
        <w:rPr>
          <w:rFonts w:hint="eastAsia" w:hAnsi="宋体"/>
          <w:color w:val="auto"/>
          <w:szCs w:val="28"/>
          <w:highlight w:val="none"/>
        </w:rPr>
        <w:t>分，自评得分为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4.44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%。</w:t>
      </w:r>
    </w:p>
    <w:p w14:paraId="0232BB89">
      <w:pPr>
        <w:ind w:firstLine="562"/>
        <w:rPr>
          <w:rFonts w:hint="eastAsia" w:hAnsi="宋体"/>
          <w:b w:val="0"/>
          <w:bCs w:val="0"/>
          <w:szCs w:val="28"/>
          <w:highlight w:val="yellow"/>
        </w:rPr>
      </w:pPr>
      <w:r>
        <w:rPr>
          <w:rFonts w:hint="eastAsia" w:ascii="仿宋_GB2312" w:hAnsi="仿宋_GB2312" w:eastAsia="仿宋_GB2312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日常维护工作完成及时性</w:t>
      </w:r>
      <w:r>
        <w:rPr>
          <w:rFonts w:hint="eastAsia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我院本年度日常维护工作及时完成，达到年度指标值，</w:t>
      </w:r>
      <w:r>
        <w:rPr>
          <w:rFonts w:hint="eastAsia" w:hAnsi="宋体"/>
          <w:color w:val="auto"/>
          <w:szCs w:val="28"/>
          <w:highlight w:val="none"/>
        </w:rPr>
        <w:t>该指标分值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4.44</w:t>
      </w:r>
      <w:r>
        <w:rPr>
          <w:rFonts w:hint="eastAsia" w:hAnsi="宋体"/>
          <w:color w:val="auto"/>
          <w:szCs w:val="28"/>
          <w:highlight w:val="none"/>
        </w:rPr>
        <w:t>分，自评得分为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4.44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%。</w:t>
      </w:r>
    </w:p>
    <w:p w14:paraId="5C32DCEB">
      <w:pPr>
        <w:bidi w:val="0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 w:ascii="仿宋_GB2312" w:hAnsi="仿宋_GB2312" w:eastAsia="仿宋_GB2312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水电暖服务保障工作及时性</w:t>
      </w:r>
      <w:r>
        <w:rPr>
          <w:rFonts w:hint="eastAsia" w:cstheme="minorBidi"/>
          <w:b/>
          <w:bCs/>
          <w:kern w:val="2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我院本年度水电暖服务保障工作及时完成，达到年度指标值，</w:t>
      </w:r>
      <w:r>
        <w:rPr>
          <w:rFonts w:hint="eastAsia" w:hAnsi="宋体"/>
          <w:color w:val="auto"/>
          <w:szCs w:val="28"/>
          <w:highlight w:val="none"/>
        </w:rPr>
        <w:t>该指标分值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4.44</w:t>
      </w:r>
      <w:r>
        <w:rPr>
          <w:rFonts w:hint="eastAsia" w:hAnsi="宋体"/>
          <w:color w:val="auto"/>
          <w:szCs w:val="28"/>
          <w:highlight w:val="none"/>
        </w:rPr>
        <w:t>分，自评得分为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4.44</w:t>
      </w:r>
      <w:r>
        <w:rPr>
          <w:rFonts w:hint="eastAsia" w:hAnsi="宋体"/>
          <w:color w:val="auto"/>
          <w:szCs w:val="28"/>
          <w:highlight w:val="none"/>
        </w:rPr>
        <w:t>分，得分率为</w:t>
      </w:r>
      <w:r>
        <w:rPr>
          <w:rFonts w:hint="eastAsia" w:hAnsi="宋体"/>
          <w:color w:val="auto"/>
          <w:szCs w:val="28"/>
          <w:highlight w:val="none"/>
          <w:lang w:val="en-US" w:eastAsia="zh-CN"/>
        </w:rPr>
        <w:t>100</w:t>
      </w:r>
      <w:r>
        <w:rPr>
          <w:rFonts w:hint="eastAsia" w:hAnsi="宋体"/>
          <w:color w:val="auto"/>
          <w:szCs w:val="28"/>
          <w:highlight w:val="none"/>
        </w:rPr>
        <w:t>%</w:t>
      </w:r>
    </w:p>
    <w:p w14:paraId="52F9CC99">
      <w:pPr>
        <w:ind w:firstLine="562"/>
        <w:rPr>
          <w:b/>
          <w:bCs/>
          <w:szCs w:val="28"/>
          <w:highlight w:val="none"/>
        </w:rPr>
      </w:pPr>
      <w:r>
        <w:rPr>
          <w:rFonts w:hint="eastAsia"/>
          <w:b/>
          <w:bCs/>
          <w:szCs w:val="28"/>
          <w:highlight w:val="none"/>
        </w:rPr>
        <w:t>（</w:t>
      </w:r>
      <w:r>
        <w:rPr>
          <w:rFonts w:hint="eastAsia"/>
          <w:b/>
          <w:bCs/>
          <w:szCs w:val="28"/>
          <w:highlight w:val="none"/>
          <w:lang w:val="en-US" w:eastAsia="zh-CN"/>
        </w:rPr>
        <w:t>3</w:t>
      </w:r>
      <w:r>
        <w:rPr>
          <w:rFonts w:hint="eastAsia"/>
          <w:b/>
          <w:bCs/>
          <w:szCs w:val="28"/>
          <w:highlight w:val="none"/>
        </w:rPr>
        <w:t>）效益指标</w:t>
      </w:r>
    </w:p>
    <w:p w14:paraId="21A042F7">
      <w:pPr>
        <w:ind w:firstLine="560"/>
        <w:rPr>
          <w:szCs w:val="28"/>
          <w:highlight w:val="none"/>
        </w:rPr>
      </w:pPr>
      <w:r>
        <w:rPr>
          <w:rFonts w:hint="eastAsia"/>
          <w:szCs w:val="28"/>
          <w:highlight w:val="none"/>
        </w:rPr>
        <w:t>本项目效益指标主要考虑社会效益</w:t>
      </w:r>
      <w:r>
        <w:rPr>
          <w:rFonts w:hint="eastAsia"/>
          <w:szCs w:val="28"/>
          <w:highlight w:val="none"/>
          <w:lang w:val="en-US" w:eastAsia="zh-CN"/>
        </w:rPr>
        <w:t>1个二级指标</w:t>
      </w:r>
      <w:r>
        <w:rPr>
          <w:rFonts w:hint="eastAsia"/>
          <w:szCs w:val="28"/>
          <w:highlight w:val="none"/>
        </w:rPr>
        <w:t>。总分值</w:t>
      </w:r>
      <w:r>
        <w:rPr>
          <w:rFonts w:hint="eastAsia"/>
          <w:szCs w:val="28"/>
          <w:highlight w:val="none"/>
          <w:lang w:val="en-US" w:eastAsia="zh-CN"/>
        </w:rPr>
        <w:t>2</w:t>
      </w:r>
      <w:r>
        <w:rPr>
          <w:rFonts w:hint="eastAsia"/>
          <w:szCs w:val="28"/>
          <w:highlight w:val="none"/>
        </w:rPr>
        <w:t>0分，得分</w:t>
      </w:r>
      <w:r>
        <w:rPr>
          <w:rFonts w:hint="eastAsia"/>
          <w:szCs w:val="28"/>
          <w:highlight w:val="none"/>
          <w:lang w:val="en-US" w:eastAsia="zh-CN"/>
        </w:rPr>
        <w:t>20</w:t>
      </w:r>
      <w:r>
        <w:rPr>
          <w:rFonts w:hint="eastAsia"/>
          <w:szCs w:val="28"/>
          <w:highlight w:val="none"/>
        </w:rPr>
        <w:t>分，得分率</w:t>
      </w:r>
      <w:r>
        <w:rPr>
          <w:rFonts w:hint="eastAsia"/>
          <w:szCs w:val="28"/>
          <w:highlight w:val="none"/>
          <w:lang w:val="en-US" w:eastAsia="zh-CN"/>
        </w:rPr>
        <w:t>100</w:t>
      </w:r>
      <w:r>
        <w:rPr>
          <w:rFonts w:hint="eastAsia"/>
          <w:szCs w:val="28"/>
          <w:highlight w:val="none"/>
        </w:rPr>
        <w:t>%。</w:t>
      </w:r>
    </w:p>
    <w:p w14:paraId="6C4744F5">
      <w:pPr>
        <w:ind w:firstLine="562"/>
        <w:rPr>
          <w:rFonts w:hint="eastAsia"/>
          <w:b/>
          <w:bCs/>
          <w:szCs w:val="28"/>
          <w:highlight w:val="none"/>
          <w:lang w:eastAsia="zh-CN"/>
        </w:rPr>
      </w:pPr>
      <w:r>
        <w:rPr>
          <w:rFonts w:hint="eastAsia"/>
          <w:b/>
          <w:bCs/>
          <w:szCs w:val="28"/>
          <w:highlight w:val="none"/>
        </w:rPr>
        <w:t>①</w:t>
      </w:r>
      <w:r>
        <w:rPr>
          <w:rFonts w:hint="eastAsia"/>
          <w:b/>
          <w:bCs/>
          <w:highlight w:val="none"/>
          <w:lang w:eastAsia="zh-CN"/>
        </w:rPr>
        <w:t>社会效益指标</w:t>
      </w:r>
    </w:p>
    <w:p w14:paraId="1E663747">
      <w:pPr>
        <w:ind w:firstLine="560"/>
        <w:rPr>
          <w:highlight w:val="none"/>
        </w:rPr>
      </w:pPr>
      <w:r>
        <w:rPr>
          <w:rFonts w:hint="eastAsia"/>
          <w:highlight w:val="none"/>
        </w:rPr>
        <w:t>社会效益指标下设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个三级指标，</w:t>
      </w:r>
      <w:r>
        <w:rPr>
          <w:rFonts w:hint="eastAsia" w:hAnsi="宋体"/>
          <w:szCs w:val="28"/>
          <w:highlight w:val="none"/>
        </w:rPr>
        <w:t>指标</w:t>
      </w:r>
      <w:r>
        <w:rPr>
          <w:rFonts w:hint="eastAsia" w:hAnsi="宋体"/>
          <w:szCs w:val="28"/>
          <w:highlight w:val="none"/>
          <w:lang w:val="en-US" w:eastAsia="zh-CN"/>
        </w:rPr>
        <w:t>分值20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20</w:t>
      </w:r>
      <w:r>
        <w:rPr>
          <w:rFonts w:hint="eastAsia" w:hAnsi="宋体"/>
          <w:szCs w:val="28"/>
          <w:highlight w:val="none"/>
        </w:rPr>
        <w:t>分，得分率为</w:t>
      </w:r>
      <w:r>
        <w:rPr>
          <w:rFonts w:hint="eastAsia" w:hAnsi="宋体"/>
          <w:szCs w:val="28"/>
          <w:highlight w:val="none"/>
          <w:lang w:val="en-US" w:eastAsia="zh-CN"/>
        </w:rPr>
        <w:t>100</w:t>
      </w:r>
      <w:r>
        <w:rPr>
          <w:rFonts w:hint="eastAsia" w:hAnsi="宋体"/>
          <w:szCs w:val="28"/>
          <w:highlight w:val="none"/>
        </w:rPr>
        <w:t>%。</w:t>
      </w:r>
    </w:p>
    <w:p w14:paraId="3A1B4AA3">
      <w:pPr>
        <w:pStyle w:val="19"/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/>
          <w:b/>
          <w:bCs/>
          <w:highlight w:val="none"/>
          <w:lang w:val="en-US" w:eastAsia="zh-CN"/>
        </w:rPr>
        <w:t>有效保障审判服务</w:t>
      </w:r>
      <w:r>
        <w:rPr>
          <w:rFonts w:hint="eastAsia"/>
          <w:b w:val="0"/>
          <w:bCs w:val="0"/>
          <w:highlight w:val="none"/>
          <w:lang w:val="en-US" w:eastAsia="zh-CN"/>
        </w:rPr>
        <w:t>：2023年我院依法开展刑事审判，全力维护社会稳定；妥善解决民商纠纷，积极化解社会矛盾；加强行政审判工作，促进法制政府建设；全力破解执行难题，兑现涉诉合法权益，不断提高人民群众对法院信任度。</w:t>
      </w:r>
      <w:r>
        <w:rPr>
          <w:rFonts w:hint="eastAsia" w:hAnsi="宋体"/>
          <w:b w:val="0"/>
          <w:bCs w:val="0"/>
          <w:szCs w:val="28"/>
          <w:highlight w:val="none"/>
        </w:rPr>
        <w:t>该指标分值</w:t>
      </w:r>
      <w:r>
        <w:rPr>
          <w:rFonts w:hint="eastAsia" w:hAnsi="宋体"/>
          <w:b w:val="0"/>
          <w:bCs w:val="0"/>
          <w:szCs w:val="28"/>
          <w:highlight w:val="none"/>
          <w:lang w:val="en-US" w:eastAsia="zh-CN"/>
        </w:rPr>
        <w:t>20</w:t>
      </w:r>
      <w:r>
        <w:rPr>
          <w:rFonts w:hint="eastAsia" w:hAnsi="宋体"/>
          <w:b w:val="0"/>
          <w:bCs w:val="0"/>
          <w:szCs w:val="28"/>
          <w:highlight w:val="none"/>
        </w:rPr>
        <w:t>分，自评得分为</w:t>
      </w:r>
      <w:r>
        <w:rPr>
          <w:rFonts w:hint="eastAsia" w:hAnsi="宋体"/>
          <w:b w:val="0"/>
          <w:bCs w:val="0"/>
          <w:szCs w:val="28"/>
          <w:highlight w:val="none"/>
          <w:lang w:val="en-US" w:eastAsia="zh-CN"/>
        </w:rPr>
        <w:t>20</w:t>
      </w:r>
      <w:r>
        <w:rPr>
          <w:rFonts w:hint="eastAsia" w:hAnsi="宋体"/>
          <w:b w:val="0"/>
          <w:bCs w:val="0"/>
          <w:szCs w:val="28"/>
          <w:highlight w:val="none"/>
        </w:rPr>
        <w:t>分，得分率为</w:t>
      </w:r>
      <w:r>
        <w:rPr>
          <w:rFonts w:hint="eastAsia" w:hAnsi="宋体"/>
          <w:b w:val="0"/>
          <w:bCs w:val="0"/>
          <w:szCs w:val="28"/>
          <w:highlight w:val="none"/>
          <w:lang w:val="en-US" w:eastAsia="zh-CN"/>
        </w:rPr>
        <w:t>100</w:t>
      </w:r>
      <w:r>
        <w:rPr>
          <w:rFonts w:hint="eastAsia" w:hAnsi="宋体"/>
          <w:b w:val="0"/>
          <w:bCs w:val="0"/>
          <w:szCs w:val="28"/>
          <w:highlight w:val="none"/>
        </w:rPr>
        <w:t>%。</w:t>
      </w:r>
    </w:p>
    <w:p w14:paraId="548447E1">
      <w:pPr>
        <w:numPr>
          <w:ilvl w:val="255"/>
          <w:numId w:val="0"/>
        </w:numPr>
        <w:ind w:firstLine="562"/>
        <w:rPr>
          <w:b/>
          <w:bCs/>
          <w:szCs w:val="28"/>
          <w:highlight w:val="none"/>
        </w:rPr>
      </w:pPr>
      <w:r>
        <w:rPr>
          <w:rFonts w:hint="eastAsia"/>
          <w:b/>
          <w:bCs/>
          <w:szCs w:val="28"/>
          <w:highlight w:val="none"/>
        </w:rPr>
        <w:t>（</w:t>
      </w:r>
      <w:r>
        <w:rPr>
          <w:rFonts w:hint="eastAsia"/>
          <w:b/>
          <w:bCs/>
          <w:szCs w:val="28"/>
          <w:highlight w:val="none"/>
          <w:lang w:val="en-US" w:eastAsia="zh-CN"/>
        </w:rPr>
        <w:t>4</w:t>
      </w:r>
      <w:r>
        <w:rPr>
          <w:rFonts w:hint="eastAsia"/>
          <w:b/>
          <w:bCs/>
          <w:szCs w:val="28"/>
          <w:highlight w:val="none"/>
        </w:rPr>
        <w:t>）满意度指标</w:t>
      </w:r>
    </w:p>
    <w:p w14:paraId="37644A10">
      <w:pPr>
        <w:pStyle w:val="19"/>
        <w:rPr>
          <w:rFonts w:hint="eastAsia" w:hAnsi="宋体"/>
          <w:szCs w:val="28"/>
          <w:highlight w:val="none"/>
        </w:rPr>
      </w:pPr>
      <w:r>
        <w:rPr>
          <w:rFonts w:hint="eastAsia" w:hAnsi="宋体"/>
          <w:b/>
          <w:bCs/>
          <w:szCs w:val="28"/>
          <w:highlight w:val="none"/>
        </w:rPr>
        <w:t>服务群众满意度</w:t>
      </w:r>
      <w:r>
        <w:rPr>
          <w:rFonts w:hint="eastAsia" w:hAnsi="宋体"/>
          <w:b/>
          <w:bCs/>
          <w:szCs w:val="28"/>
          <w:highlight w:val="none"/>
          <w:lang w:eastAsia="zh-CN"/>
        </w:rPr>
        <w:t>、</w:t>
      </w:r>
      <w:r>
        <w:rPr>
          <w:rFonts w:hint="eastAsia"/>
          <w:b/>
          <w:bCs/>
          <w:highlight w:val="none"/>
        </w:rPr>
        <w:t>派出法庭工作人员满意度</w:t>
      </w:r>
      <w:r>
        <w:rPr>
          <w:rFonts w:hint="eastAsia" w:hAnsi="宋体"/>
          <w:szCs w:val="28"/>
          <w:highlight w:val="none"/>
          <w:lang w:eastAsia="zh-CN"/>
        </w:rPr>
        <w:t>：</w:t>
      </w:r>
      <w:r>
        <w:rPr>
          <w:rFonts w:hint="eastAsia"/>
          <w:b w:val="0"/>
          <w:bCs w:val="0"/>
          <w:highlight w:val="none"/>
          <w:lang w:val="en-US" w:eastAsia="zh-CN"/>
        </w:rPr>
        <w:t>2023</w:t>
      </w:r>
      <w:r>
        <w:rPr>
          <w:rFonts w:hint="eastAsia" w:ascii="Times New Roman"/>
          <w:sz w:val="28"/>
          <w:szCs w:val="24"/>
          <w:highlight w:val="none"/>
          <w:lang w:val="en-US" w:eastAsia="zh-CN"/>
        </w:rPr>
        <w:t>年度</w:t>
      </w:r>
      <w:r>
        <w:rPr>
          <w:rFonts w:hint="eastAsia" w:ascii="Times New Roman" w:eastAsia="仿宋_GB2312"/>
          <w:sz w:val="28"/>
          <w:szCs w:val="24"/>
          <w:highlight w:val="none"/>
          <w:lang w:val="en-US" w:eastAsia="zh-CN"/>
        </w:rPr>
        <w:t>我院在院党组的正确领导和悉心指导下，坚持以审判需求为导向、以司法能力建设为核心、以社会责任为目标，忠实履职尽责，主动担当作为，</w:t>
      </w:r>
      <w:r>
        <w:rPr>
          <w:rFonts w:hint="eastAsia" w:ascii="Times New Roman"/>
          <w:sz w:val="28"/>
          <w:szCs w:val="24"/>
          <w:highlight w:val="none"/>
          <w:lang w:val="en-US" w:eastAsia="zh-CN"/>
        </w:rPr>
        <w:t>我</w:t>
      </w:r>
      <w:r>
        <w:rPr>
          <w:rFonts w:hint="eastAsia" w:ascii="Times New Roman" w:eastAsia="仿宋_GB2312"/>
          <w:sz w:val="28"/>
          <w:szCs w:val="24"/>
          <w:highlight w:val="none"/>
          <w:lang w:val="en-US" w:eastAsia="zh-CN"/>
        </w:rPr>
        <w:t>院工作高质量发展的新篇章，通过满意度调查，当事人对法院工作满意，干警对单位工作满意，</w:t>
      </w:r>
      <w:r>
        <w:rPr>
          <w:rFonts w:hint="eastAsia" w:hAnsi="宋体"/>
          <w:szCs w:val="28"/>
          <w:highlight w:val="none"/>
          <w:lang w:val="en-US" w:eastAsia="zh-CN"/>
        </w:rPr>
        <w:t>该</w:t>
      </w:r>
      <w:r>
        <w:rPr>
          <w:rFonts w:hint="eastAsia" w:hAnsi="宋体"/>
          <w:szCs w:val="28"/>
          <w:highlight w:val="none"/>
        </w:rPr>
        <w:t>指标分值合计</w:t>
      </w:r>
      <w:r>
        <w:rPr>
          <w:rFonts w:hint="eastAsia" w:hAnsi="宋体"/>
          <w:szCs w:val="28"/>
          <w:highlight w:val="none"/>
          <w:lang w:val="en-US" w:eastAsia="zh-CN"/>
        </w:rPr>
        <w:t>10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10</w:t>
      </w:r>
      <w:r>
        <w:rPr>
          <w:rFonts w:hint="eastAsia" w:hAnsi="宋体"/>
          <w:szCs w:val="28"/>
          <w:highlight w:val="none"/>
        </w:rPr>
        <w:t>分，得分率为100%。</w:t>
      </w:r>
    </w:p>
    <w:p w14:paraId="76689F54">
      <w:pPr>
        <w:pStyle w:val="5"/>
        <w:ind w:firstLine="562"/>
        <w:rPr>
          <w:rFonts w:hint="eastAsia"/>
          <w:highlight w:val="none"/>
        </w:rPr>
      </w:pPr>
      <w:r>
        <w:rPr>
          <w:rFonts w:hint="eastAsia"/>
          <w:highlight w:val="none"/>
        </w:rPr>
        <w:t>4</w:t>
      </w:r>
      <w:r>
        <w:rPr>
          <w:rFonts w:hint="eastAsia"/>
          <w:highlight w:val="none"/>
          <w:lang w:eastAsia="zh-CN"/>
        </w:rPr>
        <w:t>.</w:t>
      </w:r>
      <w:r>
        <w:rPr>
          <w:rFonts w:hint="eastAsia"/>
          <w:highlight w:val="none"/>
        </w:rPr>
        <w:t>偏离绩效目标的原因及下一步改进措施</w:t>
      </w:r>
    </w:p>
    <w:p w14:paraId="2E824AB7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无。</w:t>
      </w:r>
    </w:p>
    <w:bookmarkEnd w:id="94"/>
    <w:bookmarkEnd w:id="95"/>
    <w:bookmarkEnd w:id="96"/>
    <w:bookmarkEnd w:id="97"/>
    <w:bookmarkEnd w:id="98"/>
    <w:p w14:paraId="68F8D25F">
      <w:pPr>
        <w:pStyle w:val="3"/>
        <w:rPr>
          <w:highlight w:val="none"/>
        </w:rPr>
      </w:pPr>
      <w:bookmarkStart w:id="101" w:name="_Toc6252"/>
      <w:bookmarkStart w:id="102" w:name="_Toc32543"/>
      <w:bookmarkStart w:id="103" w:name="_Toc26665"/>
      <w:bookmarkStart w:id="104" w:name="_Toc16400"/>
      <w:r>
        <w:rPr>
          <w:rFonts w:hint="eastAsia"/>
          <w:highlight w:val="none"/>
          <w:lang w:val="en-US" w:eastAsia="zh-CN"/>
        </w:rPr>
        <w:t>五</w:t>
      </w:r>
      <w:r>
        <w:rPr>
          <w:rFonts w:hint="eastAsia"/>
          <w:highlight w:val="none"/>
        </w:rPr>
        <w:t>、绩效自评结果拟应用和公开情况</w:t>
      </w:r>
      <w:bookmarkEnd w:id="99"/>
      <w:bookmarkEnd w:id="100"/>
      <w:bookmarkEnd w:id="101"/>
      <w:bookmarkEnd w:id="102"/>
      <w:bookmarkEnd w:id="103"/>
      <w:bookmarkEnd w:id="104"/>
    </w:p>
    <w:p w14:paraId="5DC7D17D">
      <w:pPr>
        <w:widowControl/>
        <w:ind w:firstLine="560"/>
        <w:jc w:val="left"/>
        <w:rPr>
          <w:rFonts w:hAnsi="宋体"/>
          <w:szCs w:val="28"/>
          <w:highlight w:val="none"/>
        </w:rPr>
      </w:pPr>
      <w:r>
        <w:rPr>
          <w:rFonts w:hint="eastAsia" w:hAnsi="宋体"/>
          <w:szCs w:val="28"/>
          <w:highlight w:val="none"/>
        </w:rPr>
        <w:t>绩效自评结果的应用是</w:t>
      </w:r>
      <w:r>
        <w:rPr>
          <w:rFonts w:hint="eastAsia" w:hAnsi="宋体"/>
          <w:szCs w:val="28"/>
          <w:highlight w:val="none"/>
          <w:lang w:eastAsia="zh-CN"/>
        </w:rPr>
        <w:t>部门</w:t>
      </w:r>
      <w:r>
        <w:rPr>
          <w:rFonts w:hint="eastAsia" w:hAnsi="宋体"/>
          <w:szCs w:val="28"/>
          <w:highlight w:val="none"/>
        </w:rPr>
        <w:t>完善政策和改进管理的重要依据，</w:t>
      </w:r>
      <w:r>
        <w:rPr>
          <w:rFonts w:hint="eastAsia" w:hAnsi="宋体"/>
          <w:szCs w:val="28"/>
          <w:highlight w:val="none"/>
          <w:lang w:eastAsia="zh-CN"/>
        </w:rPr>
        <w:t>部门</w:t>
      </w:r>
      <w:r>
        <w:rPr>
          <w:rFonts w:hint="eastAsia" w:hAnsi="宋体"/>
          <w:szCs w:val="28"/>
          <w:highlight w:val="none"/>
        </w:rPr>
        <w:t>要加强评价结果的应用。根据政策文件规定，</w:t>
      </w:r>
      <w:r>
        <w:rPr>
          <w:rFonts w:hint="eastAsia" w:hAnsi="宋体"/>
          <w:szCs w:val="28"/>
          <w:highlight w:val="none"/>
          <w:lang w:eastAsia="zh-CN"/>
        </w:rPr>
        <w:t>我院</w:t>
      </w:r>
      <w:r>
        <w:rPr>
          <w:rFonts w:hint="eastAsia" w:hAnsi="宋体"/>
          <w:szCs w:val="28"/>
          <w:highlight w:val="none"/>
        </w:rPr>
        <w:t>绩效自评结果将编入</w:t>
      </w:r>
      <w:r>
        <w:rPr>
          <w:rFonts w:hint="eastAsia" w:hAnsi="宋体"/>
          <w:szCs w:val="28"/>
          <w:highlight w:val="none"/>
          <w:lang w:eastAsia="zh-CN"/>
        </w:rPr>
        <w:t>202</w:t>
      </w:r>
      <w:r>
        <w:rPr>
          <w:rFonts w:hint="eastAsia" w:hAnsi="宋体"/>
          <w:szCs w:val="28"/>
          <w:highlight w:val="none"/>
          <w:lang w:val="en-US" w:eastAsia="zh-CN"/>
        </w:rPr>
        <w:t>3</w:t>
      </w:r>
      <w:r>
        <w:rPr>
          <w:rFonts w:hint="eastAsia" w:hAnsi="宋体"/>
          <w:szCs w:val="28"/>
          <w:highlight w:val="none"/>
        </w:rPr>
        <w:t>年度决算中，随同</w:t>
      </w:r>
      <w:r>
        <w:rPr>
          <w:rFonts w:hint="eastAsia" w:hAnsi="宋体"/>
          <w:szCs w:val="28"/>
          <w:highlight w:val="none"/>
          <w:lang w:eastAsia="zh-CN"/>
        </w:rPr>
        <w:t>202</w:t>
      </w:r>
      <w:r>
        <w:rPr>
          <w:rFonts w:hint="eastAsia" w:hAnsi="宋体"/>
          <w:szCs w:val="28"/>
          <w:highlight w:val="none"/>
          <w:lang w:val="en-US" w:eastAsia="zh-CN"/>
        </w:rPr>
        <w:t>3</w:t>
      </w:r>
      <w:r>
        <w:rPr>
          <w:rFonts w:hint="eastAsia" w:hAnsi="宋体"/>
          <w:szCs w:val="28"/>
          <w:highlight w:val="none"/>
        </w:rPr>
        <w:t>年度</w:t>
      </w:r>
      <w:r>
        <w:rPr>
          <w:rFonts w:hint="eastAsia" w:hAnsi="宋体"/>
          <w:szCs w:val="28"/>
          <w:highlight w:val="none"/>
          <w:lang w:eastAsia="zh-CN"/>
        </w:rPr>
        <w:t>部门</w:t>
      </w:r>
      <w:r>
        <w:rPr>
          <w:rFonts w:hint="eastAsia" w:hAnsi="宋体"/>
          <w:szCs w:val="28"/>
          <w:highlight w:val="none"/>
        </w:rPr>
        <w:t>决算同步公开。</w:t>
      </w:r>
    </w:p>
    <w:p w14:paraId="5F494AC2">
      <w:pPr>
        <w:pStyle w:val="3"/>
        <w:rPr>
          <w:highlight w:val="none"/>
        </w:rPr>
      </w:pPr>
      <w:bookmarkStart w:id="105" w:name="_Toc17181"/>
      <w:bookmarkStart w:id="106" w:name="_Toc40046066"/>
      <w:bookmarkStart w:id="107" w:name="_Toc4491"/>
      <w:bookmarkStart w:id="108" w:name="_Toc21490"/>
      <w:bookmarkStart w:id="109" w:name="_Toc6781"/>
      <w:bookmarkStart w:id="110" w:name="_Toc24195"/>
      <w:r>
        <w:rPr>
          <w:rFonts w:hint="eastAsia"/>
          <w:highlight w:val="none"/>
          <w:lang w:val="en-US" w:eastAsia="zh-CN"/>
        </w:rPr>
        <w:t>六</w:t>
      </w:r>
      <w:r>
        <w:rPr>
          <w:rFonts w:hint="eastAsia"/>
          <w:highlight w:val="none"/>
        </w:rPr>
        <w:t>、其他需要说明的问题</w:t>
      </w:r>
      <w:bookmarkEnd w:id="105"/>
      <w:bookmarkEnd w:id="106"/>
      <w:bookmarkEnd w:id="107"/>
      <w:bookmarkEnd w:id="108"/>
      <w:bookmarkEnd w:id="109"/>
      <w:bookmarkEnd w:id="110"/>
    </w:p>
    <w:p w14:paraId="54206C4F">
      <w:pPr>
        <w:widowControl/>
        <w:ind w:firstLine="560"/>
        <w:jc w:val="left"/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hAnsi="宋体"/>
          <w:szCs w:val="28"/>
        </w:rPr>
        <w:t>无</w:t>
      </w:r>
      <w:r>
        <w:rPr>
          <w:rFonts w:hint="eastAsia" w:hAnsi="宋体"/>
          <w:szCs w:val="28"/>
          <w:lang w:eastAsia="zh-CN"/>
        </w:rPr>
        <w:t>。</w:t>
      </w:r>
    </w:p>
    <w:p w14:paraId="04B7C9FD">
      <w:pPr>
        <w:pStyle w:val="29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8059213"/>
    </w:sdtPr>
    <w:sdtContent>
      <w:p w14:paraId="15447C3B">
        <w:pPr>
          <w:pStyle w:val="1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A6B3A70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7788F">
    <w:pPr>
      <w:pStyle w:val="14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288742"/>
    <w:multiLevelType w:val="singleLevel"/>
    <w:tmpl w:val="D928874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NDhjOTMyZjFiNWY1NjIyMmUzYjYzMTJhOWFkZjgifQ=="/>
  </w:docVars>
  <w:rsids>
    <w:rsidRoot w:val="00172A27"/>
    <w:rsid w:val="00052A18"/>
    <w:rsid w:val="00074885"/>
    <w:rsid w:val="000846DD"/>
    <w:rsid w:val="0009668A"/>
    <w:rsid w:val="000A57E0"/>
    <w:rsid w:val="000A6007"/>
    <w:rsid w:val="000B791F"/>
    <w:rsid w:val="000D228A"/>
    <w:rsid w:val="00116A7E"/>
    <w:rsid w:val="001317A2"/>
    <w:rsid w:val="00132B05"/>
    <w:rsid w:val="00136178"/>
    <w:rsid w:val="00172A27"/>
    <w:rsid w:val="001A5FBA"/>
    <w:rsid w:val="001C3244"/>
    <w:rsid w:val="001C5292"/>
    <w:rsid w:val="001F5079"/>
    <w:rsid w:val="00213991"/>
    <w:rsid w:val="0026306D"/>
    <w:rsid w:val="002A2B4C"/>
    <w:rsid w:val="002A4C84"/>
    <w:rsid w:val="002C705C"/>
    <w:rsid w:val="00354A66"/>
    <w:rsid w:val="0037297D"/>
    <w:rsid w:val="003A4775"/>
    <w:rsid w:val="003B33F8"/>
    <w:rsid w:val="003B4445"/>
    <w:rsid w:val="00411640"/>
    <w:rsid w:val="00440055"/>
    <w:rsid w:val="004555C6"/>
    <w:rsid w:val="00486086"/>
    <w:rsid w:val="004951D2"/>
    <w:rsid w:val="004A31A3"/>
    <w:rsid w:val="004A6727"/>
    <w:rsid w:val="004C4F85"/>
    <w:rsid w:val="004D56A6"/>
    <w:rsid w:val="0050326C"/>
    <w:rsid w:val="0051422B"/>
    <w:rsid w:val="0052622F"/>
    <w:rsid w:val="00591A5D"/>
    <w:rsid w:val="005F4EFE"/>
    <w:rsid w:val="006903F9"/>
    <w:rsid w:val="006A4784"/>
    <w:rsid w:val="006C7775"/>
    <w:rsid w:val="006D3D71"/>
    <w:rsid w:val="006F31A0"/>
    <w:rsid w:val="007104B3"/>
    <w:rsid w:val="00756C8C"/>
    <w:rsid w:val="007616B0"/>
    <w:rsid w:val="0077240E"/>
    <w:rsid w:val="007C3784"/>
    <w:rsid w:val="007C52D7"/>
    <w:rsid w:val="007C78AD"/>
    <w:rsid w:val="007D2489"/>
    <w:rsid w:val="007D7D6C"/>
    <w:rsid w:val="00814620"/>
    <w:rsid w:val="00835CA9"/>
    <w:rsid w:val="008559BB"/>
    <w:rsid w:val="00872C90"/>
    <w:rsid w:val="008901DE"/>
    <w:rsid w:val="008949AA"/>
    <w:rsid w:val="008B0628"/>
    <w:rsid w:val="008B7A39"/>
    <w:rsid w:val="008D4175"/>
    <w:rsid w:val="00911B80"/>
    <w:rsid w:val="009165DD"/>
    <w:rsid w:val="009302C0"/>
    <w:rsid w:val="00984072"/>
    <w:rsid w:val="009C15A4"/>
    <w:rsid w:val="009D7ABF"/>
    <w:rsid w:val="00A149C3"/>
    <w:rsid w:val="00A55CA9"/>
    <w:rsid w:val="00A959C7"/>
    <w:rsid w:val="00AE078A"/>
    <w:rsid w:val="00B42316"/>
    <w:rsid w:val="00B435CF"/>
    <w:rsid w:val="00C07477"/>
    <w:rsid w:val="00C253A6"/>
    <w:rsid w:val="00C44682"/>
    <w:rsid w:val="00C543AD"/>
    <w:rsid w:val="00C561AA"/>
    <w:rsid w:val="00C5770C"/>
    <w:rsid w:val="00C65841"/>
    <w:rsid w:val="00CA4117"/>
    <w:rsid w:val="00CA6255"/>
    <w:rsid w:val="00CD4DA0"/>
    <w:rsid w:val="00CE7F24"/>
    <w:rsid w:val="00CF4F52"/>
    <w:rsid w:val="00D0323B"/>
    <w:rsid w:val="00D62102"/>
    <w:rsid w:val="00D65327"/>
    <w:rsid w:val="00DA4915"/>
    <w:rsid w:val="00DC0D4D"/>
    <w:rsid w:val="00DC252A"/>
    <w:rsid w:val="00E2030F"/>
    <w:rsid w:val="00E343E5"/>
    <w:rsid w:val="00E63FE2"/>
    <w:rsid w:val="00E71216"/>
    <w:rsid w:val="00EC69A8"/>
    <w:rsid w:val="00F74A57"/>
    <w:rsid w:val="00F869BE"/>
    <w:rsid w:val="00FB4EB0"/>
    <w:rsid w:val="00FC28C9"/>
    <w:rsid w:val="00FF2BDA"/>
    <w:rsid w:val="01183111"/>
    <w:rsid w:val="0125204F"/>
    <w:rsid w:val="016210FD"/>
    <w:rsid w:val="01865733"/>
    <w:rsid w:val="01A06E9D"/>
    <w:rsid w:val="01BB35F3"/>
    <w:rsid w:val="023A109F"/>
    <w:rsid w:val="02441F1E"/>
    <w:rsid w:val="0294218E"/>
    <w:rsid w:val="02D93C69"/>
    <w:rsid w:val="0305754E"/>
    <w:rsid w:val="03586C8C"/>
    <w:rsid w:val="03B80F4C"/>
    <w:rsid w:val="03B93EF4"/>
    <w:rsid w:val="03DE64EE"/>
    <w:rsid w:val="045D1075"/>
    <w:rsid w:val="046D109D"/>
    <w:rsid w:val="04AE1CD1"/>
    <w:rsid w:val="04AE6573"/>
    <w:rsid w:val="04C826FC"/>
    <w:rsid w:val="04D710AE"/>
    <w:rsid w:val="05431AC5"/>
    <w:rsid w:val="055B4129"/>
    <w:rsid w:val="058F525E"/>
    <w:rsid w:val="05D64F65"/>
    <w:rsid w:val="064F716B"/>
    <w:rsid w:val="068B5D38"/>
    <w:rsid w:val="06B8742D"/>
    <w:rsid w:val="06D575E9"/>
    <w:rsid w:val="06E8731C"/>
    <w:rsid w:val="06F265AD"/>
    <w:rsid w:val="06F90833"/>
    <w:rsid w:val="071E5658"/>
    <w:rsid w:val="07930250"/>
    <w:rsid w:val="07AF39D1"/>
    <w:rsid w:val="07DE28D4"/>
    <w:rsid w:val="080E4270"/>
    <w:rsid w:val="086174AA"/>
    <w:rsid w:val="087F1930"/>
    <w:rsid w:val="088272FC"/>
    <w:rsid w:val="08A7247E"/>
    <w:rsid w:val="08A728CF"/>
    <w:rsid w:val="08A84A40"/>
    <w:rsid w:val="08F834BD"/>
    <w:rsid w:val="09077DF6"/>
    <w:rsid w:val="091241C8"/>
    <w:rsid w:val="09376339"/>
    <w:rsid w:val="09B13A45"/>
    <w:rsid w:val="09BE6112"/>
    <w:rsid w:val="0A6C3DC0"/>
    <w:rsid w:val="0AAC7535"/>
    <w:rsid w:val="0AFD6D5D"/>
    <w:rsid w:val="0B3D575C"/>
    <w:rsid w:val="0B8D6294"/>
    <w:rsid w:val="0B987180"/>
    <w:rsid w:val="0BA35E5E"/>
    <w:rsid w:val="0BA70E60"/>
    <w:rsid w:val="0BE1433A"/>
    <w:rsid w:val="0C040E46"/>
    <w:rsid w:val="0C126BE9"/>
    <w:rsid w:val="0C6032F9"/>
    <w:rsid w:val="0C6C6699"/>
    <w:rsid w:val="0C8F023A"/>
    <w:rsid w:val="0D1369DD"/>
    <w:rsid w:val="0DD248FB"/>
    <w:rsid w:val="0DE74A3D"/>
    <w:rsid w:val="0DF0188C"/>
    <w:rsid w:val="0DF46805"/>
    <w:rsid w:val="0E071816"/>
    <w:rsid w:val="0E130328"/>
    <w:rsid w:val="0E14510B"/>
    <w:rsid w:val="0E5E4367"/>
    <w:rsid w:val="0E791344"/>
    <w:rsid w:val="0E975183"/>
    <w:rsid w:val="0E9E4764"/>
    <w:rsid w:val="0EB9159E"/>
    <w:rsid w:val="0ECC7523"/>
    <w:rsid w:val="0F087E2F"/>
    <w:rsid w:val="0F0E7B3C"/>
    <w:rsid w:val="0F5301E5"/>
    <w:rsid w:val="0FAD1102"/>
    <w:rsid w:val="0FBE7ED7"/>
    <w:rsid w:val="0FC91CB4"/>
    <w:rsid w:val="10326868"/>
    <w:rsid w:val="10953945"/>
    <w:rsid w:val="109A22B0"/>
    <w:rsid w:val="10ED0DA6"/>
    <w:rsid w:val="115B7B4E"/>
    <w:rsid w:val="119368FA"/>
    <w:rsid w:val="11A11963"/>
    <w:rsid w:val="11C03DEA"/>
    <w:rsid w:val="11C20FE9"/>
    <w:rsid w:val="11CF41B2"/>
    <w:rsid w:val="11E85901"/>
    <w:rsid w:val="126D4DDF"/>
    <w:rsid w:val="12F942BB"/>
    <w:rsid w:val="13A064E2"/>
    <w:rsid w:val="14055456"/>
    <w:rsid w:val="1410241B"/>
    <w:rsid w:val="146A4AEC"/>
    <w:rsid w:val="14A1264A"/>
    <w:rsid w:val="14A14FAE"/>
    <w:rsid w:val="14A237DC"/>
    <w:rsid w:val="14C17805"/>
    <w:rsid w:val="1578500A"/>
    <w:rsid w:val="15937A9B"/>
    <w:rsid w:val="15B716F5"/>
    <w:rsid w:val="160A3D95"/>
    <w:rsid w:val="16133C89"/>
    <w:rsid w:val="169A0A5A"/>
    <w:rsid w:val="16E6251C"/>
    <w:rsid w:val="16EA10E2"/>
    <w:rsid w:val="171A2DA3"/>
    <w:rsid w:val="17364B64"/>
    <w:rsid w:val="17400B06"/>
    <w:rsid w:val="17914727"/>
    <w:rsid w:val="17A22D12"/>
    <w:rsid w:val="17A41D79"/>
    <w:rsid w:val="17D45E88"/>
    <w:rsid w:val="183B1909"/>
    <w:rsid w:val="18657FD3"/>
    <w:rsid w:val="187F540D"/>
    <w:rsid w:val="18BF1BE0"/>
    <w:rsid w:val="18CA4D24"/>
    <w:rsid w:val="1908338A"/>
    <w:rsid w:val="19167A27"/>
    <w:rsid w:val="19444033"/>
    <w:rsid w:val="194F153B"/>
    <w:rsid w:val="1980048D"/>
    <w:rsid w:val="19855E4D"/>
    <w:rsid w:val="198804EA"/>
    <w:rsid w:val="199708B4"/>
    <w:rsid w:val="19A35684"/>
    <w:rsid w:val="19A8223C"/>
    <w:rsid w:val="19C01A32"/>
    <w:rsid w:val="19C85E69"/>
    <w:rsid w:val="1A1A43C2"/>
    <w:rsid w:val="1A563C9D"/>
    <w:rsid w:val="1A913C2A"/>
    <w:rsid w:val="1AB901AA"/>
    <w:rsid w:val="1ABA3711"/>
    <w:rsid w:val="1ACC2EC5"/>
    <w:rsid w:val="1B3604F2"/>
    <w:rsid w:val="1B367A94"/>
    <w:rsid w:val="1B391536"/>
    <w:rsid w:val="1B7D7F7E"/>
    <w:rsid w:val="1C770035"/>
    <w:rsid w:val="1C934265"/>
    <w:rsid w:val="1CA9356C"/>
    <w:rsid w:val="1CB60D97"/>
    <w:rsid w:val="1CC41839"/>
    <w:rsid w:val="1CD540C4"/>
    <w:rsid w:val="1CE82FAE"/>
    <w:rsid w:val="1D172F01"/>
    <w:rsid w:val="1D4B7A4A"/>
    <w:rsid w:val="1D6B5FA6"/>
    <w:rsid w:val="1DE5415D"/>
    <w:rsid w:val="1E0730ED"/>
    <w:rsid w:val="1E4A23BC"/>
    <w:rsid w:val="1EC73863"/>
    <w:rsid w:val="1EFC175F"/>
    <w:rsid w:val="201C2D22"/>
    <w:rsid w:val="204131A1"/>
    <w:rsid w:val="20462111"/>
    <w:rsid w:val="205A1343"/>
    <w:rsid w:val="206A11BC"/>
    <w:rsid w:val="20B724D5"/>
    <w:rsid w:val="21132B7C"/>
    <w:rsid w:val="215313DE"/>
    <w:rsid w:val="216E0AF3"/>
    <w:rsid w:val="21A10725"/>
    <w:rsid w:val="21D94E53"/>
    <w:rsid w:val="21E94BEF"/>
    <w:rsid w:val="22C541CF"/>
    <w:rsid w:val="22F26762"/>
    <w:rsid w:val="23A31DC3"/>
    <w:rsid w:val="23AF71DA"/>
    <w:rsid w:val="23C10B07"/>
    <w:rsid w:val="23C75000"/>
    <w:rsid w:val="24223CEC"/>
    <w:rsid w:val="247C56A2"/>
    <w:rsid w:val="248C0A40"/>
    <w:rsid w:val="24A819DF"/>
    <w:rsid w:val="24E54A43"/>
    <w:rsid w:val="25AB104A"/>
    <w:rsid w:val="25B4378E"/>
    <w:rsid w:val="25D37B28"/>
    <w:rsid w:val="25E12217"/>
    <w:rsid w:val="26323CB8"/>
    <w:rsid w:val="26555BF8"/>
    <w:rsid w:val="269A7D3C"/>
    <w:rsid w:val="270E5FB0"/>
    <w:rsid w:val="27EC5A7D"/>
    <w:rsid w:val="27F751B9"/>
    <w:rsid w:val="27FA58DE"/>
    <w:rsid w:val="281C4006"/>
    <w:rsid w:val="2841391F"/>
    <w:rsid w:val="28452D46"/>
    <w:rsid w:val="2872534E"/>
    <w:rsid w:val="28A571DE"/>
    <w:rsid w:val="28BB61E6"/>
    <w:rsid w:val="28F33A63"/>
    <w:rsid w:val="29121B7F"/>
    <w:rsid w:val="29440026"/>
    <w:rsid w:val="29447DE6"/>
    <w:rsid w:val="295973BD"/>
    <w:rsid w:val="298720F0"/>
    <w:rsid w:val="29D52BB5"/>
    <w:rsid w:val="29F55728"/>
    <w:rsid w:val="29FA3933"/>
    <w:rsid w:val="2A070BEE"/>
    <w:rsid w:val="2A273408"/>
    <w:rsid w:val="2A731D21"/>
    <w:rsid w:val="2A7F3244"/>
    <w:rsid w:val="2AB949A8"/>
    <w:rsid w:val="2ACD0453"/>
    <w:rsid w:val="2ACE3A90"/>
    <w:rsid w:val="2B0A5203"/>
    <w:rsid w:val="2B252A91"/>
    <w:rsid w:val="2B4017F0"/>
    <w:rsid w:val="2B6348E0"/>
    <w:rsid w:val="2B970537"/>
    <w:rsid w:val="2BE76212"/>
    <w:rsid w:val="2C09185D"/>
    <w:rsid w:val="2C0F7531"/>
    <w:rsid w:val="2C7A0167"/>
    <w:rsid w:val="2C8F33BD"/>
    <w:rsid w:val="2C8F54B1"/>
    <w:rsid w:val="2CA302D0"/>
    <w:rsid w:val="2D5662C8"/>
    <w:rsid w:val="2DF56335"/>
    <w:rsid w:val="2DF9286A"/>
    <w:rsid w:val="2ED6443A"/>
    <w:rsid w:val="2EE138F7"/>
    <w:rsid w:val="2F0C4BE3"/>
    <w:rsid w:val="2F377CAB"/>
    <w:rsid w:val="2F4D1ED1"/>
    <w:rsid w:val="2FCB61DD"/>
    <w:rsid w:val="30952D41"/>
    <w:rsid w:val="30DD0CC4"/>
    <w:rsid w:val="30E271B6"/>
    <w:rsid w:val="31397F4B"/>
    <w:rsid w:val="31541DBA"/>
    <w:rsid w:val="317070E4"/>
    <w:rsid w:val="31775428"/>
    <w:rsid w:val="318F7220"/>
    <w:rsid w:val="31B63FAB"/>
    <w:rsid w:val="31D65E3F"/>
    <w:rsid w:val="31EB672C"/>
    <w:rsid w:val="31F02617"/>
    <w:rsid w:val="329A6E6D"/>
    <w:rsid w:val="32DC4272"/>
    <w:rsid w:val="33150BE9"/>
    <w:rsid w:val="336C775A"/>
    <w:rsid w:val="33725861"/>
    <w:rsid w:val="33CF4883"/>
    <w:rsid w:val="33D62126"/>
    <w:rsid w:val="33D75E9F"/>
    <w:rsid w:val="33DE375D"/>
    <w:rsid w:val="33F71B1A"/>
    <w:rsid w:val="342E014E"/>
    <w:rsid w:val="346A0719"/>
    <w:rsid w:val="34B306BA"/>
    <w:rsid w:val="34BC46A1"/>
    <w:rsid w:val="34D36666"/>
    <w:rsid w:val="34F146C2"/>
    <w:rsid w:val="351358AA"/>
    <w:rsid w:val="35303AB8"/>
    <w:rsid w:val="35324607"/>
    <w:rsid w:val="363277FD"/>
    <w:rsid w:val="365E57FF"/>
    <w:rsid w:val="366A70C8"/>
    <w:rsid w:val="36AF7935"/>
    <w:rsid w:val="36B928EF"/>
    <w:rsid w:val="36CC0A6E"/>
    <w:rsid w:val="36D901FE"/>
    <w:rsid w:val="37164F30"/>
    <w:rsid w:val="372B7BCD"/>
    <w:rsid w:val="375D1400"/>
    <w:rsid w:val="376728C4"/>
    <w:rsid w:val="376E08C8"/>
    <w:rsid w:val="379067CC"/>
    <w:rsid w:val="38021539"/>
    <w:rsid w:val="380A28CA"/>
    <w:rsid w:val="383A2C56"/>
    <w:rsid w:val="38514471"/>
    <w:rsid w:val="388C6E04"/>
    <w:rsid w:val="389A5030"/>
    <w:rsid w:val="38A327F3"/>
    <w:rsid w:val="38E250CA"/>
    <w:rsid w:val="39B95231"/>
    <w:rsid w:val="39E7313A"/>
    <w:rsid w:val="39EC1C54"/>
    <w:rsid w:val="3A1F19CA"/>
    <w:rsid w:val="3A8B731D"/>
    <w:rsid w:val="3A946897"/>
    <w:rsid w:val="3A976B41"/>
    <w:rsid w:val="3A9B7C32"/>
    <w:rsid w:val="3AAE4F93"/>
    <w:rsid w:val="3ACB48BB"/>
    <w:rsid w:val="3AD25272"/>
    <w:rsid w:val="3AFC6ED7"/>
    <w:rsid w:val="3B0112DE"/>
    <w:rsid w:val="3B282FD3"/>
    <w:rsid w:val="3B2B21B3"/>
    <w:rsid w:val="3B375346"/>
    <w:rsid w:val="3B5129DA"/>
    <w:rsid w:val="3B5B20B0"/>
    <w:rsid w:val="3BA33E48"/>
    <w:rsid w:val="3BBD0A54"/>
    <w:rsid w:val="3BBE58F0"/>
    <w:rsid w:val="3BDA41CF"/>
    <w:rsid w:val="3BE4409F"/>
    <w:rsid w:val="3C663A24"/>
    <w:rsid w:val="3C7F41CC"/>
    <w:rsid w:val="3C9F32D2"/>
    <w:rsid w:val="3CAE272D"/>
    <w:rsid w:val="3D015D3A"/>
    <w:rsid w:val="3D386234"/>
    <w:rsid w:val="3D6406AA"/>
    <w:rsid w:val="3D7B0470"/>
    <w:rsid w:val="3D9D034F"/>
    <w:rsid w:val="3DD07A03"/>
    <w:rsid w:val="3DE32F0A"/>
    <w:rsid w:val="3E23065E"/>
    <w:rsid w:val="3E585D6B"/>
    <w:rsid w:val="3EC75511"/>
    <w:rsid w:val="3F41523B"/>
    <w:rsid w:val="3F5D34CD"/>
    <w:rsid w:val="3F9B2476"/>
    <w:rsid w:val="3FC12A9B"/>
    <w:rsid w:val="40287B7C"/>
    <w:rsid w:val="403A4B1E"/>
    <w:rsid w:val="40516350"/>
    <w:rsid w:val="4081490E"/>
    <w:rsid w:val="408F79A5"/>
    <w:rsid w:val="40B17223"/>
    <w:rsid w:val="40C96B6F"/>
    <w:rsid w:val="41B62723"/>
    <w:rsid w:val="41C474D0"/>
    <w:rsid w:val="41C8474B"/>
    <w:rsid w:val="41CD47B2"/>
    <w:rsid w:val="423B584A"/>
    <w:rsid w:val="43166C1A"/>
    <w:rsid w:val="43291B47"/>
    <w:rsid w:val="432F247C"/>
    <w:rsid w:val="43625A2A"/>
    <w:rsid w:val="437F06E0"/>
    <w:rsid w:val="43C31F9B"/>
    <w:rsid w:val="43D14C90"/>
    <w:rsid w:val="43DB4144"/>
    <w:rsid w:val="44093E52"/>
    <w:rsid w:val="44475071"/>
    <w:rsid w:val="445E3AFF"/>
    <w:rsid w:val="44612E7B"/>
    <w:rsid w:val="44753B35"/>
    <w:rsid w:val="44A571E8"/>
    <w:rsid w:val="45343151"/>
    <w:rsid w:val="456F5F37"/>
    <w:rsid w:val="45BE1410"/>
    <w:rsid w:val="45CA5863"/>
    <w:rsid w:val="45E00434"/>
    <w:rsid w:val="45F047F0"/>
    <w:rsid w:val="45F4583A"/>
    <w:rsid w:val="46054912"/>
    <w:rsid w:val="46112717"/>
    <w:rsid w:val="46307B3F"/>
    <w:rsid w:val="46317690"/>
    <w:rsid w:val="469448BA"/>
    <w:rsid w:val="46DC1289"/>
    <w:rsid w:val="472655E6"/>
    <w:rsid w:val="477D2815"/>
    <w:rsid w:val="47982EAF"/>
    <w:rsid w:val="481B63B6"/>
    <w:rsid w:val="485E50C4"/>
    <w:rsid w:val="487550B7"/>
    <w:rsid w:val="48B40105"/>
    <w:rsid w:val="48C20A74"/>
    <w:rsid w:val="48D569F9"/>
    <w:rsid w:val="48D83D6A"/>
    <w:rsid w:val="48F202EF"/>
    <w:rsid w:val="49747127"/>
    <w:rsid w:val="49B35FD2"/>
    <w:rsid w:val="49B45B0A"/>
    <w:rsid w:val="49BF4D9E"/>
    <w:rsid w:val="49D337CF"/>
    <w:rsid w:val="4A642CF0"/>
    <w:rsid w:val="4AC565F9"/>
    <w:rsid w:val="4AF07AF1"/>
    <w:rsid w:val="4B4439C2"/>
    <w:rsid w:val="4BD110E2"/>
    <w:rsid w:val="4C261319"/>
    <w:rsid w:val="4C261844"/>
    <w:rsid w:val="4C3E48B5"/>
    <w:rsid w:val="4C5E4F57"/>
    <w:rsid w:val="4C6F4027"/>
    <w:rsid w:val="4C975D73"/>
    <w:rsid w:val="4CDF1128"/>
    <w:rsid w:val="4D0B54AD"/>
    <w:rsid w:val="4D16026A"/>
    <w:rsid w:val="4D2A1AB4"/>
    <w:rsid w:val="4D633045"/>
    <w:rsid w:val="4DBA72D7"/>
    <w:rsid w:val="4DBD57AB"/>
    <w:rsid w:val="4E471E75"/>
    <w:rsid w:val="4E64507F"/>
    <w:rsid w:val="4E8D3684"/>
    <w:rsid w:val="4E957926"/>
    <w:rsid w:val="4F224D8D"/>
    <w:rsid w:val="4F974A08"/>
    <w:rsid w:val="4FB54E8E"/>
    <w:rsid w:val="4FCD667C"/>
    <w:rsid w:val="4FE237A9"/>
    <w:rsid w:val="501D04CE"/>
    <w:rsid w:val="501D387E"/>
    <w:rsid w:val="50493828"/>
    <w:rsid w:val="50591CBD"/>
    <w:rsid w:val="5076286F"/>
    <w:rsid w:val="50957359"/>
    <w:rsid w:val="509F6EC6"/>
    <w:rsid w:val="510D6CCE"/>
    <w:rsid w:val="511E659C"/>
    <w:rsid w:val="512B1283"/>
    <w:rsid w:val="51493A4C"/>
    <w:rsid w:val="520143BB"/>
    <w:rsid w:val="520E29DF"/>
    <w:rsid w:val="5237602E"/>
    <w:rsid w:val="52397BDB"/>
    <w:rsid w:val="5261421A"/>
    <w:rsid w:val="52874813"/>
    <w:rsid w:val="52986A2B"/>
    <w:rsid w:val="52A068B2"/>
    <w:rsid w:val="53034162"/>
    <w:rsid w:val="53182FAD"/>
    <w:rsid w:val="53283BC9"/>
    <w:rsid w:val="536F17F8"/>
    <w:rsid w:val="53874D93"/>
    <w:rsid w:val="53932FF4"/>
    <w:rsid w:val="53DC53F9"/>
    <w:rsid w:val="543071D9"/>
    <w:rsid w:val="543C16DA"/>
    <w:rsid w:val="54843081"/>
    <w:rsid w:val="54CE139D"/>
    <w:rsid w:val="54E720BB"/>
    <w:rsid w:val="551B4A12"/>
    <w:rsid w:val="5588094F"/>
    <w:rsid w:val="558A2919"/>
    <w:rsid w:val="5634588C"/>
    <w:rsid w:val="56615E0C"/>
    <w:rsid w:val="567846EC"/>
    <w:rsid w:val="56AC0B61"/>
    <w:rsid w:val="56B45E9F"/>
    <w:rsid w:val="5714693E"/>
    <w:rsid w:val="57272B15"/>
    <w:rsid w:val="575C16B2"/>
    <w:rsid w:val="57966F2A"/>
    <w:rsid w:val="57AD207D"/>
    <w:rsid w:val="5806097D"/>
    <w:rsid w:val="58134E48"/>
    <w:rsid w:val="583A6878"/>
    <w:rsid w:val="5889335C"/>
    <w:rsid w:val="58960718"/>
    <w:rsid w:val="58B80B09"/>
    <w:rsid w:val="58C500FD"/>
    <w:rsid w:val="58DC7930"/>
    <w:rsid w:val="590C03A2"/>
    <w:rsid w:val="593E3D0B"/>
    <w:rsid w:val="596334BB"/>
    <w:rsid w:val="59727BBE"/>
    <w:rsid w:val="59964C22"/>
    <w:rsid w:val="59A97E57"/>
    <w:rsid w:val="5A112DD4"/>
    <w:rsid w:val="5A4A24F3"/>
    <w:rsid w:val="5A5B1C29"/>
    <w:rsid w:val="5A7F2300"/>
    <w:rsid w:val="5A825F68"/>
    <w:rsid w:val="5AED49A0"/>
    <w:rsid w:val="5AFE65A3"/>
    <w:rsid w:val="5B92709A"/>
    <w:rsid w:val="5BDA5CF3"/>
    <w:rsid w:val="5BFE0297"/>
    <w:rsid w:val="5C161EDE"/>
    <w:rsid w:val="5C207B33"/>
    <w:rsid w:val="5C880D1C"/>
    <w:rsid w:val="5CA91A5D"/>
    <w:rsid w:val="5D04082A"/>
    <w:rsid w:val="5D16107E"/>
    <w:rsid w:val="5D2914FD"/>
    <w:rsid w:val="5D611791"/>
    <w:rsid w:val="5D755C5D"/>
    <w:rsid w:val="5DAE0264"/>
    <w:rsid w:val="5DD5494D"/>
    <w:rsid w:val="5DDE74C5"/>
    <w:rsid w:val="5E916AC6"/>
    <w:rsid w:val="5E9640DD"/>
    <w:rsid w:val="5E992621"/>
    <w:rsid w:val="5EC67DA5"/>
    <w:rsid w:val="5ED247CC"/>
    <w:rsid w:val="5F3A0F0C"/>
    <w:rsid w:val="5F58262D"/>
    <w:rsid w:val="5F6419A2"/>
    <w:rsid w:val="5F775691"/>
    <w:rsid w:val="5FBD12F8"/>
    <w:rsid w:val="600414DC"/>
    <w:rsid w:val="603319A6"/>
    <w:rsid w:val="605F1472"/>
    <w:rsid w:val="60A12843"/>
    <w:rsid w:val="60BA744E"/>
    <w:rsid w:val="60BB23FA"/>
    <w:rsid w:val="60FB49D2"/>
    <w:rsid w:val="61D474C9"/>
    <w:rsid w:val="62950A8E"/>
    <w:rsid w:val="629774D1"/>
    <w:rsid w:val="62BE64F4"/>
    <w:rsid w:val="62C9714A"/>
    <w:rsid w:val="635B3466"/>
    <w:rsid w:val="637B00FA"/>
    <w:rsid w:val="63DC4C88"/>
    <w:rsid w:val="64234172"/>
    <w:rsid w:val="6431668F"/>
    <w:rsid w:val="64803EF5"/>
    <w:rsid w:val="64835103"/>
    <w:rsid w:val="64970BAF"/>
    <w:rsid w:val="64AA6F1D"/>
    <w:rsid w:val="64C50052"/>
    <w:rsid w:val="64F8164D"/>
    <w:rsid w:val="6502427A"/>
    <w:rsid w:val="656C3DE9"/>
    <w:rsid w:val="65715BFD"/>
    <w:rsid w:val="65732D00"/>
    <w:rsid w:val="65B34C8C"/>
    <w:rsid w:val="66050395"/>
    <w:rsid w:val="661A0932"/>
    <w:rsid w:val="66302426"/>
    <w:rsid w:val="66364452"/>
    <w:rsid w:val="6651710F"/>
    <w:rsid w:val="66624590"/>
    <w:rsid w:val="66D90189"/>
    <w:rsid w:val="66E85FB4"/>
    <w:rsid w:val="67330E86"/>
    <w:rsid w:val="674033C8"/>
    <w:rsid w:val="67614E4C"/>
    <w:rsid w:val="679C7C07"/>
    <w:rsid w:val="67B37AAD"/>
    <w:rsid w:val="67F524F3"/>
    <w:rsid w:val="67F92005"/>
    <w:rsid w:val="68025435"/>
    <w:rsid w:val="688F22C8"/>
    <w:rsid w:val="68C267B6"/>
    <w:rsid w:val="68CF738C"/>
    <w:rsid w:val="68D76A40"/>
    <w:rsid w:val="68F20812"/>
    <w:rsid w:val="69021FA8"/>
    <w:rsid w:val="69137A07"/>
    <w:rsid w:val="697415F1"/>
    <w:rsid w:val="697F3ADF"/>
    <w:rsid w:val="69DA3ABA"/>
    <w:rsid w:val="6A3762A4"/>
    <w:rsid w:val="6A631F51"/>
    <w:rsid w:val="6A887F5F"/>
    <w:rsid w:val="6AAB7162"/>
    <w:rsid w:val="6AC3566F"/>
    <w:rsid w:val="6B037C3A"/>
    <w:rsid w:val="6B2B4A32"/>
    <w:rsid w:val="6B3A67D0"/>
    <w:rsid w:val="6B4B7556"/>
    <w:rsid w:val="6B6179F5"/>
    <w:rsid w:val="6B7C13D5"/>
    <w:rsid w:val="6BD72D2C"/>
    <w:rsid w:val="6C0652F9"/>
    <w:rsid w:val="6C53512B"/>
    <w:rsid w:val="6C560EC1"/>
    <w:rsid w:val="6C8E0AE9"/>
    <w:rsid w:val="6CA04267"/>
    <w:rsid w:val="6CA63EB8"/>
    <w:rsid w:val="6CB227F2"/>
    <w:rsid w:val="6CC30793"/>
    <w:rsid w:val="6CC8224D"/>
    <w:rsid w:val="6D18328F"/>
    <w:rsid w:val="6D8C5C0C"/>
    <w:rsid w:val="6D8D7335"/>
    <w:rsid w:val="6DC44CFB"/>
    <w:rsid w:val="6DF95048"/>
    <w:rsid w:val="6E0472B5"/>
    <w:rsid w:val="6E09753D"/>
    <w:rsid w:val="6E7320EC"/>
    <w:rsid w:val="6EB73860"/>
    <w:rsid w:val="6EF255E1"/>
    <w:rsid w:val="6F3C1C82"/>
    <w:rsid w:val="6F4B5004"/>
    <w:rsid w:val="6F9E02F2"/>
    <w:rsid w:val="6FF00AC7"/>
    <w:rsid w:val="700F01D3"/>
    <w:rsid w:val="7015387B"/>
    <w:rsid w:val="705A41AE"/>
    <w:rsid w:val="70D07922"/>
    <w:rsid w:val="70E14841"/>
    <w:rsid w:val="7113156F"/>
    <w:rsid w:val="718524BB"/>
    <w:rsid w:val="718631F8"/>
    <w:rsid w:val="71CE1DE8"/>
    <w:rsid w:val="72A11576"/>
    <w:rsid w:val="72B56CCB"/>
    <w:rsid w:val="72D46929"/>
    <w:rsid w:val="72D729DB"/>
    <w:rsid w:val="72EC0317"/>
    <w:rsid w:val="73353469"/>
    <w:rsid w:val="73644117"/>
    <w:rsid w:val="736D3FC9"/>
    <w:rsid w:val="73BF6E3A"/>
    <w:rsid w:val="74035919"/>
    <w:rsid w:val="741D30BD"/>
    <w:rsid w:val="74213FF1"/>
    <w:rsid w:val="745E0709"/>
    <w:rsid w:val="74962374"/>
    <w:rsid w:val="74FB38D2"/>
    <w:rsid w:val="750E0A19"/>
    <w:rsid w:val="752E153C"/>
    <w:rsid w:val="75606932"/>
    <w:rsid w:val="75685790"/>
    <w:rsid w:val="756E5918"/>
    <w:rsid w:val="75712C55"/>
    <w:rsid w:val="757B7431"/>
    <w:rsid w:val="75D7226C"/>
    <w:rsid w:val="76332FB4"/>
    <w:rsid w:val="76740D50"/>
    <w:rsid w:val="768E46C3"/>
    <w:rsid w:val="769C1001"/>
    <w:rsid w:val="76EB38E3"/>
    <w:rsid w:val="775547B2"/>
    <w:rsid w:val="777404D2"/>
    <w:rsid w:val="77F35CA4"/>
    <w:rsid w:val="781D7C27"/>
    <w:rsid w:val="7875145D"/>
    <w:rsid w:val="788809AD"/>
    <w:rsid w:val="78A23E67"/>
    <w:rsid w:val="78AF7473"/>
    <w:rsid w:val="78BB3CBA"/>
    <w:rsid w:val="79291DBD"/>
    <w:rsid w:val="79463D2A"/>
    <w:rsid w:val="79584959"/>
    <w:rsid w:val="796E3278"/>
    <w:rsid w:val="79B80DE0"/>
    <w:rsid w:val="7A574C10"/>
    <w:rsid w:val="7AAC0AB8"/>
    <w:rsid w:val="7AAF2356"/>
    <w:rsid w:val="7AD06AA1"/>
    <w:rsid w:val="7B011F41"/>
    <w:rsid w:val="7B101CDA"/>
    <w:rsid w:val="7B587A97"/>
    <w:rsid w:val="7B7209AE"/>
    <w:rsid w:val="7BD644A9"/>
    <w:rsid w:val="7C0F7502"/>
    <w:rsid w:val="7C162517"/>
    <w:rsid w:val="7C2D3A49"/>
    <w:rsid w:val="7C5950EA"/>
    <w:rsid w:val="7D657644"/>
    <w:rsid w:val="7D670C49"/>
    <w:rsid w:val="7D9A5540"/>
    <w:rsid w:val="7DB40352"/>
    <w:rsid w:val="7DF67493"/>
    <w:rsid w:val="7E3B4056"/>
    <w:rsid w:val="7E8640F9"/>
    <w:rsid w:val="7E8E06E9"/>
    <w:rsid w:val="7EA31D98"/>
    <w:rsid w:val="7EC81C39"/>
    <w:rsid w:val="7EF700DD"/>
    <w:rsid w:val="7F951BF0"/>
    <w:rsid w:val="7FBD6760"/>
    <w:rsid w:val="EEB3F4F2"/>
    <w:rsid w:val="F97FD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_GB2312" w:hAnsi="仿宋_GB2312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keepNext/>
      <w:keepLines/>
      <w:spacing w:before="200" w:after="200"/>
      <w:ind w:firstLine="0" w:firstLineChars="0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34"/>
    <w:autoRedefine/>
    <w:unhideWhenUsed/>
    <w:qFormat/>
    <w:uiPriority w:val="9"/>
    <w:pPr>
      <w:keepNext/>
      <w:keepLines/>
      <w:spacing w:before="100" w:after="100"/>
      <w:outlineLvl w:val="1"/>
    </w:pPr>
    <w:rPr>
      <w:rFonts w:ascii="楷体" w:hAnsi="楷体" w:eastAsia="楷体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5"/>
    <w:autoRedefine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6">
    <w:name w:val="heading 6"/>
    <w:basedOn w:val="1"/>
    <w:next w:val="1"/>
    <w:unhideWhenUsed/>
    <w:qFormat/>
    <w:uiPriority w:val="9"/>
    <w:pPr>
      <w:keepNext/>
      <w:keepLines/>
      <w:outlineLvl w:val="5"/>
    </w:pPr>
    <w:rPr>
      <w:rFonts w:ascii="Cambria" w:hAnsi="Cambria"/>
      <w:bCs/>
      <w:sz w:val="24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styleId="7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8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9">
    <w:name w:val="Body Text"/>
    <w:basedOn w:val="1"/>
    <w:next w:val="1"/>
    <w:autoRedefine/>
    <w:qFormat/>
    <w:uiPriority w:val="99"/>
    <w:rPr>
      <w:szCs w:val="21"/>
    </w:rPr>
  </w:style>
  <w:style w:type="paragraph" w:styleId="10">
    <w:name w:val="Body Text Indent"/>
    <w:basedOn w:val="1"/>
    <w:autoRedefine/>
    <w:qFormat/>
    <w:uiPriority w:val="0"/>
    <w:pPr>
      <w:ind w:left="200" w:leftChars="200"/>
    </w:pPr>
    <w:rPr>
      <w:szCs w:val="21"/>
    </w:rPr>
  </w:style>
  <w:style w:type="paragraph" w:styleId="11">
    <w:name w:val="Plain Text"/>
    <w:basedOn w:val="1"/>
    <w:qFormat/>
    <w:uiPriority w:val="0"/>
    <w:rPr>
      <w:rFonts w:hint="eastAsia" w:ascii="宋体" w:hAnsi="Courier New" w:eastAsia="宋体" w:cs="Times New Roman"/>
      <w:szCs w:val="20"/>
    </w:rPr>
  </w:style>
  <w:style w:type="paragraph" w:styleId="12">
    <w:name w:val="Body Text Indent 2"/>
    <w:basedOn w:val="1"/>
    <w:next w:val="11"/>
    <w:qFormat/>
    <w:uiPriority w:val="0"/>
    <w:pPr>
      <w:ind w:left="-718" w:leftChars="-342" w:firstLine="720" w:firstLineChars="225"/>
      <w:jc w:val="left"/>
    </w:pPr>
    <w:rPr>
      <w:sz w:val="32"/>
      <w:szCs w:val="32"/>
    </w:rPr>
  </w:style>
  <w:style w:type="paragraph" w:styleId="13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right" w:leader="dot" w:pos="8296"/>
      </w:tabs>
      <w:ind w:firstLine="0" w:firstLineChars="0"/>
    </w:pPr>
    <w:rPr>
      <w:rFonts w:hAnsi="宋体"/>
      <w:b/>
      <w:bCs/>
    </w:rPr>
  </w:style>
  <w:style w:type="paragraph" w:styleId="16">
    <w:name w:val="toc 2"/>
    <w:basedOn w:val="1"/>
    <w:next w:val="1"/>
    <w:unhideWhenUsed/>
    <w:qFormat/>
    <w:uiPriority w:val="39"/>
    <w:pPr>
      <w:tabs>
        <w:tab w:val="right" w:leader="dot" w:pos="8296"/>
      </w:tabs>
      <w:ind w:left="560" w:leftChars="200" w:firstLine="0" w:firstLineChars="0"/>
    </w:pPr>
  </w:style>
  <w:style w:type="paragraph" w:styleId="17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8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9">
    <w:name w:val="index 1"/>
    <w:basedOn w:val="1"/>
    <w:next w:val="1"/>
    <w:autoRedefine/>
    <w:qFormat/>
    <w:uiPriority w:val="0"/>
  </w:style>
  <w:style w:type="paragraph" w:styleId="20">
    <w:name w:val="annotation subject"/>
    <w:basedOn w:val="8"/>
    <w:next w:val="8"/>
    <w:link w:val="38"/>
    <w:autoRedefine/>
    <w:semiHidden/>
    <w:unhideWhenUsed/>
    <w:qFormat/>
    <w:uiPriority w:val="99"/>
    <w:rPr>
      <w:b/>
      <w:bCs/>
    </w:rPr>
  </w:style>
  <w:style w:type="paragraph" w:styleId="21">
    <w:name w:val="Body Text First Indent 2"/>
    <w:basedOn w:val="10"/>
    <w:next w:val="1"/>
    <w:unhideWhenUsed/>
    <w:qFormat/>
    <w:uiPriority w:val="0"/>
    <w:pPr>
      <w:spacing w:after="120"/>
      <w:ind w:left="420" w:firstLine="420"/>
    </w:pPr>
    <w:rPr>
      <w:szCs w:val="22"/>
    </w:r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autoRedefine/>
    <w:semiHidden/>
    <w:unhideWhenUsed/>
    <w:qFormat/>
    <w:uiPriority w:val="99"/>
    <w:rPr>
      <w:sz w:val="21"/>
      <w:szCs w:val="21"/>
    </w:rPr>
  </w:style>
  <w:style w:type="paragraph" w:customStyle="1" w:styleId="27">
    <w:name w:val="Body Text First Indent 2"/>
    <w:basedOn w:val="1"/>
    <w:qFormat/>
    <w:uiPriority w:val="0"/>
    <w:pPr>
      <w:ind w:left="420" w:leftChars="200" w:firstLine="420" w:firstLineChars="200"/>
    </w:pPr>
  </w:style>
  <w:style w:type="paragraph" w:customStyle="1" w:styleId="28">
    <w:name w:val="Body Text First Indent 21"/>
    <w:basedOn w:val="1"/>
    <w:qFormat/>
    <w:uiPriority w:val="0"/>
    <w:pPr>
      <w:ind w:left="420" w:leftChars="200" w:firstLine="420" w:firstLineChars="200"/>
    </w:pPr>
  </w:style>
  <w:style w:type="paragraph" w:customStyle="1" w:styleId="29">
    <w:name w:val="BodyTextIndent"/>
    <w:basedOn w:val="1"/>
    <w:qFormat/>
    <w:uiPriority w:val="0"/>
    <w:pPr>
      <w:widowControl/>
      <w:ind w:left="200" w:leftChars="200"/>
      <w:jc w:val="both"/>
      <w:textAlignment w:val="baseline"/>
    </w:pPr>
    <w:rPr>
      <w:kern w:val="2"/>
      <w:sz w:val="21"/>
      <w:szCs w:val="21"/>
      <w:lang w:val="en-US" w:eastAsia="zh-CN" w:bidi="ar-SA"/>
    </w:rPr>
  </w:style>
  <w:style w:type="character" w:customStyle="1" w:styleId="30">
    <w:name w:val="页眉 字符"/>
    <w:basedOn w:val="24"/>
    <w:link w:val="14"/>
    <w:qFormat/>
    <w:uiPriority w:val="99"/>
    <w:rPr>
      <w:sz w:val="18"/>
      <w:szCs w:val="18"/>
    </w:rPr>
  </w:style>
  <w:style w:type="character" w:customStyle="1" w:styleId="31">
    <w:name w:val="页脚 字符"/>
    <w:basedOn w:val="24"/>
    <w:link w:val="13"/>
    <w:qFormat/>
    <w:uiPriority w:val="99"/>
    <w:rPr>
      <w:sz w:val="18"/>
      <w:szCs w:val="18"/>
    </w:rPr>
  </w:style>
  <w:style w:type="paragraph" w:customStyle="1" w:styleId="32">
    <w:name w:val="TOC 标题1"/>
    <w:basedOn w:val="3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character" w:customStyle="1" w:styleId="33">
    <w:name w:val="标题 1 字符"/>
    <w:basedOn w:val="24"/>
    <w:link w:val="3"/>
    <w:qFormat/>
    <w:uiPriority w:val="9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34">
    <w:name w:val="标题 2 字符"/>
    <w:basedOn w:val="24"/>
    <w:link w:val="4"/>
    <w:qFormat/>
    <w:uiPriority w:val="9"/>
    <w:rPr>
      <w:rFonts w:ascii="楷体" w:hAnsi="楷体" w:eastAsia="楷体" w:cstheme="majorBidi"/>
      <w:b/>
      <w:bCs/>
      <w:sz w:val="32"/>
      <w:szCs w:val="32"/>
    </w:rPr>
  </w:style>
  <w:style w:type="character" w:customStyle="1" w:styleId="35">
    <w:name w:val="标题 3 字符"/>
    <w:basedOn w:val="24"/>
    <w:link w:val="5"/>
    <w:autoRedefine/>
    <w:qFormat/>
    <w:uiPriority w:val="9"/>
    <w:rPr>
      <w:rFonts w:ascii="仿宋_GB2312" w:hAnsi="仿宋_GB2312" w:eastAsia="仿宋_GB2312"/>
      <w:b/>
      <w:bCs/>
      <w:sz w:val="28"/>
      <w:szCs w:val="32"/>
    </w:rPr>
  </w:style>
  <w:style w:type="character" w:customStyle="1" w:styleId="36">
    <w:name w:val="font0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批注文字 字符"/>
    <w:basedOn w:val="24"/>
    <w:link w:val="8"/>
    <w:semiHidden/>
    <w:qFormat/>
    <w:uiPriority w:val="99"/>
    <w:rPr>
      <w:rFonts w:ascii="仿宋_GB2312" w:hAnsi="仿宋_GB2312" w:eastAsia="仿宋_GB2312" w:cstheme="minorBidi"/>
      <w:kern w:val="2"/>
      <w:sz w:val="28"/>
      <w:szCs w:val="22"/>
    </w:rPr>
  </w:style>
  <w:style w:type="character" w:customStyle="1" w:styleId="38">
    <w:name w:val="批注主题 字符"/>
    <w:basedOn w:val="37"/>
    <w:link w:val="20"/>
    <w:semiHidden/>
    <w:qFormat/>
    <w:uiPriority w:val="99"/>
    <w:rPr>
      <w:rFonts w:ascii="仿宋_GB2312" w:hAnsi="仿宋_GB2312" w:eastAsia="仿宋_GB2312" w:cstheme="minorBidi"/>
      <w:b/>
      <w:bCs/>
      <w:kern w:val="2"/>
      <w:sz w:val="28"/>
      <w:szCs w:val="22"/>
    </w:rPr>
  </w:style>
  <w:style w:type="paragraph" w:customStyle="1" w:styleId="39">
    <w:name w:val="NormalIndent"/>
    <w:basedOn w:val="1"/>
    <w:autoRedefine/>
    <w:qFormat/>
    <w:uiPriority w:val="99"/>
    <w:pPr>
      <w:ind w:firstLine="420" w:firstLineChars="200"/>
      <w:textAlignment w:val="baseline"/>
    </w:pPr>
    <w:rPr>
      <w:szCs w:val="21"/>
    </w:rPr>
  </w:style>
  <w:style w:type="character" w:customStyle="1" w:styleId="40">
    <w:name w:val="content1"/>
    <w:basedOn w:val="24"/>
    <w:autoRedefine/>
    <w:qFormat/>
    <w:uiPriority w:val="0"/>
    <w:rPr>
      <w:rFonts w:hint="default"/>
      <w:sz w:val="21"/>
    </w:rPr>
  </w:style>
  <w:style w:type="paragraph" w:customStyle="1" w:styleId="41">
    <w:name w:val="Char2"/>
    <w:basedOn w:val="1"/>
    <w:qFormat/>
    <w:uiPriority w:val="0"/>
    <w:rPr>
      <w:rFonts w:ascii="Courier" w:hAnsi="Courier" w:cs="Courier"/>
      <w:szCs w:val="21"/>
    </w:rPr>
  </w:style>
  <w:style w:type="character" w:customStyle="1" w:styleId="42">
    <w:name w:val="NormalCharacter"/>
    <w:semiHidden/>
    <w:qFormat/>
    <w:uiPriority w:val="0"/>
  </w:style>
  <w:style w:type="paragraph" w:customStyle="1" w:styleId="43">
    <w:name w:val="Normal Indent1"/>
    <w:basedOn w:val="1"/>
    <w:autoRedefine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11821</Words>
  <Characters>13324</Characters>
  <Lines>132</Lines>
  <Paragraphs>37</Paragraphs>
  <TotalTime>1</TotalTime>
  <ScaleCrop>false</ScaleCrop>
  <LinksUpToDate>false</LinksUpToDate>
  <CharactersWithSpaces>13391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2021-02-04T23:55:00Z</dcterms:created>
  <dc:creator>张敏</dc:creator>
  <cp:lastModifiedBy>心软是病i</cp:lastModifiedBy>
  <cp:lastPrinted>2024-04-02T01:08:00Z</cp:lastPrinted>
  <dcterms:modified xsi:type="dcterms:W3CDTF">2024-08-12T09:20:19Z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C0F2268E3CD64D409070F7A84AC56315</vt:lpwstr>
  </property>
</Properties>
</file>