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44013">
      <w:pPr>
        <w:spacing w:line="480" w:lineRule="auto"/>
        <w:ind w:firstLine="883"/>
        <w:jc w:val="center"/>
        <w:rPr>
          <w:rFonts w:ascii="宋体" w:hAnsi="宋体" w:eastAsia="宋体"/>
          <w:b/>
          <w:bCs/>
          <w:sz w:val="44"/>
          <w:szCs w:val="44"/>
        </w:rPr>
      </w:pPr>
    </w:p>
    <w:p w14:paraId="268F3BA2">
      <w:pPr>
        <w:spacing w:line="480" w:lineRule="auto"/>
        <w:ind w:firstLine="883"/>
        <w:jc w:val="center"/>
        <w:rPr>
          <w:rFonts w:ascii="宋体" w:hAnsi="宋体" w:eastAsia="宋体"/>
          <w:b/>
          <w:bCs/>
          <w:sz w:val="44"/>
          <w:szCs w:val="44"/>
        </w:rPr>
      </w:pPr>
    </w:p>
    <w:p w14:paraId="42C8C1F6">
      <w:pPr>
        <w:spacing w:line="480" w:lineRule="auto"/>
        <w:ind w:firstLine="883"/>
        <w:jc w:val="center"/>
        <w:rPr>
          <w:rFonts w:ascii="宋体" w:hAnsi="宋体" w:eastAsia="宋体"/>
          <w:b/>
          <w:bCs/>
          <w:sz w:val="44"/>
          <w:szCs w:val="44"/>
        </w:rPr>
      </w:pPr>
    </w:p>
    <w:p w14:paraId="00BD2866">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eastAsia="zh-CN"/>
        </w:rPr>
        <w:t>2023</w:t>
      </w:r>
      <w:r>
        <w:rPr>
          <w:rFonts w:ascii="宋体" w:hAnsi="宋体" w:eastAsia="宋体"/>
          <w:b/>
          <w:bCs/>
          <w:sz w:val="44"/>
          <w:szCs w:val="44"/>
        </w:rPr>
        <w:t>年度</w:t>
      </w:r>
      <w:r>
        <w:rPr>
          <w:rFonts w:hint="eastAsia" w:ascii="宋体" w:hAnsi="宋体" w:eastAsia="宋体"/>
          <w:b/>
          <w:bCs/>
          <w:sz w:val="44"/>
          <w:szCs w:val="44"/>
          <w:lang w:eastAsia="zh-CN"/>
        </w:rPr>
        <w:t>子午岭林区</w:t>
      </w:r>
      <w:r>
        <w:rPr>
          <w:rFonts w:hint="eastAsia" w:ascii="宋体" w:hAnsi="宋体" w:eastAsia="宋体"/>
          <w:b/>
          <w:bCs/>
          <w:sz w:val="44"/>
          <w:szCs w:val="44"/>
        </w:rPr>
        <w:t>法院</w:t>
      </w:r>
    </w:p>
    <w:p w14:paraId="7CE6935A">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0752D7FD">
      <w:pPr>
        <w:widowControl/>
        <w:spacing w:line="240" w:lineRule="auto"/>
        <w:ind w:firstLine="0" w:firstLineChars="0"/>
        <w:jc w:val="left"/>
        <w:rPr>
          <w:rFonts w:ascii="宋体" w:hAnsi="宋体" w:eastAsia="宋体"/>
          <w:b/>
          <w:bCs/>
          <w:sz w:val="44"/>
          <w:szCs w:val="44"/>
        </w:rPr>
      </w:pPr>
    </w:p>
    <w:p w14:paraId="7A7FDC49">
      <w:pPr>
        <w:ind w:firstLine="883"/>
        <w:jc w:val="center"/>
        <w:rPr>
          <w:rFonts w:ascii="宋体" w:hAnsi="宋体" w:eastAsia="宋体"/>
          <w:b/>
          <w:bCs/>
          <w:sz w:val="44"/>
          <w:szCs w:val="44"/>
        </w:rPr>
      </w:pPr>
    </w:p>
    <w:p w14:paraId="7C0799A9">
      <w:pPr>
        <w:ind w:firstLine="883"/>
        <w:jc w:val="center"/>
        <w:rPr>
          <w:rFonts w:ascii="宋体" w:hAnsi="宋体" w:eastAsia="宋体"/>
          <w:b/>
          <w:bCs/>
          <w:sz w:val="44"/>
          <w:szCs w:val="44"/>
        </w:rPr>
      </w:pPr>
    </w:p>
    <w:p w14:paraId="1969705E">
      <w:pPr>
        <w:ind w:firstLine="883"/>
        <w:jc w:val="center"/>
        <w:rPr>
          <w:rFonts w:ascii="宋体" w:hAnsi="宋体" w:eastAsia="宋体"/>
          <w:b/>
          <w:bCs/>
          <w:sz w:val="44"/>
          <w:szCs w:val="44"/>
        </w:rPr>
      </w:pPr>
    </w:p>
    <w:p w14:paraId="0518443C">
      <w:pPr>
        <w:ind w:firstLine="883"/>
        <w:jc w:val="center"/>
        <w:rPr>
          <w:rFonts w:ascii="宋体" w:hAnsi="宋体" w:eastAsia="宋体"/>
          <w:b/>
          <w:bCs/>
          <w:sz w:val="44"/>
          <w:szCs w:val="44"/>
        </w:rPr>
      </w:pPr>
    </w:p>
    <w:p w14:paraId="59CE1F18">
      <w:pPr>
        <w:ind w:firstLine="883"/>
        <w:jc w:val="center"/>
        <w:rPr>
          <w:rFonts w:ascii="宋体" w:hAnsi="宋体" w:eastAsia="宋体"/>
          <w:b/>
          <w:bCs/>
          <w:sz w:val="44"/>
          <w:szCs w:val="44"/>
        </w:rPr>
      </w:pPr>
    </w:p>
    <w:p w14:paraId="11D10CBB">
      <w:pPr>
        <w:ind w:firstLine="883"/>
        <w:jc w:val="center"/>
        <w:rPr>
          <w:rFonts w:ascii="宋体" w:hAnsi="宋体" w:eastAsia="宋体"/>
          <w:b/>
          <w:bCs/>
          <w:sz w:val="44"/>
          <w:szCs w:val="44"/>
        </w:rPr>
      </w:pPr>
    </w:p>
    <w:p w14:paraId="2D7FB9BD">
      <w:pPr>
        <w:ind w:firstLine="883"/>
        <w:jc w:val="center"/>
        <w:rPr>
          <w:rFonts w:ascii="宋体" w:hAnsi="宋体" w:eastAsia="宋体"/>
          <w:b/>
          <w:bCs/>
          <w:sz w:val="44"/>
          <w:szCs w:val="44"/>
        </w:rPr>
      </w:pPr>
    </w:p>
    <w:p w14:paraId="6F429507">
      <w:pPr>
        <w:ind w:firstLine="883"/>
        <w:jc w:val="center"/>
        <w:rPr>
          <w:rFonts w:ascii="宋体" w:hAnsi="宋体" w:eastAsia="宋体"/>
          <w:b/>
          <w:bCs/>
          <w:sz w:val="44"/>
          <w:szCs w:val="44"/>
        </w:rPr>
      </w:pPr>
    </w:p>
    <w:p w14:paraId="2E5CA124">
      <w:pPr>
        <w:ind w:firstLine="883"/>
        <w:jc w:val="center"/>
        <w:rPr>
          <w:rFonts w:ascii="宋体" w:hAnsi="宋体" w:eastAsia="宋体"/>
          <w:b/>
          <w:bCs/>
          <w:sz w:val="44"/>
          <w:szCs w:val="44"/>
        </w:rPr>
      </w:pPr>
    </w:p>
    <w:p w14:paraId="2447E7C9">
      <w:pPr>
        <w:ind w:firstLine="883"/>
        <w:jc w:val="center"/>
        <w:rPr>
          <w:rFonts w:ascii="宋体" w:hAnsi="宋体" w:eastAsia="宋体"/>
          <w:b/>
          <w:bCs/>
          <w:sz w:val="44"/>
          <w:szCs w:val="44"/>
        </w:rPr>
      </w:pPr>
    </w:p>
    <w:p w14:paraId="3AEC4A6E">
      <w:pPr>
        <w:ind w:firstLine="883"/>
        <w:jc w:val="center"/>
        <w:rPr>
          <w:rFonts w:ascii="宋体" w:hAnsi="宋体" w:eastAsia="宋体"/>
          <w:b/>
          <w:bCs/>
          <w:sz w:val="44"/>
          <w:szCs w:val="44"/>
        </w:rPr>
      </w:pPr>
    </w:p>
    <w:p w14:paraId="66EEACDA">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子午岭林区</w:t>
      </w:r>
      <w:r>
        <w:rPr>
          <w:rFonts w:hint="eastAsia" w:ascii="宋体" w:hAnsi="宋体" w:eastAsia="宋体"/>
          <w:b/>
          <w:bCs/>
          <w:sz w:val="32"/>
          <w:szCs w:val="32"/>
        </w:rPr>
        <w:t>法院</w:t>
      </w:r>
    </w:p>
    <w:p w14:paraId="5282CE36">
      <w:pPr>
        <w:ind w:firstLine="0" w:firstLineChars="0"/>
        <w:jc w:val="center"/>
        <w:rPr>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4</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月</w:t>
      </w: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531C052F">
          <w:pPr>
            <w:pStyle w:val="38"/>
            <w:spacing w:line="360" w:lineRule="auto"/>
            <w:ind w:firstLine="560"/>
            <w:jc w:val="center"/>
            <w:rPr>
              <w:rFonts w:ascii="黑体" w:hAnsi="黑体" w:eastAsia="黑体"/>
              <w:color w:val="auto"/>
            </w:rPr>
          </w:pPr>
          <w:r>
            <w:rPr>
              <w:rFonts w:ascii="黑体" w:hAnsi="黑体" w:eastAsia="黑体"/>
              <w:color w:val="auto"/>
              <w:lang w:val="zh-CN"/>
            </w:rPr>
            <w:t>目 录</w:t>
          </w:r>
        </w:p>
        <w:p w14:paraId="5431C043">
          <w:pPr>
            <w:pStyle w:val="19"/>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_Toc2635 </w:instrText>
          </w:r>
          <w:r>
            <w:fldChar w:fldCharType="separate"/>
          </w:r>
          <w:r>
            <w:rPr>
              <w:rFonts w:hint="eastAsia"/>
            </w:rPr>
            <w:t>一、基本情况</w:t>
          </w:r>
          <w:r>
            <w:tab/>
          </w:r>
          <w:r>
            <w:fldChar w:fldCharType="begin"/>
          </w:r>
          <w:r>
            <w:instrText xml:space="preserve"> PAGEREF _Toc2635 \h </w:instrText>
          </w:r>
          <w:r>
            <w:fldChar w:fldCharType="separate"/>
          </w:r>
          <w:r>
            <w:t>1</w:t>
          </w:r>
          <w:r>
            <w:fldChar w:fldCharType="end"/>
          </w:r>
          <w:r>
            <w:fldChar w:fldCharType="end"/>
          </w:r>
        </w:p>
        <w:p w14:paraId="220AC19D">
          <w:pPr>
            <w:pStyle w:val="20"/>
            <w:tabs>
              <w:tab w:val="right" w:leader="dot" w:pos="8306"/>
              <w:tab w:val="clear" w:pos="8296"/>
            </w:tabs>
          </w:pPr>
          <w:r>
            <w:fldChar w:fldCharType="begin"/>
          </w:r>
          <w:r>
            <w:instrText xml:space="preserve"> HYPERLINK \l _Toc2509 </w:instrText>
          </w:r>
          <w:r>
            <w:fldChar w:fldCharType="separate"/>
          </w:r>
          <w:r>
            <w:rPr>
              <w:rFonts w:hint="eastAsia"/>
            </w:rPr>
            <w:t>（一）部门主要职能</w:t>
          </w:r>
          <w:r>
            <w:tab/>
          </w:r>
          <w:r>
            <w:fldChar w:fldCharType="begin"/>
          </w:r>
          <w:r>
            <w:instrText xml:space="preserve"> PAGEREF _Toc2509 \h </w:instrText>
          </w:r>
          <w:r>
            <w:fldChar w:fldCharType="separate"/>
          </w:r>
          <w:r>
            <w:t>1</w:t>
          </w:r>
          <w:r>
            <w:fldChar w:fldCharType="end"/>
          </w:r>
          <w:r>
            <w:fldChar w:fldCharType="end"/>
          </w:r>
        </w:p>
        <w:p w14:paraId="7C327DE4">
          <w:pPr>
            <w:pStyle w:val="20"/>
            <w:tabs>
              <w:tab w:val="right" w:leader="dot" w:pos="8306"/>
              <w:tab w:val="clear" w:pos="8296"/>
            </w:tabs>
          </w:pPr>
          <w:r>
            <w:fldChar w:fldCharType="begin"/>
          </w:r>
          <w:r>
            <w:instrText xml:space="preserve"> HYPERLINK \l _Toc8822 </w:instrText>
          </w:r>
          <w:r>
            <w:fldChar w:fldCharType="separate"/>
          </w:r>
          <w:r>
            <w:rPr>
              <w:rFonts w:hint="eastAsia"/>
            </w:rPr>
            <w:t>（二）内设机构及所属部门概况</w:t>
          </w:r>
          <w:r>
            <w:tab/>
          </w:r>
          <w:r>
            <w:fldChar w:fldCharType="begin"/>
          </w:r>
          <w:r>
            <w:instrText xml:space="preserve"> PAGEREF _Toc8822 \h </w:instrText>
          </w:r>
          <w:r>
            <w:fldChar w:fldCharType="separate"/>
          </w:r>
          <w:r>
            <w:t>2</w:t>
          </w:r>
          <w:r>
            <w:fldChar w:fldCharType="end"/>
          </w:r>
          <w:r>
            <w:fldChar w:fldCharType="end"/>
          </w:r>
        </w:p>
        <w:p w14:paraId="333AC098">
          <w:pPr>
            <w:pStyle w:val="19"/>
            <w:tabs>
              <w:tab w:val="right" w:leader="dot" w:pos="8306"/>
              <w:tab w:val="clear" w:pos="8296"/>
            </w:tabs>
          </w:pPr>
          <w:r>
            <w:fldChar w:fldCharType="begin"/>
          </w:r>
          <w:r>
            <w:instrText xml:space="preserve"> HYPERLINK \l _Toc4508 </w:instrText>
          </w:r>
          <w:r>
            <w:fldChar w:fldCharType="separate"/>
          </w:r>
          <w:r>
            <w:rPr>
              <w:rFonts w:hint="eastAsia"/>
            </w:rPr>
            <w:t>二、绩效自评工作组织开展情况</w:t>
          </w:r>
          <w:r>
            <w:tab/>
          </w:r>
          <w:r>
            <w:fldChar w:fldCharType="begin"/>
          </w:r>
          <w:r>
            <w:instrText xml:space="preserve"> PAGEREF _Toc4508 \h </w:instrText>
          </w:r>
          <w:r>
            <w:fldChar w:fldCharType="separate"/>
          </w:r>
          <w:r>
            <w:t>2</w:t>
          </w:r>
          <w:r>
            <w:fldChar w:fldCharType="end"/>
          </w:r>
          <w:r>
            <w:fldChar w:fldCharType="end"/>
          </w:r>
        </w:p>
        <w:p w14:paraId="2AAB7E07">
          <w:pPr>
            <w:pStyle w:val="20"/>
            <w:tabs>
              <w:tab w:val="right" w:leader="dot" w:pos="8306"/>
              <w:tab w:val="clear" w:pos="8296"/>
            </w:tabs>
          </w:pPr>
          <w:r>
            <w:fldChar w:fldCharType="begin"/>
          </w:r>
          <w:r>
            <w:instrText xml:space="preserve"> HYPERLINK \l _Toc23739 </w:instrText>
          </w:r>
          <w:r>
            <w:fldChar w:fldCharType="separate"/>
          </w:r>
          <w:r>
            <w:rPr>
              <w:rFonts w:hint="eastAsia"/>
            </w:rPr>
            <w:t>（一）自评工作组织管理情况</w:t>
          </w:r>
          <w:r>
            <w:tab/>
          </w:r>
          <w:r>
            <w:fldChar w:fldCharType="begin"/>
          </w:r>
          <w:r>
            <w:instrText xml:space="preserve"> PAGEREF _Toc23739 \h </w:instrText>
          </w:r>
          <w:r>
            <w:fldChar w:fldCharType="separate"/>
          </w:r>
          <w:r>
            <w:t>2</w:t>
          </w:r>
          <w:r>
            <w:fldChar w:fldCharType="end"/>
          </w:r>
          <w:r>
            <w:fldChar w:fldCharType="end"/>
          </w:r>
        </w:p>
        <w:p w14:paraId="31FDC19F">
          <w:pPr>
            <w:pStyle w:val="20"/>
            <w:tabs>
              <w:tab w:val="right" w:leader="dot" w:pos="8306"/>
              <w:tab w:val="clear" w:pos="8296"/>
            </w:tabs>
          </w:pPr>
          <w:r>
            <w:fldChar w:fldCharType="begin"/>
          </w:r>
          <w:r>
            <w:instrText xml:space="preserve"> HYPERLINK \l _Toc9695 </w:instrText>
          </w:r>
          <w:r>
            <w:fldChar w:fldCharType="separate"/>
          </w:r>
          <w:r>
            <w:rPr>
              <w:rFonts w:hint="eastAsia"/>
            </w:rPr>
            <w:t>（二）自评范围</w:t>
          </w:r>
          <w:r>
            <w:tab/>
          </w:r>
          <w:r>
            <w:fldChar w:fldCharType="begin"/>
          </w:r>
          <w:r>
            <w:instrText xml:space="preserve"> PAGEREF _Toc9695 \h </w:instrText>
          </w:r>
          <w:r>
            <w:fldChar w:fldCharType="separate"/>
          </w:r>
          <w:r>
            <w:t>3</w:t>
          </w:r>
          <w:r>
            <w:fldChar w:fldCharType="end"/>
          </w:r>
          <w:r>
            <w:fldChar w:fldCharType="end"/>
          </w:r>
        </w:p>
        <w:p w14:paraId="640C524D">
          <w:pPr>
            <w:pStyle w:val="20"/>
            <w:tabs>
              <w:tab w:val="right" w:leader="dot" w:pos="8306"/>
              <w:tab w:val="clear" w:pos="8296"/>
            </w:tabs>
          </w:pPr>
          <w:r>
            <w:fldChar w:fldCharType="begin"/>
          </w:r>
          <w:r>
            <w:instrText xml:space="preserve"> HYPERLINK \l _Toc11867 </w:instrText>
          </w:r>
          <w:r>
            <w:fldChar w:fldCharType="separate"/>
          </w:r>
          <w:r>
            <w:rPr>
              <w:rFonts w:hint="eastAsia"/>
            </w:rPr>
            <w:t>（三）自评工作程序</w:t>
          </w:r>
          <w:r>
            <w:tab/>
          </w:r>
          <w:r>
            <w:fldChar w:fldCharType="begin"/>
          </w:r>
          <w:r>
            <w:instrText xml:space="preserve"> PAGEREF _Toc11867 \h </w:instrText>
          </w:r>
          <w:r>
            <w:fldChar w:fldCharType="separate"/>
          </w:r>
          <w:r>
            <w:t>3</w:t>
          </w:r>
          <w:r>
            <w:fldChar w:fldCharType="end"/>
          </w:r>
          <w:r>
            <w:fldChar w:fldCharType="end"/>
          </w:r>
        </w:p>
        <w:p w14:paraId="6433B4C9">
          <w:pPr>
            <w:pStyle w:val="19"/>
            <w:tabs>
              <w:tab w:val="right" w:leader="dot" w:pos="8306"/>
              <w:tab w:val="clear" w:pos="8296"/>
            </w:tabs>
          </w:pPr>
          <w:r>
            <w:fldChar w:fldCharType="begin"/>
          </w:r>
          <w:r>
            <w:instrText xml:space="preserve"> HYPERLINK \l _Toc32475 </w:instrText>
          </w:r>
          <w:r>
            <w:fldChar w:fldCharType="separate"/>
          </w:r>
          <w:r>
            <w:rPr>
              <w:rFonts w:hint="eastAsia"/>
            </w:rPr>
            <w:t>三、部门整体支出绩效自评情况分析</w:t>
          </w:r>
          <w:r>
            <w:tab/>
          </w:r>
          <w:r>
            <w:fldChar w:fldCharType="begin"/>
          </w:r>
          <w:r>
            <w:instrText xml:space="preserve"> PAGEREF _Toc32475 \h </w:instrText>
          </w:r>
          <w:r>
            <w:fldChar w:fldCharType="separate"/>
          </w:r>
          <w:r>
            <w:t>4</w:t>
          </w:r>
          <w:r>
            <w:fldChar w:fldCharType="end"/>
          </w:r>
          <w:r>
            <w:fldChar w:fldCharType="end"/>
          </w:r>
        </w:p>
        <w:p w14:paraId="4F0426E2">
          <w:pPr>
            <w:pStyle w:val="20"/>
            <w:tabs>
              <w:tab w:val="right" w:leader="dot" w:pos="8306"/>
              <w:tab w:val="clear" w:pos="8296"/>
            </w:tabs>
          </w:pPr>
          <w:r>
            <w:fldChar w:fldCharType="begin"/>
          </w:r>
          <w:r>
            <w:instrText xml:space="preserve"> HYPERLINK \l _Toc20081 </w:instrText>
          </w:r>
          <w:r>
            <w:fldChar w:fldCharType="separate"/>
          </w:r>
          <w:r>
            <w:rPr>
              <w:rFonts w:hint="eastAsia"/>
            </w:rPr>
            <w:t>（一）部门决算情况</w:t>
          </w:r>
          <w:r>
            <w:tab/>
          </w:r>
          <w:r>
            <w:fldChar w:fldCharType="begin"/>
          </w:r>
          <w:r>
            <w:instrText xml:space="preserve"> PAGEREF _Toc20081 \h </w:instrText>
          </w:r>
          <w:r>
            <w:fldChar w:fldCharType="separate"/>
          </w:r>
          <w:r>
            <w:t>4</w:t>
          </w:r>
          <w:r>
            <w:fldChar w:fldCharType="end"/>
          </w:r>
          <w:r>
            <w:fldChar w:fldCharType="end"/>
          </w:r>
        </w:p>
        <w:p w14:paraId="2A68E526">
          <w:pPr>
            <w:pStyle w:val="20"/>
            <w:tabs>
              <w:tab w:val="right" w:leader="dot" w:pos="8306"/>
              <w:tab w:val="clear" w:pos="8296"/>
            </w:tabs>
          </w:pPr>
          <w:r>
            <w:fldChar w:fldCharType="begin"/>
          </w:r>
          <w:r>
            <w:instrText xml:space="preserve"> HYPERLINK \l _Toc24474 </w:instrText>
          </w:r>
          <w:r>
            <w:fldChar w:fldCharType="separate"/>
          </w:r>
          <w:r>
            <w:rPr>
              <w:rFonts w:hint="eastAsia"/>
            </w:rPr>
            <w:t>（二）总体绩效目标完成情况分析</w:t>
          </w:r>
          <w:r>
            <w:tab/>
          </w:r>
          <w:r>
            <w:fldChar w:fldCharType="begin"/>
          </w:r>
          <w:r>
            <w:instrText xml:space="preserve"> PAGEREF _Toc24474 \h </w:instrText>
          </w:r>
          <w:r>
            <w:fldChar w:fldCharType="separate"/>
          </w:r>
          <w:r>
            <w:t>4</w:t>
          </w:r>
          <w:r>
            <w:fldChar w:fldCharType="end"/>
          </w:r>
          <w:r>
            <w:fldChar w:fldCharType="end"/>
          </w:r>
        </w:p>
        <w:p w14:paraId="06AE6B56">
          <w:pPr>
            <w:pStyle w:val="20"/>
            <w:tabs>
              <w:tab w:val="right" w:leader="dot" w:pos="8306"/>
              <w:tab w:val="clear" w:pos="8296"/>
            </w:tabs>
          </w:pPr>
          <w:r>
            <w:fldChar w:fldCharType="begin"/>
          </w:r>
          <w:r>
            <w:instrText xml:space="preserve"> HYPERLINK \l _Toc8910 </w:instrText>
          </w:r>
          <w:r>
            <w:fldChar w:fldCharType="separate"/>
          </w:r>
          <w:r>
            <w:rPr>
              <w:rFonts w:hint="eastAsia"/>
            </w:rPr>
            <w:t>（三）各项指标完成情况分析</w:t>
          </w:r>
          <w:r>
            <w:tab/>
          </w:r>
          <w:r>
            <w:fldChar w:fldCharType="begin"/>
          </w:r>
          <w:r>
            <w:instrText xml:space="preserve"> PAGEREF _Toc8910 \h </w:instrText>
          </w:r>
          <w:r>
            <w:fldChar w:fldCharType="separate"/>
          </w:r>
          <w:r>
            <w:t>5</w:t>
          </w:r>
          <w:r>
            <w:fldChar w:fldCharType="end"/>
          </w:r>
          <w:r>
            <w:fldChar w:fldCharType="end"/>
          </w:r>
        </w:p>
        <w:p w14:paraId="71E2B3C5">
          <w:pPr>
            <w:pStyle w:val="20"/>
            <w:tabs>
              <w:tab w:val="right" w:leader="dot" w:pos="8306"/>
              <w:tab w:val="clear" w:pos="8296"/>
            </w:tabs>
          </w:pPr>
          <w:r>
            <w:fldChar w:fldCharType="begin"/>
          </w:r>
          <w:r>
            <w:instrText xml:space="preserve"> HYPERLINK \l _Toc20948 </w:instrText>
          </w:r>
          <w:r>
            <w:fldChar w:fldCharType="separate"/>
          </w:r>
          <w:r>
            <w:rPr>
              <w:rFonts w:hint="eastAsia"/>
            </w:rPr>
            <w:t>（四）偏离绩效目标的原因及下一步改进措施</w:t>
          </w:r>
          <w:r>
            <w:tab/>
          </w:r>
          <w:r>
            <w:fldChar w:fldCharType="begin"/>
          </w:r>
          <w:r>
            <w:instrText xml:space="preserve"> PAGEREF _Toc20948 \h </w:instrText>
          </w:r>
          <w:r>
            <w:fldChar w:fldCharType="separate"/>
          </w:r>
          <w:r>
            <w:t>13</w:t>
          </w:r>
          <w:r>
            <w:fldChar w:fldCharType="end"/>
          </w:r>
          <w:r>
            <w:fldChar w:fldCharType="end"/>
          </w:r>
        </w:p>
        <w:p w14:paraId="2AA90838">
          <w:pPr>
            <w:pStyle w:val="19"/>
            <w:tabs>
              <w:tab w:val="right" w:leader="dot" w:pos="8306"/>
              <w:tab w:val="clear" w:pos="8296"/>
            </w:tabs>
          </w:pPr>
          <w:r>
            <w:fldChar w:fldCharType="begin"/>
          </w:r>
          <w:r>
            <w:instrText xml:space="preserve"> HYPERLINK \l _Toc1229 </w:instrText>
          </w:r>
          <w:r>
            <w:fldChar w:fldCharType="separate"/>
          </w:r>
          <w:r>
            <w:rPr>
              <w:rFonts w:hint="eastAsia"/>
            </w:rPr>
            <w:t>四、部门预算项目支出绩效自评情况分析</w:t>
          </w:r>
          <w:r>
            <w:tab/>
          </w:r>
          <w:r>
            <w:fldChar w:fldCharType="begin"/>
          </w:r>
          <w:r>
            <w:instrText xml:space="preserve"> PAGEREF _Toc1229 \h </w:instrText>
          </w:r>
          <w:r>
            <w:fldChar w:fldCharType="separate"/>
          </w:r>
          <w:r>
            <w:t>14</w:t>
          </w:r>
          <w:r>
            <w:fldChar w:fldCharType="end"/>
          </w:r>
          <w:r>
            <w:fldChar w:fldCharType="end"/>
          </w:r>
        </w:p>
        <w:p w14:paraId="71EA8199">
          <w:pPr>
            <w:pStyle w:val="20"/>
            <w:tabs>
              <w:tab w:val="right" w:leader="dot" w:pos="8306"/>
              <w:tab w:val="clear" w:pos="8296"/>
            </w:tabs>
          </w:pPr>
          <w:r>
            <w:fldChar w:fldCharType="begin"/>
          </w:r>
          <w:r>
            <w:instrText xml:space="preserve"> HYPERLINK \l _Toc28147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业务费</w:t>
          </w:r>
          <w:r>
            <w:tab/>
          </w:r>
          <w:r>
            <w:fldChar w:fldCharType="begin"/>
          </w:r>
          <w:r>
            <w:instrText xml:space="preserve"> PAGEREF _Toc28147 \h </w:instrText>
          </w:r>
          <w:r>
            <w:fldChar w:fldCharType="separate"/>
          </w:r>
          <w:r>
            <w:t>14</w:t>
          </w:r>
          <w:r>
            <w:fldChar w:fldCharType="end"/>
          </w:r>
          <w:r>
            <w:fldChar w:fldCharType="end"/>
          </w:r>
        </w:p>
        <w:p w14:paraId="1424268A">
          <w:pPr>
            <w:pStyle w:val="20"/>
            <w:tabs>
              <w:tab w:val="right" w:leader="dot" w:pos="8306"/>
              <w:tab w:val="clear" w:pos="8296"/>
            </w:tabs>
          </w:pPr>
          <w:r>
            <w:fldChar w:fldCharType="begin"/>
          </w:r>
          <w:r>
            <w:instrText xml:space="preserve"> HYPERLINK \l _Toc9667 </w:instrText>
          </w:r>
          <w:r>
            <w:fldChar w:fldCharType="separate"/>
          </w:r>
          <w:r>
            <w:rPr>
              <w:rFonts w:hint="eastAsia"/>
              <w:szCs w:val="32"/>
              <w:highlight w:val="none"/>
              <w:lang w:eastAsia="zh-CN"/>
            </w:rPr>
            <w:t>（</w:t>
          </w:r>
          <w:r>
            <w:rPr>
              <w:rFonts w:hint="eastAsia"/>
              <w:szCs w:val="32"/>
              <w:highlight w:val="none"/>
              <w:lang w:val="en-US" w:eastAsia="zh-CN"/>
            </w:rPr>
            <w:t>二</w:t>
          </w:r>
          <w:r>
            <w:rPr>
              <w:rFonts w:hint="eastAsia"/>
              <w:szCs w:val="32"/>
              <w:highlight w:val="none"/>
              <w:lang w:eastAsia="zh-CN"/>
            </w:rPr>
            <w:t>）</w:t>
          </w:r>
          <w:r>
            <w:rPr>
              <w:rFonts w:hint="eastAsia"/>
              <w:szCs w:val="32"/>
              <w:highlight w:val="none"/>
              <w:lang w:val="en-US" w:eastAsia="zh-CN"/>
            </w:rPr>
            <w:t>法庭运维费</w:t>
          </w:r>
          <w:r>
            <w:tab/>
          </w:r>
          <w:r>
            <w:fldChar w:fldCharType="begin"/>
          </w:r>
          <w:r>
            <w:instrText xml:space="preserve"> PAGEREF _Toc9667 \h </w:instrText>
          </w:r>
          <w:r>
            <w:fldChar w:fldCharType="separate"/>
          </w:r>
          <w:r>
            <w:t>19</w:t>
          </w:r>
          <w:r>
            <w:fldChar w:fldCharType="end"/>
          </w:r>
          <w:r>
            <w:fldChar w:fldCharType="end"/>
          </w:r>
        </w:p>
        <w:p w14:paraId="7C3BB305">
          <w:pPr>
            <w:pStyle w:val="19"/>
            <w:tabs>
              <w:tab w:val="right" w:leader="dot" w:pos="8306"/>
              <w:tab w:val="clear" w:pos="8296"/>
            </w:tabs>
            <w:rPr>
              <w:rFonts w:hint="eastAsia" w:eastAsia="仿宋_GB2312"/>
              <w:lang w:val="en-US" w:eastAsia="zh-CN"/>
            </w:rPr>
          </w:pPr>
          <w:r>
            <w:fldChar w:fldCharType="begin"/>
          </w:r>
          <w:r>
            <w:instrText xml:space="preserve"> HYPERLINK \l _Toc22518 </w:instrText>
          </w:r>
          <w:r>
            <w:fldChar w:fldCharType="separate"/>
          </w:r>
          <w:r>
            <w:rPr>
              <w:rFonts w:hint="eastAsia"/>
              <w:lang w:val="en-US" w:eastAsia="zh-CN"/>
            </w:rPr>
            <w:t>五</w:t>
          </w:r>
          <w:r>
            <w:rPr>
              <w:rFonts w:hint="eastAsia"/>
            </w:rPr>
            <w:t>、绩效自评结果拟应用和公开情况</w:t>
          </w:r>
          <w:r>
            <w:tab/>
          </w:r>
          <w:r>
            <w:rPr>
              <w:rFonts w:hint="eastAsia"/>
              <w:lang w:val="en-US" w:eastAsia="zh-CN"/>
            </w:rPr>
            <w:t>2</w:t>
          </w:r>
          <w:r>
            <w:fldChar w:fldCharType="end"/>
          </w:r>
          <w:r>
            <w:rPr>
              <w:rFonts w:hint="eastAsia"/>
              <w:lang w:val="en-US" w:eastAsia="zh-CN"/>
            </w:rPr>
            <w:t>3</w:t>
          </w:r>
        </w:p>
        <w:p w14:paraId="735D9E85">
          <w:pPr>
            <w:pStyle w:val="19"/>
            <w:tabs>
              <w:tab w:val="right" w:leader="dot" w:pos="8306"/>
              <w:tab w:val="clear" w:pos="8296"/>
            </w:tabs>
            <w:rPr>
              <w:rFonts w:hint="eastAsia" w:eastAsia="仿宋_GB2312"/>
              <w:lang w:val="en-US" w:eastAsia="zh-CN"/>
            </w:rPr>
          </w:pPr>
          <w:r>
            <w:fldChar w:fldCharType="begin"/>
          </w:r>
          <w:r>
            <w:instrText xml:space="preserve"> HYPERLINK \l _Toc9345 </w:instrText>
          </w:r>
          <w:r>
            <w:fldChar w:fldCharType="separate"/>
          </w:r>
          <w:r>
            <w:rPr>
              <w:rFonts w:hint="eastAsia"/>
              <w:lang w:val="en-US" w:eastAsia="zh-CN"/>
            </w:rPr>
            <w:t>六</w:t>
          </w:r>
          <w:r>
            <w:rPr>
              <w:rFonts w:hint="eastAsia"/>
            </w:rPr>
            <w:t>、其他需要说明的问题</w:t>
          </w:r>
          <w:r>
            <w:tab/>
          </w:r>
          <w:r>
            <w:rPr>
              <w:rFonts w:hint="eastAsia"/>
              <w:lang w:val="en-US" w:eastAsia="zh-CN"/>
            </w:rPr>
            <w:t>2</w:t>
          </w:r>
          <w:r>
            <w:fldChar w:fldCharType="end"/>
          </w:r>
          <w:r>
            <w:rPr>
              <w:rFonts w:hint="eastAsia"/>
              <w:lang w:val="en-US" w:eastAsia="zh-CN"/>
            </w:rPr>
            <w:t>3</w:t>
          </w:r>
        </w:p>
        <w:p w14:paraId="2440EB00">
          <w:pPr>
            <w:ind w:firstLine="0" w:firstLineChars="0"/>
          </w:pPr>
          <w:r>
            <w:fldChar w:fldCharType="end"/>
          </w:r>
        </w:p>
      </w:sdtContent>
    </w:sdt>
    <w:p w14:paraId="13C1F1AD">
      <w:pPr>
        <w:widowControl/>
        <w:spacing w:line="240" w:lineRule="auto"/>
        <w:ind w:firstLine="0" w:firstLineChars="0"/>
        <w:jc w:val="center"/>
        <w:rPr>
          <w:rFonts w:ascii="宋体" w:hAnsi="宋体" w:eastAsia="宋体" w:cs="Arial"/>
          <w:b/>
          <w:bCs/>
          <w:sz w:val="44"/>
          <w:szCs w:val="4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bookmarkStart w:id="0" w:name="_Toc13158"/>
      <w:bookmarkStart w:id="1" w:name="_Toc4040"/>
      <w:bookmarkStart w:id="2" w:name="_Toc22477"/>
      <w:bookmarkStart w:id="3" w:name="_Toc28671"/>
      <w:bookmarkStart w:id="4" w:name="_Toc18188"/>
    </w:p>
    <w:p w14:paraId="50A6EA46">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子午岭林区</w:t>
      </w:r>
      <w:r>
        <w:rPr>
          <w:rFonts w:hint="eastAsia" w:ascii="宋体" w:hAnsi="宋体" w:eastAsia="宋体" w:cs="Arial"/>
          <w:b/>
          <w:bCs/>
          <w:sz w:val="44"/>
          <w:szCs w:val="44"/>
        </w:rPr>
        <w:t>法院</w:t>
      </w:r>
      <w:r>
        <w:rPr>
          <w:rFonts w:hint="eastAsia" w:ascii="宋体" w:hAnsi="宋体" w:eastAsia="宋体" w:cs="Arial"/>
          <w:b/>
          <w:bCs/>
          <w:sz w:val="44"/>
          <w:szCs w:val="44"/>
          <w:lang w:eastAsia="zh-CN"/>
        </w:rPr>
        <w:t>2023</w:t>
      </w:r>
      <w:r>
        <w:rPr>
          <w:rFonts w:hint="eastAsia" w:ascii="宋体" w:hAnsi="宋体" w:eastAsia="宋体" w:cs="Arial"/>
          <w:b/>
          <w:bCs/>
          <w:sz w:val="44"/>
          <w:szCs w:val="44"/>
        </w:rPr>
        <w:t>年度</w:t>
      </w:r>
    </w:p>
    <w:p w14:paraId="11BBAE12">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3F4DDD7C">
      <w:pPr>
        <w:pStyle w:val="3"/>
        <w:spacing w:before="0" w:after="0" w:line="560" w:lineRule="exact"/>
      </w:pPr>
      <w:bookmarkStart w:id="5" w:name="_Toc2635"/>
      <w:r>
        <w:rPr>
          <w:rFonts w:hint="eastAsia"/>
        </w:rPr>
        <w:t>一、基本情况</w:t>
      </w:r>
      <w:bookmarkEnd w:id="2"/>
      <w:bookmarkEnd w:id="3"/>
      <w:bookmarkEnd w:id="4"/>
      <w:bookmarkEnd w:id="5"/>
    </w:p>
    <w:p w14:paraId="21B261C0">
      <w:pPr>
        <w:pStyle w:val="4"/>
        <w:spacing w:before="0" w:after="0"/>
        <w:ind w:firstLine="643"/>
      </w:pPr>
      <w:bookmarkStart w:id="6" w:name="_Toc2509"/>
      <w:bookmarkStart w:id="7" w:name="_Toc819"/>
      <w:bookmarkStart w:id="8" w:name="_Toc18868"/>
      <w:bookmarkStart w:id="9" w:name="_Toc24636"/>
      <w:r>
        <w:rPr>
          <w:rFonts w:hint="eastAsia"/>
        </w:rPr>
        <w:t>（一）部门主要职能</w:t>
      </w:r>
      <w:bookmarkEnd w:id="6"/>
      <w:bookmarkEnd w:id="7"/>
      <w:bookmarkEnd w:id="8"/>
      <w:bookmarkEnd w:id="9"/>
    </w:p>
    <w:p w14:paraId="45D15B11">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bookmarkStart w:id="10" w:name="_Toc25335"/>
      <w:bookmarkStart w:id="11" w:name="_Toc20782"/>
      <w:bookmarkStart w:id="12" w:name="_Toc7151"/>
      <w:r>
        <w:rPr>
          <w:rFonts w:hint="eastAsia" w:hAnsi="宋体"/>
          <w:bCs/>
          <w:sz w:val="32"/>
          <w:szCs w:val="32"/>
          <w:lang w:val="en-US" w:eastAsia="zh-CN"/>
        </w:rPr>
        <w:t>子午岭林区</w:t>
      </w:r>
      <w:r>
        <w:rPr>
          <w:rFonts w:hint="eastAsia" w:ascii="仿宋_GB2312" w:hAnsi="宋体"/>
          <w:bCs/>
          <w:sz w:val="32"/>
          <w:szCs w:val="32"/>
          <w:lang w:val="en-US" w:eastAsia="zh-CN"/>
        </w:rPr>
        <w:t>法院是国家审判机关，依法独立行使审判权，对人民代表大会及其常务委员会负责并报告工作。主要职责是：</w:t>
      </w:r>
    </w:p>
    <w:p w14:paraId="71BF9231">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1.审判法律规定由基层法院管辖的刑事、民事、行政等案件。</w:t>
      </w:r>
    </w:p>
    <w:p w14:paraId="193D5E5F">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2.处理不需要开庭审判的民事纠纷和轻微的刑事案件。</w:t>
      </w:r>
    </w:p>
    <w:p w14:paraId="3E498CD4">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3.审理由人民检察院按照审判监督程序提起的抗诉案件。</w:t>
      </w:r>
    </w:p>
    <w:p w14:paraId="2E4D25B2">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4.指导人民调解委员会工作。</w:t>
      </w:r>
    </w:p>
    <w:p w14:paraId="7E303EDE">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5.依法行使司法执行权和司法决定权。</w:t>
      </w:r>
    </w:p>
    <w:p w14:paraId="13141D99">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6.受理和审查各类告诉、申诉；依法审判刑事、民事、行政再审案件；处理来信来访。</w:t>
      </w:r>
    </w:p>
    <w:p w14:paraId="725F43F5">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7.针对案件审理中发现的问题提出司法建议。</w:t>
      </w:r>
    </w:p>
    <w:p w14:paraId="0AD58866">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8.负责全院的思想政治建设、组织建设、制度建设、廉政建设及教育培训等工作。</w:t>
      </w:r>
    </w:p>
    <w:p w14:paraId="366DA415">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9.在业务工作中宣传法制，教育公民忠于社会主义祖国，自觉遵守宪法、法律、法规和社会公德。</w:t>
      </w:r>
    </w:p>
    <w:p w14:paraId="5DD75595">
      <w:pPr>
        <w:keepNext w:val="0"/>
        <w:keepLines w:val="0"/>
        <w:pageBreakBefore w:val="0"/>
        <w:kinsoku/>
        <w:wordWrap/>
        <w:overflowPunct/>
        <w:topLinePunct w:val="0"/>
        <w:bidi w:val="0"/>
        <w:snapToGrid/>
        <w:spacing w:line="360" w:lineRule="auto"/>
        <w:ind w:right="0" w:rightChars="0" w:firstLine="640" w:firstLineChars="200"/>
        <w:textAlignment w:val="auto"/>
        <w:rPr>
          <w:rFonts w:hint="eastAsia" w:ascii="仿宋_GB2312" w:hAnsi="宋体"/>
          <w:bCs/>
          <w:sz w:val="32"/>
          <w:szCs w:val="32"/>
          <w:lang w:val="en-US" w:eastAsia="zh-CN"/>
        </w:rPr>
      </w:pPr>
      <w:r>
        <w:rPr>
          <w:rFonts w:hint="eastAsia" w:ascii="仿宋_GB2312" w:hAnsi="宋体"/>
          <w:bCs/>
          <w:sz w:val="32"/>
          <w:szCs w:val="32"/>
          <w:lang w:val="en-US" w:eastAsia="zh-CN"/>
        </w:rPr>
        <w:t>10.承办其他由基层人民法院负责的工作。</w:t>
      </w:r>
    </w:p>
    <w:p w14:paraId="47105E64">
      <w:pPr>
        <w:pStyle w:val="4"/>
        <w:spacing w:before="0" w:after="0"/>
        <w:ind w:firstLine="643"/>
      </w:pPr>
      <w:bookmarkStart w:id="13" w:name="_Toc8822"/>
      <w:r>
        <w:rPr>
          <w:rFonts w:hint="eastAsia"/>
        </w:rPr>
        <w:t>（二）内设机构及所属部门概况</w:t>
      </w:r>
      <w:bookmarkEnd w:id="10"/>
      <w:bookmarkEnd w:id="11"/>
      <w:bookmarkEnd w:id="12"/>
      <w:bookmarkEnd w:id="13"/>
    </w:p>
    <w:p w14:paraId="725AEB22">
      <w:pPr>
        <w:keepNext/>
        <w:keepLines/>
        <w:pageBreakBefore w:val="0"/>
        <w:widowControl w:val="0"/>
        <w:kinsoku/>
        <w:wordWrap/>
        <w:overflowPunct/>
        <w:topLinePunct w:val="0"/>
        <w:autoSpaceDE/>
        <w:autoSpaceDN/>
        <w:bidi w:val="0"/>
        <w:adjustRightInd/>
        <w:snapToGrid/>
        <w:spacing w:before="0" w:after="0"/>
        <w:ind w:firstLine="640" w:firstLineChars="200"/>
        <w:textAlignment w:val="auto"/>
        <w:outlineLvl w:val="9"/>
        <w:rPr>
          <w:rFonts w:hint="eastAsia" w:ascii="仿宋_GB2312" w:hAnsi="宋体" w:eastAsia="仿宋_GB2312" w:cstheme="minorBidi"/>
          <w:b w:val="0"/>
          <w:bCs/>
          <w:kern w:val="2"/>
          <w:sz w:val="32"/>
          <w:szCs w:val="32"/>
          <w:lang w:val="en-US" w:eastAsia="zh-CN" w:bidi="ar-SA"/>
        </w:rPr>
      </w:pPr>
      <w:bookmarkStart w:id="14" w:name="_Toc18193"/>
      <w:bookmarkStart w:id="15" w:name="_Toc4574"/>
      <w:bookmarkStart w:id="16" w:name="_Toc13794"/>
      <w:r>
        <w:rPr>
          <w:rFonts w:hint="eastAsia" w:ascii="仿宋_GB2312" w:hAnsi="宋体" w:eastAsia="仿宋_GB2312" w:cstheme="minorBidi"/>
          <w:b w:val="0"/>
          <w:bCs/>
          <w:kern w:val="2"/>
          <w:sz w:val="32"/>
          <w:szCs w:val="32"/>
          <w:lang w:val="en-US" w:eastAsia="zh-CN" w:bidi="ar-SA"/>
        </w:rPr>
        <w:t>我院内设职能机构 7 个，分别为刑庭、民庭、审管办（加挂立案庭牌子）、执行庭（加挂执行局牌子）、审监庭、法警队和办公室。下设华池、合水、湘乐、正宁四个林区法庭。我院共有编制 29 人，在编人数 27 人，聘用制书记员 9 人，临时工 6 人。其中，中央政法编制 27 人中入额法官 7 人，法官助理 6 人，书记员 3 人，行政后勤人员 6 人，法警 5 人。</w:t>
      </w:r>
    </w:p>
    <w:p w14:paraId="45FA1C3C">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pPr>
      <w:bookmarkStart w:id="17" w:name="_Toc4508"/>
      <w:r>
        <w:rPr>
          <w:rFonts w:hint="eastAsia"/>
        </w:rPr>
        <w:t>二、绩效自评工作组织开展情况</w:t>
      </w:r>
      <w:bookmarkEnd w:id="14"/>
      <w:bookmarkEnd w:id="15"/>
      <w:bookmarkEnd w:id="16"/>
      <w:bookmarkEnd w:id="17"/>
    </w:p>
    <w:p w14:paraId="4743C8B5">
      <w:pPr>
        <w:pStyle w:val="4"/>
        <w:spacing w:before="0" w:after="0"/>
        <w:ind w:firstLine="643"/>
      </w:pPr>
      <w:bookmarkStart w:id="18" w:name="_Toc23739"/>
      <w:bookmarkStart w:id="19" w:name="_Toc11147"/>
      <w:bookmarkStart w:id="20" w:name="_Toc4177"/>
      <w:bookmarkStart w:id="21" w:name="_Toc31965"/>
      <w:r>
        <w:rPr>
          <w:rFonts w:hint="eastAsia"/>
        </w:rPr>
        <w:t>（一）自评工作组织管理情况</w:t>
      </w:r>
      <w:bookmarkEnd w:id="18"/>
    </w:p>
    <w:p w14:paraId="388B075D">
      <w:pPr>
        <w:ind w:firstLine="560"/>
        <w:rPr>
          <w:rFonts w:cs="仿宋_GB2312"/>
        </w:rPr>
      </w:pPr>
      <w:r>
        <w:rPr>
          <w:rFonts w:hint="eastAsia" w:ascii="仿宋_GB2312" w:hAnsi="宋体"/>
          <w:bCs/>
          <w:sz w:val="32"/>
          <w:szCs w:val="32"/>
          <w:lang w:val="en-US" w:eastAsia="zh-CN"/>
        </w:rPr>
        <w:t>我院十分重视此次绩效评价工作，要求财务部门严格按照省上有关文件精神，科学分析，精准评价，确保绩效评价客观公正。工作启动后，严格按照《中华人民共和国预算法》《中华人民共和国预算法实施条例》《中共中央 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p>
    <w:p w14:paraId="2E4AEE25">
      <w:pPr>
        <w:pStyle w:val="4"/>
        <w:spacing w:before="0" w:after="0"/>
        <w:ind w:firstLine="643"/>
      </w:pPr>
      <w:bookmarkStart w:id="22" w:name="_Toc29448"/>
      <w:bookmarkStart w:id="23" w:name="_Toc13356"/>
      <w:bookmarkStart w:id="24" w:name="_Toc26980"/>
      <w:bookmarkStart w:id="25" w:name="_Toc28216"/>
      <w:bookmarkStart w:id="26" w:name="_Toc9695"/>
      <w:r>
        <w:rPr>
          <w:rFonts w:hint="eastAsia"/>
        </w:rPr>
        <w:t>（二）自评范围</w:t>
      </w:r>
      <w:bookmarkEnd w:id="22"/>
      <w:bookmarkEnd w:id="23"/>
      <w:bookmarkEnd w:id="24"/>
      <w:bookmarkEnd w:id="25"/>
      <w:bookmarkEnd w:id="26"/>
    </w:p>
    <w:p w14:paraId="3E12E980">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本次预算绩效自评价，按照省级部门项目支出、省对市县转移支付、部门整体支出三类评价对象全覆盖的原则，结合我院实际情况，自评所有对象为法庭运维费、业务费两个项目自评和部门整体支出自评。</w:t>
      </w:r>
    </w:p>
    <w:p w14:paraId="06BDF488">
      <w:pPr>
        <w:pStyle w:val="4"/>
        <w:spacing w:before="0" w:after="0"/>
        <w:ind w:firstLine="643"/>
      </w:pPr>
      <w:bookmarkStart w:id="27" w:name="_Toc22785"/>
      <w:bookmarkStart w:id="28" w:name="_Toc25203"/>
      <w:bookmarkStart w:id="29" w:name="_Toc11867"/>
      <w:bookmarkStart w:id="30" w:name="_Toc25429"/>
      <w:bookmarkStart w:id="31" w:name="_Toc18694"/>
      <w:r>
        <w:rPr>
          <w:rFonts w:hint="eastAsia"/>
        </w:rPr>
        <w:t>（三）自评工作程序</w:t>
      </w:r>
      <w:bookmarkEnd w:id="27"/>
      <w:bookmarkEnd w:id="28"/>
      <w:bookmarkEnd w:id="29"/>
      <w:bookmarkEnd w:id="30"/>
      <w:bookmarkEnd w:id="31"/>
    </w:p>
    <w:p w14:paraId="410E84C4">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本次绩效自评工作主要包括以下工作程序：</w:t>
      </w:r>
    </w:p>
    <w:p w14:paraId="43BCBD2E">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1.根据我院整体支出和项目支出绩效目标的设定情况，收集各业务部门绩效目标实现程度、预算执行进度等绩效评价基础资料。</w:t>
      </w:r>
    </w:p>
    <w:p w14:paraId="3018F783">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2.整理分析相关资料，统计财政资金预算执行情况和各项绩效目标完成情况，对年初设定的绩效指标及各项指标完成情况进行对比分析，填写《2023年度部门预算执行情况绩效自评报表》。</w:t>
      </w:r>
    </w:p>
    <w:p w14:paraId="46A2E019">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3.总结评价结论，归纳问题，分析原因，提出改进措施，完成《2023年度预算执行情况自评报告》撰写。</w:t>
      </w:r>
    </w:p>
    <w:p w14:paraId="69F29302">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1F44D2C5">
      <w:pPr>
        <w:pStyle w:val="3"/>
        <w:spacing w:before="0" w:after="0"/>
      </w:pPr>
      <w:bookmarkStart w:id="32" w:name="_Toc26000"/>
      <w:bookmarkStart w:id="33" w:name="_Toc32475"/>
      <w:bookmarkStart w:id="34" w:name="_Toc31556"/>
      <w:bookmarkStart w:id="35" w:name="_Toc17042"/>
      <w:r>
        <w:rPr>
          <w:rFonts w:hint="eastAsia"/>
        </w:rPr>
        <w:t>三、部门整体支出绩效自评情况分析</w:t>
      </w:r>
      <w:bookmarkEnd w:id="32"/>
      <w:bookmarkEnd w:id="33"/>
      <w:bookmarkEnd w:id="34"/>
      <w:bookmarkEnd w:id="35"/>
      <w:r>
        <w:tab/>
      </w:r>
    </w:p>
    <w:p w14:paraId="439903AC">
      <w:pPr>
        <w:pStyle w:val="4"/>
        <w:spacing w:before="0" w:after="0"/>
        <w:ind w:firstLine="643"/>
      </w:pPr>
      <w:bookmarkStart w:id="36" w:name="_Toc20081"/>
      <w:bookmarkStart w:id="37" w:name="_Toc8171"/>
      <w:bookmarkStart w:id="38" w:name="_Toc32623"/>
      <w:bookmarkStart w:id="39" w:name="_Toc3483"/>
      <w:r>
        <w:rPr>
          <w:rFonts w:hint="eastAsia"/>
        </w:rPr>
        <w:t>（一）部门决算情况</w:t>
      </w:r>
      <w:bookmarkEnd w:id="36"/>
      <w:bookmarkEnd w:id="37"/>
      <w:bookmarkEnd w:id="38"/>
      <w:bookmarkEnd w:id="39"/>
    </w:p>
    <w:p w14:paraId="4EF29534">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2023年度</w:t>
      </w:r>
      <w:r>
        <w:rPr>
          <w:rFonts w:hint="eastAsia" w:hAnsi="宋体"/>
          <w:bCs/>
          <w:sz w:val="32"/>
          <w:szCs w:val="32"/>
          <w:lang w:val="en-US" w:eastAsia="zh-CN"/>
        </w:rPr>
        <w:t>子午岭林区</w:t>
      </w:r>
      <w:r>
        <w:rPr>
          <w:rFonts w:hint="eastAsia" w:ascii="仿宋_GB2312" w:hAnsi="宋体"/>
          <w:bCs/>
          <w:sz w:val="32"/>
          <w:szCs w:val="32"/>
          <w:lang w:val="en-US" w:eastAsia="zh-CN"/>
        </w:rPr>
        <w:t>法院年初预算</w:t>
      </w:r>
      <w:r>
        <w:rPr>
          <w:rFonts w:hint="eastAsia" w:hAnsi="宋体"/>
          <w:bCs/>
          <w:sz w:val="32"/>
          <w:szCs w:val="32"/>
          <w:lang w:val="en-US" w:eastAsia="zh-CN"/>
        </w:rPr>
        <w:t>906</w:t>
      </w:r>
      <w:r>
        <w:rPr>
          <w:rFonts w:hint="eastAsia" w:ascii="仿宋_GB2312" w:hAnsi="宋体"/>
          <w:bCs/>
          <w:sz w:val="32"/>
          <w:szCs w:val="32"/>
          <w:lang w:val="en-US" w:eastAsia="zh-CN"/>
        </w:rPr>
        <w:t>.</w:t>
      </w:r>
      <w:r>
        <w:rPr>
          <w:rFonts w:hint="eastAsia" w:hAnsi="宋体"/>
          <w:bCs/>
          <w:sz w:val="32"/>
          <w:szCs w:val="32"/>
          <w:lang w:val="en-US" w:eastAsia="zh-CN"/>
        </w:rPr>
        <w:t>04</w:t>
      </w:r>
      <w:r>
        <w:rPr>
          <w:rFonts w:hint="eastAsia" w:ascii="仿宋_GB2312" w:hAnsi="宋体"/>
          <w:bCs/>
          <w:sz w:val="32"/>
          <w:szCs w:val="32"/>
          <w:lang w:val="en-US" w:eastAsia="zh-CN"/>
        </w:rPr>
        <w:t>万元，全年预算数2,</w:t>
      </w:r>
      <w:r>
        <w:rPr>
          <w:rFonts w:hint="eastAsia" w:hAnsi="宋体"/>
          <w:bCs/>
          <w:sz w:val="32"/>
          <w:szCs w:val="32"/>
          <w:lang w:val="en-US" w:eastAsia="zh-CN"/>
        </w:rPr>
        <w:t>635</w:t>
      </w:r>
      <w:r>
        <w:rPr>
          <w:rFonts w:hint="eastAsia" w:ascii="仿宋_GB2312" w:hAnsi="宋体"/>
          <w:bCs/>
          <w:sz w:val="32"/>
          <w:szCs w:val="32"/>
          <w:lang w:val="en-US" w:eastAsia="zh-CN"/>
        </w:rPr>
        <w:t>.</w:t>
      </w:r>
      <w:r>
        <w:rPr>
          <w:rFonts w:hint="eastAsia" w:hAnsi="宋体"/>
          <w:bCs/>
          <w:sz w:val="32"/>
          <w:szCs w:val="32"/>
          <w:lang w:val="en-US" w:eastAsia="zh-CN"/>
        </w:rPr>
        <w:t>29</w:t>
      </w:r>
      <w:r>
        <w:rPr>
          <w:rFonts w:hint="eastAsia" w:ascii="仿宋_GB2312" w:hAnsi="宋体"/>
          <w:bCs/>
          <w:sz w:val="32"/>
          <w:szCs w:val="32"/>
          <w:lang w:val="en-US" w:eastAsia="zh-CN"/>
        </w:rPr>
        <w:t>万元，实际支出数2,5</w:t>
      </w:r>
      <w:r>
        <w:rPr>
          <w:rFonts w:hint="eastAsia" w:hAnsi="宋体"/>
          <w:bCs/>
          <w:sz w:val="32"/>
          <w:szCs w:val="32"/>
          <w:lang w:val="en-US" w:eastAsia="zh-CN"/>
        </w:rPr>
        <w:t>10</w:t>
      </w:r>
      <w:r>
        <w:rPr>
          <w:rFonts w:hint="eastAsia" w:ascii="仿宋_GB2312" w:hAnsi="宋体"/>
          <w:bCs/>
          <w:sz w:val="32"/>
          <w:szCs w:val="32"/>
          <w:lang w:val="en-US" w:eastAsia="zh-CN"/>
        </w:rPr>
        <w:t>.</w:t>
      </w:r>
      <w:r>
        <w:rPr>
          <w:rFonts w:hint="eastAsia" w:hAnsi="宋体"/>
          <w:bCs/>
          <w:sz w:val="32"/>
          <w:szCs w:val="32"/>
          <w:lang w:val="en-US" w:eastAsia="zh-CN"/>
        </w:rPr>
        <w:t>43</w:t>
      </w:r>
      <w:r>
        <w:rPr>
          <w:rFonts w:hint="eastAsia" w:ascii="仿宋_GB2312" w:hAnsi="宋体"/>
          <w:bCs/>
          <w:sz w:val="32"/>
          <w:szCs w:val="32"/>
          <w:lang w:val="en-US" w:eastAsia="zh-CN"/>
        </w:rPr>
        <w:t>万元，部门整体支出预算执行率为</w:t>
      </w:r>
      <w:r>
        <w:rPr>
          <w:rFonts w:hint="eastAsia" w:hAnsi="宋体"/>
          <w:bCs/>
          <w:sz w:val="32"/>
          <w:szCs w:val="32"/>
          <w:lang w:val="en-US" w:eastAsia="zh-CN"/>
        </w:rPr>
        <w:t>95.26</w:t>
      </w:r>
      <w:r>
        <w:rPr>
          <w:rFonts w:hint="eastAsia" w:ascii="仿宋_GB2312" w:hAnsi="宋体"/>
          <w:bCs/>
          <w:sz w:val="32"/>
          <w:szCs w:val="32"/>
          <w:lang w:val="en-US" w:eastAsia="zh-CN"/>
        </w:rPr>
        <w:t>%。</w:t>
      </w:r>
    </w:p>
    <w:p w14:paraId="0FFDE618">
      <w:pPr>
        <w:pStyle w:val="4"/>
        <w:spacing w:before="0" w:after="0"/>
        <w:ind w:firstLine="643"/>
      </w:pPr>
      <w:bookmarkStart w:id="40" w:name="_Toc10769"/>
      <w:bookmarkStart w:id="41" w:name="_Toc21423"/>
      <w:bookmarkStart w:id="42" w:name="_Toc22782"/>
      <w:bookmarkStart w:id="43" w:name="_Toc24474"/>
      <w:r>
        <w:rPr>
          <w:rFonts w:hint="eastAsia"/>
        </w:rPr>
        <w:t>（二）总体绩效目标完成情况分析</w:t>
      </w:r>
      <w:bookmarkEnd w:id="40"/>
      <w:bookmarkEnd w:id="41"/>
      <w:bookmarkEnd w:id="42"/>
      <w:bookmarkEnd w:id="43"/>
    </w:p>
    <w:p w14:paraId="16B053F6">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经综合评价与分析，</w:t>
      </w:r>
      <w:r>
        <w:rPr>
          <w:rFonts w:hint="eastAsia" w:hAnsi="宋体"/>
          <w:bCs/>
          <w:sz w:val="32"/>
          <w:szCs w:val="32"/>
          <w:lang w:val="en-US" w:eastAsia="zh-CN"/>
        </w:rPr>
        <w:t>子午岭林区</w:t>
      </w:r>
      <w:r>
        <w:rPr>
          <w:rFonts w:hint="eastAsia" w:ascii="仿宋_GB2312" w:hAnsi="宋体"/>
          <w:bCs/>
          <w:sz w:val="32"/>
          <w:szCs w:val="32"/>
          <w:lang w:val="en-US" w:eastAsia="zh-CN"/>
        </w:rPr>
        <w:t>法院2023年度部门整体支出绩效评价最终得分为</w:t>
      </w:r>
      <w:r>
        <w:rPr>
          <w:rFonts w:hint="eastAsia" w:hAnsi="宋体"/>
          <w:bCs/>
          <w:sz w:val="32"/>
          <w:szCs w:val="32"/>
          <w:lang w:val="en-US" w:eastAsia="zh-CN"/>
        </w:rPr>
        <w:t>94.01</w:t>
      </w:r>
      <w:r>
        <w:rPr>
          <w:rFonts w:hint="eastAsia" w:ascii="仿宋_GB2312" w:hAnsi="宋体"/>
          <w:bCs/>
          <w:sz w:val="32"/>
          <w:szCs w:val="32"/>
          <w:lang w:val="en-US" w:eastAsia="zh-CN"/>
        </w:rPr>
        <w:t>分，评价结果为“优”。最终评分结果如下表所示：</w:t>
      </w:r>
    </w:p>
    <w:p w14:paraId="4B8448EE">
      <w:pPr>
        <w:ind w:firstLine="480"/>
        <w:jc w:val="center"/>
        <w:rPr>
          <w:rFonts w:ascii="宋体" w:hAnsi="宋体"/>
        </w:rPr>
      </w:pPr>
      <w:r>
        <w:rPr>
          <w:rFonts w:hint="eastAsia" w:ascii="宋体" w:hAnsi="宋体" w:cs="宋体"/>
          <w:b/>
          <w:bCs/>
          <w:kern w:val="0"/>
          <w:sz w:val="24"/>
          <w:lang w:eastAsia="zh-CN"/>
        </w:rPr>
        <w:t>2023</w:t>
      </w:r>
      <w:r>
        <w:rPr>
          <w:rFonts w:hint="eastAsia" w:ascii="宋体" w:hAnsi="宋体" w:cs="宋体"/>
          <w:b/>
          <w:bCs/>
          <w:kern w:val="0"/>
          <w:sz w:val="24"/>
        </w:rPr>
        <w:t>年度部门整体支出绩效评价指标得分情况</w:t>
      </w:r>
    </w:p>
    <w:tbl>
      <w:tblPr>
        <w:tblStyle w:val="26"/>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469"/>
        <w:gridCol w:w="2138"/>
      </w:tblGrid>
      <w:tr w14:paraId="4B1D9E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2DFFEBED">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928" w:type="pct"/>
            <w:shd w:val="clear" w:color="auto" w:fill="BDD6EE"/>
            <w:vAlign w:val="center"/>
          </w:tcPr>
          <w:p w14:paraId="6E1F699E">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62" w:type="pct"/>
            <w:shd w:val="clear" w:color="auto" w:fill="BDD6EE"/>
            <w:vAlign w:val="center"/>
          </w:tcPr>
          <w:p w14:paraId="6AD9BF31">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254" w:type="pct"/>
            <w:shd w:val="clear" w:color="auto" w:fill="BDD6EE"/>
            <w:vAlign w:val="center"/>
          </w:tcPr>
          <w:p w14:paraId="13592CDA">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14:paraId="63486B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2C560CA2">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928" w:type="pct"/>
            <w:vAlign w:val="center"/>
          </w:tcPr>
          <w:p w14:paraId="2FE9AE85">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617ECDD2">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9.53</w:t>
            </w:r>
          </w:p>
        </w:tc>
        <w:tc>
          <w:tcPr>
            <w:tcW w:w="1254" w:type="pct"/>
            <w:vAlign w:val="center"/>
          </w:tcPr>
          <w:p w14:paraId="3FDD8489">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95.3</w:t>
            </w:r>
            <w:r>
              <w:rPr>
                <w:rFonts w:hint="eastAsia" w:ascii="宋体" w:hAnsi="宋体" w:eastAsia="宋体" w:cs="宋体"/>
                <w:color w:val="000000"/>
                <w:kern w:val="0"/>
                <w:sz w:val="22"/>
              </w:rPr>
              <w:t>%</w:t>
            </w:r>
          </w:p>
        </w:tc>
      </w:tr>
      <w:tr w14:paraId="247FCC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343AF110">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928" w:type="pct"/>
            <w:vAlign w:val="center"/>
          </w:tcPr>
          <w:p w14:paraId="21776CC2">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862" w:type="pct"/>
            <w:vAlign w:val="center"/>
          </w:tcPr>
          <w:p w14:paraId="0993DA6D">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19.48</w:t>
            </w:r>
          </w:p>
        </w:tc>
        <w:tc>
          <w:tcPr>
            <w:tcW w:w="1254" w:type="pct"/>
            <w:vAlign w:val="center"/>
          </w:tcPr>
          <w:p w14:paraId="260334C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97.4</w:t>
            </w:r>
            <w:r>
              <w:rPr>
                <w:rFonts w:hint="eastAsia" w:ascii="宋体" w:hAnsi="宋体" w:eastAsia="宋体" w:cs="宋体"/>
                <w:color w:val="000000"/>
                <w:kern w:val="0"/>
                <w:sz w:val="22"/>
              </w:rPr>
              <w:t>%</w:t>
            </w:r>
          </w:p>
        </w:tc>
      </w:tr>
      <w:tr w14:paraId="6E2203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31BF1183">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928" w:type="pct"/>
            <w:vAlign w:val="center"/>
          </w:tcPr>
          <w:p w14:paraId="35C846CB">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eastAsia="zh-CN"/>
              </w:rPr>
              <w:t>6</w:t>
            </w:r>
            <w:r>
              <w:rPr>
                <w:rFonts w:hint="eastAsia" w:ascii="宋体" w:hAnsi="宋体" w:eastAsia="宋体" w:cs="宋体"/>
                <w:color w:val="000000"/>
                <w:kern w:val="0"/>
                <w:sz w:val="22"/>
              </w:rPr>
              <w:t>0</w:t>
            </w:r>
          </w:p>
        </w:tc>
        <w:tc>
          <w:tcPr>
            <w:tcW w:w="862" w:type="pct"/>
            <w:vAlign w:val="center"/>
          </w:tcPr>
          <w:p w14:paraId="62237E48">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55</w:t>
            </w:r>
          </w:p>
        </w:tc>
        <w:tc>
          <w:tcPr>
            <w:tcW w:w="1254" w:type="pct"/>
            <w:vAlign w:val="center"/>
          </w:tcPr>
          <w:p w14:paraId="61389596">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91.67</w:t>
            </w:r>
            <w:r>
              <w:rPr>
                <w:rFonts w:hint="eastAsia" w:ascii="宋体" w:hAnsi="宋体" w:eastAsia="宋体" w:cs="宋体"/>
                <w:color w:val="000000"/>
                <w:kern w:val="0"/>
                <w:sz w:val="22"/>
              </w:rPr>
              <w:t>%</w:t>
            </w:r>
          </w:p>
        </w:tc>
      </w:tr>
      <w:tr w14:paraId="6DAEB2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7DED9B4E">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928" w:type="pct"/>
            <w:vAlign w:val="center"/>
          </w:tcPr>
          <w:p w14:paraId="5DDA5B35">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26402DE3">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54" w:type="pct"/>
            <w:vAlign w:val="center"/>
          </w:tcPr>
          <w:p w14:paraId="79122FC5">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153256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687A0BA1">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928" w:type="pct"/>
            <w:shd w:val="clear" w:color="auto" w:fill="BDD6EE"/>
            <w:vAlign w:val="center"/>
          </w:tcPr>
          <w:p w14:paraId="7F5BEAD0">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862" w:type="pct"/>
            <w:shd w:val="clear" w:color="auto" w:fill="BDD6EE"/>
            <w:vAlign w:val="center"/>
          </w:tcPr>
          <w:p w14:paraId="11B1C4A3">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94.01</w:t>
            </w:r>
          </w:p>
        </w:tc>
        <w:tc>
          <w:tcPr>
            <w:tcW w:w="1254" w:type="pct"/>
            <w:shd w:val="clear" w:color="auto" w:fill="BDD6EE"/>
            <w:vAlign w:val="center"/>
          </w:tcPr>
          <w:p w14:paraId="694DA3D9">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94.1</w:t>
            </w:r>
            <w:r>
              <w:rPr>
                <w:rFonts w:hint="eastAsia" w:ascii="宋体" w:hAnsi="宋体" w:eastAsia="宋体" w:cs="宋体"/>
                <w:b/>
                <w:bCs/>
                <w:color w:val="000000"/>
                <w:kern w:val="0"/>
                <w:sz w:val="22"/>
              </w:rPr>
              <w:t>%</w:t>
            </w:r>
          </w:p>
        </w:tc>
      </w:tr>
    </w:tbl>
    <w:p w14:paraId="629F8AB1">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2023年主要工作成果及总体绩效目标完成情况</w:t>
      </w:r>
    </w:p>
    <w:p w14:paraId="5907B9F2">
      <w:pPr>
        <w:widowControl/>
        <w:ind w:firstLine="560"/>
        <w:rPr>
          <w:b/>
          <w:bCs/>
        </w:rPr>
      </w:pPr>
      <w:r>
        <w:rPr>
          <w:rFonts w:hint="eastAsia"/>
          <w:b/>
          <w:bCs/>
        </w:rPr>
        <w:t>1.总体绩效目标</w:t>
      </w:r>
    </w:p>
    <w:p w14:paraId="59D8E8F8">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（1）坚持政治建设，推动政治忠诚入心入魂</w:t>
      </w:r>
      <w:r>
        <w:rPr>
          <w:rFonts w:hint="eastAsia" w:hAnsi="宋体"/>
          <w:bCs/>
          <w:sz w:val="32"/>
          <w:szCs w:val="32"/>
          <w:lang w:val="en-US" w:eastAsia="zh-CN"/>
        </w:rPr>
        <w:t>。</w:t>
      </w:r>
    </w:p>
    <w:p w14:paraId="00C699D1">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（2）聚焦主责主业，推进审判执行提质增效</w:t>
      </w:r>
      <w:r>
        <w:rPr>
          <w:rFonts w:hint="eastAsia" w:hAnsi="宋体"/>
          <w:bCs/>
          <w:sz w:val="32"/>
          <w:szCs w:val="32"/>
          <w:lang w:val="en-US" w:eastAsia="zh-CN"/>
        </w:rPr>
        <w:t>。</w:t>
      </w:r>
    </w:p>
    <w:p w14:paraId="67C8896F">
      <w:pPr>
        <w:ind w:firstLine="560"/>
        <w:rPr>
          <w:b/>
          <w:bCs/>
        </w:rPr>
      </w:pPr>
      <w:r>
        <w:rPr>
          <w:rFonts w:hint="eastAsia"/>
          <w:b/>
          <w:bCs/>
        </w:rPr>
        <w:t>2.实际完成情况</w:t>
      </w:r>
    </w:p>
    <w:p w14:paraId="2D40EC6D">
      <w:pPr>
        <w:ind w:firstLine="560"/>
        <w:rPr>
          <w:rFonts w:hint="default" w:ascii="仿宋_GB2312" w:hAnsi="宋体"/>
          <w:bCs/>
          <w:sz w:val="32"/>
          <w:szCs w:val="32"/>
          <w:lang w:val="en-US" w:eastAsia="zh-CN"/>
        </w:rPr>
      </w:pPr>
      <w:r>
        <w:rPr>
          <w:rFonts w:hint="eastAsia" w:ascii="仿宋_GB2312" w:hAnsi="宋体"/>
          <w:bCs/>
          <w:sz w:val="32"/>
          <w:szCs w:val="32"/>
          <w:lang w:val="en-US" w:eastAsia="zh-CN"/>
        </w:rPr>
        <w:t>（1）</w:t>
      </w:r>
      <w:r>
        <w:rPr>
          <w:rFonts w:hint="default" w:ascii="仿宋_GB2312" w:hAnsi="宋体"/>
          <w:bCs/>
          <w:sz w:val="32"/>
          <w:szCs w:val="32"/>
          <w:lang w:val="en-US" w:eastAsia="zh-CN"/>
        </w:rPr>
        <w:t>树牢政治机关意识，旗帜鲜明讲政治，坚定捍卫“两个确立”，做到“两个维护”。紧紧围绕“学思想、强党性、重实践、建新功”总要求，认真落实“第一议题”制度。牢牢把握新时代党的建设总要求，建立党组抓统一领导、党总支抓具体指导、政治部抓日常工作的党建工作格局。</w:t>
      </w:r>
    </w:p>
    <w:p w14:paraId="47D84777">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2）常态化开展执行攻坚专项行动，执结案件52件，累计发放执行案款226万元，更快更优兑现胜诉当事人权益。组织法官进企业、进林场，建立环境资源审判多方联席工作机制，加强对黄河流域生态资源和文化资源的保护守护，助推辖区经济绿色发展。</w:t>
      </w:r>
    </w:p>
    <w:p w14:paraId="03A8AE57">
      <w:pPr>
        <w:pStyle w:val="4"/>
        <w:keepNext w:val="0"/>
        <w:keepLines w:val="0"/>
        <w:pageBreakBefore w:val="0"/>
        <w:widowControl w:val="0"/>
        <w:kinsoku/>
        <w:wordWrap/>
        <w:overflowPunct/>
        <w:topLinePunct w:val="0"/>
        <w:autoSpaceDE/>
        <w:autoSpaceDN/>
        <w:bidi w:val="0"/>
        <w:adjustRightInd/>
        <w:snapToGrid/>
        <w:spacing w:before="0" w:after="0"/>
        <w:ind w:firstLine="643"/>
        <w:textAlignment w:val="auto"/>
      </w:pPr>
      <w:bookmarkStart w:id="44" w:name="_Toc8910"/>
      <w:bookmarkStart w:id="45" w:name="_Toc17819"/>
      <w:bookmarkStart w:id="46" w:name="_Toc18553"/>
      <w:bookmarkStart w:id="47" w:name="_Toc7799"/>
      <w:r>
        <w:rPr>
          <w:rFonts w:hint="eastAsia"/>
        </w:rPr>
        <w:t>（三）各项指标完成情况分析</w:t>
      </w:r>
      <w:bookmarkEnd w:id="44"/>
      <w:bookmarkEnd w:id="45"/>
      <w:bookmarkEnd w:id="46"/>
      <w:bookmarkEnd w:id="47"/>
    </w:p>
    <w:p w14:paraId="7F565421">
      <w:pPr>
        <w:pStyle w:val="6"/>
        <w:keepNext w:val="0"/>
        <w:keepLines w:val="0"/>
        <w:pageBreakBefore w:val="0"/>
        <w:widowControl w:val="0"/>
        <w:kinsoku/>
        <w:wordWrap/>
        <w:overflowPunct/>
        <w:topLinePunct w:val="0"/>
        <w:autoSpaceDE/>
        <w:autoSpaceDN/>
        <w:bidi w:val="0"/>
        <w:adjustRightInd/>
        <w:snapToGrid/>
        <w:ind w:firstLine="560"/>
        <w:textAlignment w:val="auto"/>
        <w:rPr>
          <w:sz w:val="32"/>
          <w:szCs w:val="32"/>
        </w:rPr>
      </w:pPr>
      <w:r>
        <w:rPr>
          <w:sz w:val="32"/>
          <w:szCs w:val="32"/>
        </w:rPr>
        <w:t>1</w:t>
      </w:r>
      <w:r>
        <w:rPr>
          <w:rFonts w:hint="eastAsia"/>
          <w:sz w:val="32"/>
          <w:szCs w:val="32"/>
        </w:rPr>
        <w:t>.部门整体支出</w:t>
      </w:r>
      <w:r>
        <w:rPr>
          <w:sz w:val="32"/>
          <w:szCs w:val="32"/>
        </w:rPr>
        <w:t>预算执行率</w:t>
      </w:r>
      <w:r>
        <w:rPr>
          <w:rFonts w:hint="eastAsia"/>
          <w:sz w:val="32"/>
          <w:szCs w:val="32"/>
        </w:rPr>
        <w:t>完成情况分析</w:t>
      </w:r>
    </w:p>
    <w:p w14:paraId="5F1D519B">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我院2023年年初预算</w:t>
      </w:r>
      <w:r>
        <w:rPr>
          <w:rFonts w:hint="eastAsia" w:hAnsi="宋体"/>
          <w:bCs/>
          <w:sz w:val="32"/>
          <w:szCs w:val="32"/>
          <w:lang w:val="en-US" w:eastAsia="zh-CN"/>
        </w:rPr>
        <w:t>90</w:t>
      </w:r>
      <w:r>
        <w:rPr>
          <w:rFonts w:hint="eastAsia" w:ascii="仿宋_GB2312" w:hAnsi="宋体"/>
          <w:bCs/>
          <w:sz w:val="32"/>
          <w:szCs w:val="32"/>
          <w:lang w:val="en-US" w:eastAsia="zh-CN"/>
        </w:rPr>
        <w:t>6.</w:t>
      </w:r>
      <w:r>
        <w:rPr>
          <w:rFonts w:hint="eastAsia" w:hAnsi="宋体"/>
          <w:bCs/>
          <w:sz w:val="32"/>
          <w:szCs w:val="32"/>
          <w:lang w:val="en-US" w:eastAsia="zh-CN"/>
        </w:rPr>
        <w:t>04</w:t>
      </w:r>
      <w:r>
        <w:rPr>
          <w:rFonts w:hint="eastAsia" w:ascii="仿宋_GB2312" w:hAnsi="宋体"/>
          <w:bCs/>
          <w:sz w:val="32"/>
          <w:szCs w:val="32"/>
          <w:lang w:val="en-US" w:eastAsia="zh-CN"/>
        </w:rPr>
        <w:t>万元，全年预算数2,</w:t>
      </w:r>
      <w:r>
        <w:rPr>
          <w:rFonts w:hint="eastAsia" w:hAnsi="宋体"/>
          <w:bCs/>
          <w:sz w:val="32"/>
          <w:szCs w:val="32"/>
          <w:lang w:val="en-US" w:eastAsia="zh-CN"/>
        </w:rPr>
        <w:t>635</w:t>
      </w:r>
      <w:r>
        <w:rPr>
          <w:rFonts w:hint="eastAsia" w:ascii="仿宋_GB2312" w:hAnsi="宋体"/>
          <w:bCs/>
          <w:sz w:val="32"/>
          <w:szCs w:val="32"/>
          <w:lang w:val="en-US" w:eastAsia="zh-CN"/>
        </w:rPr>
        <w:t>.</w:t>
      </w:r>
      <w:r>
        <w:rPr>
          <w:rFonts w:hint="eastAsia" w:hAnsi="宋体"/>
          <w:bCs/>
          <w:sz w:val="32"/>
          <w:szCs w:val="32"/>
          <w:lang w:val="en-US" w:eastAsia="zh-CN"/>
        </w:rPr>
        <w:t>29</w:t>
      </w:r>
      <w:r>
        <w:rPr>
          <w:rFonts w:hint="eastAsia" w:ascii="仿宋_GB2312" w:hAnsi="宋体"/>
          <w:bCs/>
          <w:sz w:val="32"/>
          <w:szCs w:val="32"/>
          <w:lang w:val="en-US" w:eastAsia="zh-CN"/>
        </w:rPr>
        <w:t>万元，实际支出数2,5</w:t>
      </w:r>
      <w:r>
        <w:rPr>
          <w:rFonts w:hint="eastAsia" w:hAnsi="宋体"/>
          <w:bCs/>
          <w:sz w:val="32"/>
          <w:szCs w:val="32"/>
          <w:lang w:val="en-US" w:eastAsia="zh-CN"/>
        </w:rPr>
        <w:t>10</w:t>
      </w:r>
      <w:r>
        <w:rPr>
          <w:rFonts w:hint="eastAsia" w:ascii="仿宋_GB2312" w:hAnsi="宋体"/>
          <w:bCs/>
          <w:sz w:val="32"/>
          <w:szCs w:val="32"/>
          <w:lang w:val="en-US" w:eastAsia="zh-CN"/>
        </w:rPr>
        <w:t>.</w:t>
      </w:r>
      <w:r>
        <w:rPr>
          <w:rFonts w:hint="eastAsia" w:hAnsi="宋体"/>
          <w:bCs/>
          <w:sz w:val="32"/>
          <w:szCs w:val="32"/>
          <w:lang w:val="en-US" w:eastAsia="zh-CN"/>
        </w:rPr>
        <w:t>43</w:t>
      </w:r>
      <w:r>
        <w:rPr>
          <w:rFonts w:hint="eastAsia" w:ascii="仿宋_GB2312" w:hAnsi="宋体"/>
          <w:bCs/>
          <w:sz w:val="32"/>
          <w:szCs w:val="32"/>
          <w:lang w:val="en-US" w:eastAsia="zh-CN"/>
        </w:rPr>
        <w:t>万元，部门整体支出预算执行率为</w:t>
      </w:r>
      <w:r>
        <w:rPr>
          <w:rFonts w:hint="eastAsia" w:hAnsi="宋体"/>
          <w:bCs/>
          <w:sz w:val="32"/>
          <w:szCs w:val="32"/>
          <w:lang w:val="en-US" w:eastAsia="zh-CN"/>
        </w:rPr>
        <w:t>95.26</w:t>
      </w:r>
      <w:r>
        <w:rPr>
          <w:rFonts w:hint="eastAsia" w:ascii="仿宋_GB2312" w:hAnsi="宋体"/>
          <w:bCs/>
          <w:sz w:val="32"/>
          <w:szCs w:val="32"/>
          <w:lang w:val="en-US" w:eastAsia="zh-CN"/>
        </w:rPr>
        <w:t>%。</w:t>
      </w:r>
    </w:p>
    <w:p w14:paraId="23D8CEFC">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该指标分值10分，自评得分10分，得分率为100%。</w:t>
      </w:r>
    </w:p>
    <w:p w14:paraId="5212AECC">
      <w:pPr>
        <w:pStyle w:val="6"/>
        <w:ind w:firstLine="560"/>
        <w:rPr>
          <w:sz w:val="32"/>
          <w:szCs w:val="32"/>
        </w:rPr>
      </w:pPr>
      <w:r>
        <w:rPr>
          <w:sz w:val="32"/>
          <w:szCs w:val="32"/>
        </w:rPr>
        <w:t>2</w:t>
      </w:r>
      <w:r>
        <w:rPr>
          <w:rFonts w:hint="eastAsia"/>
          <w:sz w:val="32"/>
          <w:szCs w:val="32"/>
        </w:rPr>
        <w:t>.</w:t>
      </w:r>
      <w:r>
        <w:rPr>
          <w:sz w:val="32"/>
          <w:szCs w:val="32"/>
        </w:rPr>
        <w:t>部门管理</w:t>
      </w:r>
      <w:r>
        <w:rPr>
          <w:rFonts w:hint="eastAsia"/>
          <w:sz w:val="32"/>
          <w:szCs w:val="32"/>
        </w:rPr>
        <w:t>目标完成情况分析</w:t>
      </w:r>
    </w:p>
    <w:p w14:paraId="799B7A51">
      <w:pPr>
        <w:ind w:firstLine="560"/>
        <w:rPr>
          <w:rFonts w:hint="eastAsia" w:ascii="仿宋_GB2312" w:hAnsi="宋体"/>
          <w:bCs/>
          <w:sz w:val="32"/>
          <w:szCs w:val="32"/>
          <w:lang w:val="en-US" w:eastAsia="zh-CN"/>
        </w:rPr>
      </w:pPr>
      <w:r>
        <w:rPr>
          <w:rFonts w:hint="eastAsia" w:ascii="仿宋_GB2312" w:hAnsi="宋体"/>
          <w:bCs/>
          <w:sz w:val="32"/>
          <w:szCs w:val="32"/>
          <w:lang w:val="en-US" w:eastAsia="zh-CN"/>
        </w:rPr>
        <w:t>部门管理指标包括资金投入、财务管理、采购管理、资产管理、人员管理、重点工作管理六个二级指标，下设10个三级指标。指标分值20分，自评得分</w:t>
      </w:r>
      <w:r>
        <w:rPr>
          <w:rFonts w:hint="eastAsia" w:hAnsi="宋体"/>
          <w:bCs/>
          <w:sz w:val="32"/>
          <w:szCs w:val="32"/>
          <w:lang w:val="en-US" w:eastAsia="zh-CN"/>
        </w:rPr>
        <w:t>19.48</w:t>
      </w:r>
      <w:r>
        <w:rPr>
          <w:rFonts w:hint="eastAsia" w:ascii="仿宋_GB2312" w:hAnsi="宋体"/>
          <w:bCs/>
          <w:sz w:val="32"/>
          <w:szCs w:val="32"/>
          <w:lang w:val="en-US" w:eastAsia="zh-CN"/>
        </w:rPr>
        <w:t>分，得分率</w:t>
      </w:r>
      <w:r>
        <w:rPr>
          <w:rFonts w:hint="eastAsia" w:hAnsi="宋体"/>
          <w:bCs/>
          <w:sz w:val="32"/>
          <w:szCs w:val="32"/>
          <w:lang w:val="en-US" w:eastAsia="zh-CN"/>
        </w:rPr>
        <w:t>97.4</w:t>
      </w:r>
      <w:r>
        <w:rPr>
          <w:rFonts w:hint="eastAsia" w:ascii="仿宋_GB2312" w:hAnsi="宋体"/>
          <w:bCs/>
          <w:sz w:val="32"/>
          <w:szCs w:val="32"/>
          <w:lang w:val="en-US" w:eastAsia="zh-CN"/>
        </w:rPr>
        <w:t>%。具体如下表：</w:t>
      </w:r>
    </w:p>
    <w:tbl>
      <w:tblPr>
        <w:tblStyle w:val="26"/>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14:paraId="27A6CC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48086DF5">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14:paraId="04916D4A">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14:paraId="2F00C274">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14:paraId="3DCEAE76">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0C22D1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005C0C0">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14:paraId="4A1F49C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14:paraId="306990EC">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7.48</w:t>
            </w:r>
          </w:p>
        </w:tc>
        <w:tc>
          <w:tcPr>
            <w:tcW w:w="1984" w:type="dxa"/>
            <w:vAlign w:val="center"/>
          </w:tcPr>
          <w:p w14:paraId="7F6DFB6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93.5</w:t>
            </w:r>
            <w:r>
              <w:rPr>
                <w:rFonts w:hint="eastAsia" w:ascii="宋体" w:hAnsi="宋体" w:eastAsia="宋体" w:cs="宋体"/>
                <w:color w:val="000000"/>
                <w:kern w:val="0"/>
                <w:sz w:val="22"/>
              </w:rPr>
              <w:t>%</w:t>
            </w:r>
          </w:p>
        </w:tc>
      </w:tr>
      <w:tr w14:paraId="2752A9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6A5A8C17">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14:paraId="0020756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14:paraId="7035E82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14:paraId="3712855F">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38CB51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2623606A">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14:paraId="35A1E9C2">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4F93A7C1">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78172851">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390694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207E2200">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14:paraId="41C7E0A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2963FF25">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01787E6A">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0638DF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5AC5863D">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14:paraId="294A354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486F1DF8">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519B53A1">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17581D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0DB72DDD">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14:paraId="720153A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43E3E21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2408D77C">
            <w:pPr>
              <w:widowControl/>
              <w:ind w:firstLine="660" w:firstLineChars="300"/>
              <w:jc w:val="both"/>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02F0FF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2B460212">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14:paraId="38E66859">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14:paraId="5BC91DFD">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19.48</w:t>
            </w:r>
          </w:p>
        </w:tc>
        <w:tc>
          <w:tcPr>
            <w:tcW w:w="1984" w:type="dxa"/>
            <w:shd w:val="clear" w:color="auto" w:fill="BDD6EE"/>
            <w:vAlign w:val="center"/>
          </w:tcPr>
          <w:p w14:paraId="5EFD6464">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97.4%</w:t>
            </w:r>
          </w:p>
        </w:tc>
      </w:tr>
    </w:tbl>
    <w:p w14:paraId="35666A86">
      <w:pPr>
        <w:ind w:firstLine="560"/>
        <w:rPr>
          <w:rFonts w:hint="eastAsia" w:ascii="仿宋_GB2312" w:hAnsi="宋体"/>
          <w:bCs/>
          <w:sz w:val="32"/>
          <w:szCs w:val="32"/>
          <w:lang w:val="en-US" w:eastAsia="zh-CN"/>
        </w:rPr>
      </w:pPr>
      <w:r>
        <w:rPr>
          <w:rFonts w:hint="eastAsia" w:ascii="仿宋_GB2312" w:hAnsi="宋体"/>
          <w:b/>
          <w:bCs w:val="0"/>
          <w:sz w:val="32"/>
          <w:szCs w:val="32"/>
          <w:lang w:val="en-US" w:eastAsia="zh-CN"/>
        </w:rPr>
        <w:t>基本支出预算执行率：</w:t>
      </w:r>
      <w:r>
        <w:rPr>
          <w:rFonts w:hint="eastAsia" w:ascii="仿宋_GB2312" w:hAnsi="宋体"/>
          <w:bCs/>
          <w:sz w:val="32"/>
          <w:szCs w:val="32"/>
          <w:lang w:val="en-US" w:eastAsia="zh-CN"/>
        </w:rPr>
        <w:t>2023年度我院基本支出全年预算数</w:t>
      </w:r>
      <w:r>
        <w:rPr>
          <w:rFonts w:hint="eastAsia" w:hAnsi="宋体"/>
          <w:bCs/>
          <w:sz w:val="32"/>
          <w:szCs w:val="32"/>
          <w:lang w:val="en-US" w:eastAsia="zh-CN"/>
        </w:rPr>
        <w:t>为856.34</w:t>
      </w:r>
      <w:r>
        <w:rPr>
          <w:rFonts w:hint="eastAsia" w:ascii="仿宋_GB2312" w:hAnsi="宋体"/>
          <w:bCs/>
          <w:sz w:val="32"/>
          <w:szCs w:val="32"/>
          <w:lang w:val="en-US" w:eastAsia="zh-CN"/>
        </w:rPr>
        <w:t>万元</w:t>
      </w:r>
      <w:r>
        <w:rPr>
          <w:rFonts w:hint="eastAsia" w:hAnsi="宋体"/>
          <w:bCs/>
          <w:sz w:val="32"/>
          <w:szCs w:val="32"/>
          <w:lang w:val="en-US" w:eastAsia="zh-CN"/>
        </w:rPr>
        <w:t>，</w:t>
      </w:r>
      <w:r>
        <w:rPr>
          <w:rFonts w:hint="eastAsia" w:ascii="仿宋_GB2312" w:hAnsi="宋体"/>
          <w:bCs/>
          <w:sz w:val="32"/>
          <w:szCs w:val="32"/>
          <w:lang w:val="en-US" w:eastAsia="zh-CN"/>
        </w:rPr>
        <w:t>实际支出数均为</w:t>
      </w:r>
      <w:r>
        <w:rPr>
          <w:rFonts w:hint="eastAsia" w:hAnsi="宋体"/>
          <w:bCs/>
          <w:sz w:val="32"/>
          <w:szCs w:val="32"/>
          <w:lang w:val="en-US" w:eastAsia="zh-CN"/>
        </w:rPr>
        <w:t>739</w:t>
      </w:r>
      <w:r>
        <w:rPr>
          <w:rFonts w:hint="eastAsia" w:ascii="仿宋_GB2312" w:hAnsi="宋体"/>
          <w:bCs/>
          <w:sz w:val="32"/>
          <w:szCs w:val="32"/>
          <w:lang w:val="en-US" w:eastAsia="zh-CN"/>
        </w:rPr>
        <w:t>.</w:t>
      </w:r>
      <w:r>
        <w:rPr>
          <w:rFonts w:hint="eastAsia" w:hAnsi="宋体"/>
          <w:bCs/>
          <w:sz w:val="32"/>
          <w:szCs w:val="32"/>
          <w:lang w:val="en-US" w:eastAsia="zh-CN"/>
        </w:rPr>
        <w:t>93</w:t>
      </w:r>
      <w:r>
        <w:rPr>
          <w:rFonts w:hint="eastAsia" w:ascii="仿宋_GB2312" w:hAnsi="宋体"/>
          <w:bCs/>
          <w:sz w:val="32"/>
          <w:szCs w:val="32"/>
          <w:lang w:val="en-US" w:eastAsia="zh-CN"/>
        </w:rPr>
        <w:t>万元，</w:t>
      </w:r>
      <w:r>
        <w:rPr>
          <w:rFonts w:hint="eastAsia" w:hAnsi="宋体"/>
          <w:bCs/>
          <w:sz w:val="32"/>
          <w:szCs w:val="32"/>
          <w:lang w:val="en-US" w:eastAsia="zh-CN"/>
        </w:rPr>
        <w:t>2023我院</w:t>
      </w:r>
      <w:r>
        <w:rPr>
          <w:rFonts w:hint="eastAsia" w:ascii="仿宋_GB2312" w:hAnsi="宋体"/>
          <w:bCs/>
          <w:sz w:val="32"/>
          <w:szCs w:val="32"/>
          <w:lang w:val="en-US" w:eastAsia="zh-CN"/>
        </w:rPr>
        <w:t>有1人退休，基本支出存在结余。基本支出预算执行率为</w:t>
      </w:r>
      <w:r>
        <w:rPr>
          <w:rFonts w:hint="eastAsia" w:hAnsi="宋体"/>
          <w:bCs/>
          <w:sz w:val="32"/>
          <w:szCs w:val="32"/>
          <w:lang w:val="en-US" w:eastAsia="zh-CN"/>
        </w:rPr>
        <w:t>86.41</w:t>
      </w:r>
      <w:r>
        <w:rPr>
          <w:rFonts w:hint="eastAsia" w:ascii="仿宋_GB2312" w:hAnsi="宋体"/>
          <w:bCs/>
          <w:sz w:val="32"/>
          <w:szCs w:val="32"/>
          <w:lang w:val="en-US" w:eastAsia="zh-CN"/>
        </w:rPr>
        <w:t>%。该指标分值2分，自评得分</w:t>
      </w:r>
      <w:r>
        <w:rPr>
          <w:rFonts w:hint="eastAsia" w:hAnsi="宋体"/>
          <w:bCs/>
          <w:sz w:val="32"/>
          <w:szCs w:val="32"/>
          <w:lang w:val="en-US" w:eastAsia="zh-CN"/>
        </w:rPr>
        <w:t>1.73</w:t>
      </w:r>
      <w:r>
        <w:rPr>
          <w:rFonts w:hint="eastAsia" w:ascii="仿宋_GB2312" w:hAnsi="宋体"/>
          <w:bCs/>
          <w:sz w:val="32"/>
          <w:szCs w:val="32"/>
          <w:lang w:val="en-US" w:eastAsia="zh-CN"/>
        </w:rPr>
        <w:t>分，得分率为</w:t>
      </w:r>
      <w:r>
        <w:rPr>
          <w:rFonts w:hint="eastAsia" w:hAnsi="宋体"/>
          <w:bCs/>
          <w:sz w:val="32"/>
          <w:szCs w:val="32"/>
          <w:lang w:val="en-US" w:eastAsia="zh-CN"/>
        </w:rPr>
        <w:t>86.5</w:t>
      </w:r>
      <w:r>
        <w:rPr>
          <w:rFonts w:hint="eastAsia" w:ascii="仿宋_GB2312" w:hAnsi="宋体"/>
          <w:bCs/>
          <w:sz w:val="32"/>
          <w:szCs w:val="32"/>
          <w:lang w:val="en-US" w:eastAsia="zh-CN"/>
        </w:rPr>
        <w:t>%。</w:t>
      </w:r>
    </w:p>
    <w:p w14:paraId="74F2CA6A">
      <w:pPr>
        <w:ind w:firstLine="560"/>
        <w:rPr>
          <w:rFonts w:hint="eastAsia" w:ascii="仿宋_GB2312" w:hAnsi="宋体"/>
          <w:bCs/>
          <w:sz w:val="32"/>
          <w:szCs w:val="32"/>
          <w:lang w:val="en-US" w:eastAsia="zh-CN"/>
        </w:rPr>
      </w:pPr>
      <w:r>
        <w:rPr>
          <w:rFonts w:hint="eastAsia" w:ascii="仿宋_GB2312" w:hAnsi="宋体"/>
          <w:b/>
          <w:bCs w:val="0"/>
          <w:sz w:val="32"/>
          <w:szCs w:val="32"/>
          <w:lang w:val="en-US" w:eastAsia="zh-CN"/>
        </w:rPr>
        <w:t>项目支出预算执行率：</w:t>
      </w:r>
      <w:r>
        <w:rPr>
          <w:rFonts w:hint="eastAsia" w:ascii="仿宋_GB2312" w:hAnsi="宋体"/>
          <w:bCs/>
          <w:sz w:val="32"/>
          <w:szCs w:val="32"/>
          <w:lang w:val="en-US" w:eastAsia="zh-CN"/>
        </w:rPr>
        <w:t>2023年度项目支出全年预算数</w:t>
      </w:r>
      <w:r>
        <w:rPr>
          <w:rFonts w:hint="eastAsia" w:hAnsi="宋体"/>
          <w:bCs/>
          <w:sz w:val="32"/>
          <w:szCs w:val="32"/>
          <w:lang w:val="en-US" w:eastAsia="zh-CN"/>
        </w:rPr>
        <w:t>w为1,778</w:t>
      </w:r>
      <w:r>
        <w:rPr>
          <w:rFonts w:hint="eastAsia" w:ascii="仿宋_GB2312" w:hAnsi="宋体"/>
          <w:bCs/>
          <w:sz w:val="32"/>
          <w:szCs w:val="32"/>
          <w:lang w:val="en-US" w:eastAsia="zh-CN"/>
        </w:rPr>
        <w:t>.</w:t>
      </w:r>
      <w:r>
        <w:rPr>
          <w:rFonts w:hint="eastAsia" w:hAnsi="宋体"/>
          <w:bCs/>
          <w:sz w:val="32"/>
          <w:szCs w:val="32"/>
          <w:lang w:val="en-US" w:eastAsia="zh-CN"/>
        </w:rPr>
        <w:t>95</w:t>
      </w:r>
      <w:r>
        <w:rPr>
          <w:rFonts w:hint="eastAsia" w:ascii="仿宋_GB2312" w:hAnsi="宋体"/>
          <w:bCs/>
          <w:sz w:val="32"/>
          <w:szCs w:val="32"/>
          <w:lang w:val="en-US" w:eastAsia="zh-CN"/>
        </w:rPr>
        <w:t>万元</w:t>
      </w:r>
      <w:r>
        <w:rPr>
          <w:rFonts w:hint="eastAsia" w:hAnsi="宋体"/>
          <w:bCs/>
          <w:sz w:val="32"/>
          <w:szCs w:val="32"/>
          <w:lang w:val="en-US" w:eastAsia="zh-CN"/>
        </w:rPr>
        <w:t>，</w:t>
      </w:r>
      <w:r>
        <w:rPr>
          <w:rFonts w:hint="eastAsia" w:ascii="仿宋_GB2312" w:hAnsi="宋体"/>
          <w:bCs/>
          <w:sz w:val="32"/>
          <w:szCs w:val="32"/>
          <w:lang w:val="en-US" w:eastAsia="zh-CN"/>
        </w:rPr>
        <w:t>实际支出数为</w:t>
      </w:r>
      <w:r>
        <w:rPr>
          <w:rFonts w:hint="eastAsia" w:hAnsi="宋体"/>
          <w:bCs/>
          <w:sz w:val="32"/>
          <w:szCs w:val="32"/>
          <w:lang w:val="en-US" w:eastAsia="zh-CN"/>
        </w:rPr>
        <w:t>1,770</w:t>
      </w:r>
      <w:r>
        <w:rPr>
          <w:rFonts w:hint="eastAsia" w:ascii="仿宋_GB2312" w:hAnsi="宋体"/>
          <w:bCs/>
          <w:sz w:val="32"/>
          <w:szCs w:val="32"/>
          <w:lang w:val="en-US" w:eastAsia="zh-CN"/>
        </w:rPr>
        <w:t>.</w:t>
      </w:r>
      <w:r>
        <w:rPr>
          <w:rFonts w:hint="eastAsia" w:hAnsi="宋体"/>
          <w:bCs/>
          <w:sz w:val="32"/>
          <w:szCs w:val="32"/>
          <w:lang w:val="en-US" w:eastAsia="zh-CN"/>
        </w:rPr>
        <w:t>50</w:t>
      </w:r>
      <w:r>
        <w:rPr>
          <w:rFonts w:hint="eastAsia" w:ascii="仿宋_GB2312" w:hAnsi="宋体"/>
          <w:bCs/>
          <w:sz w:val="32"/>
          <w:szCs w:val="32"/>
          <w:lang w:val="en-US" w:eastAsia="zh-CN"/>
        </w:rPr>
        <w:t>万元，项目支出预算执行率为</w:t>
      </w:r>
      <w:r>
        <w:rPr>
          <w:rFonts w:hint="eastAsia" w:hAnsi="宋体"/>
          <w:bCs/>
          <w:sz w:val="32"/>
          <w:szCs w:val="32"/>
          <w:lang w:val="en-US" w:eastAsia="zh-CN"/>
        </w:rPr>
        <w:t>99.53</w:t>
      </w:r>
      <w:r>
        <w:rPr>
          <w:rFonts w:hint="eastAsia" w:ascii="仿宋_GB2312" w:hAnsi="宋体"/>
          <w:bCs/>
          <w:sz w:val="32"/>
          <w:szCs w:val="32"/>
          <w:lang w:val="en-US" w:eastAsia="zh-CN"/>
        </w:rPr>
        <w:t>%。该指标分值2分，自评得分2分，得分率为100%。</w:t>
      </w:r>
    </w:p>
    <w:p w14:paraId="3360F952">
      <w:pPr>
        <w:ind w:firstLine="560"/>
        <w:rPr>
          <w:rFonts w:hint="eastAsia"/>
          <w:sz w:val="32"/>
          <w:szCs w:val="32"/>
          <w:lang w:val="en-US" w:eastAsia="zh-CN"/>
        </w:rPr>
      </w:pPr>
      <w:r>
        <w:rPr>
          <w:rFonts w:hint="eastAsia" w:ascii="仿宋_GB2312" w:hAnsi="宋体"/>
          <w:b/>
          <w:bCs w:val="0"/>
          <w:sz w:val="32"/>
          <w:szCs w:val="32"/>
          <w:lang w:val="en-US" w:eastAsia="zh-CN"/>
        </w:rPr>
        <w:t>“三公经费”控制率：</w:t>
      </w:r>
      <w:r>
        <w:rPr>
          <w:rFonts w:hint="eastAsia"/>
          <w:sz w:val="32"/>
          <w:szCs w:val="32"/>
          <w:lang w:val="en-US" w:eastAsia="zh-CN"/>
        </w:rPr>
        <w:t>2023年“三公经费”全年预算数为13.5万元，实际支出数为11.83万元“三公经费”控制率为87.64%。“三公经费”控制率控制在预算范围内，系统原因导致扣分。该指标分值2分，自评得分1.75分，得分率为87.5%。</w:t>
      </w:r>
    </w:p>
    <w:p w14:paraId="3A259F8D">
      <w:pPr>
        <w:ind w:firstLine="560"/>
        <w:rPr>
          <w:rFonts w:hint="eastAsia"/>
          <w:sz w:val="32"/>
          <w:szCs w:val="32"/>
          <w:lang w:val="en-US" w:eastAsia="zh-CN"/>
        </w:rPr>
      </w:pPr>
      <w:r>
        <w:rPr>
          <w:rFonts w:hint="eastAsia" w:ascii="仿宋_GB2312" w:hAnsi="宋体"/>
          <w:b/>
          <w:bCs w:val="0"/>
          <w:sz w:val="32"/>
          <w:szCs w:val="32"/>
          <w:lang w:val="en-US" w:eastAsia="zh-CN"/>
        </w:rPr>
        <w:t>结转结余变动率：</w:t>
      </w:r>
      <w:r>
        <w:rPr>
          <w:rFonts w:hint="eastAsia"/>
          <w:sz w:val="32"/>
          <w:szCs w:val="32"/>
          <w:lang w:val="en-US" w:eastAsia="zh-CN"/>
        </w:rPr>
        <w:t>我院2022年结余资金124.86万元、2023年结转结余资金</w:t>
      </w:r>
      <w:r>
        <w:rPr>
          <w:rFonts w:hint="eastAsia" w:hAnsi="宋体"/>
          <w:bCs/>
          <w:sz w:val="32"/>
          <w:szCs w:val="32"/>
          <w:lang w:val="en-US" w:eastAsia="zh-CN"/>
        </w:rPr>
        <w:t>1,083</w:t>
      </w:r>
      <w:r>
        <w:rPr>
          <w:rFonts w:hint="eastAsia" w:ascii="仿宋_GB2312" w:hAnsi="宋体"/>
          <w:bCs/>
          <w:sz w:val="32"/>
          <w:szCs w:val="32"/>
          <w:lang w:val="en-US" w:eastAsia="zh-CN"/>
        </w:rPr>
        <w:t>.</w:t>
      </w:r>
      <w:r>
        <w:rPr>
          <w:rFonts w:hint="eastAsia" w:hAnsi="宋体"/>
          <w:bCs/>
          <w:sz w:val="32"/>
          <w:szCs w:val="32"/>
          <w:lang w:val="en-US" w:eastAsia="zh-CN"/>
        </w:rPr>
        <w:t>40</w:t>
      </w:r>
      <w:r>
        <w:rPr>
          <w:rFonts w:hint="eastAsia"/>
          <w:sz w:val="32"/>
          <w:szCs w:val="32"/>
          <w:lang w:val="en-US" w:eastAsia="zh-CN"/>
        </w:rPr>
        <w:t>，结转结余变动率-88.48%。该指标分值2分，自评得分2分，得分率为100%。</w:t>
      </w:r>
    </w:p>
    <w:p w14:paraId="5E985205">
      <w:pPr>
        <w:ind w:firstLine="560"/>
        <w:rPr>
          <w:rFonts w:hint="eastAsia"/>
          <w:sz w:val="32"/>
          <w:szCs w:val="32"/>
          <w:lang w:val="en-US" w:eastAsia="zh-CN"/>
        </w:rPr>
      </w:pPr>
      <w:r>
        <w:rPr>
          <w:rFonts w:hint="eastAsia" w:ascii="仿宋_GB2312" w:hAnsi="宋体"/>
          <w:b/>
          <w:bCs w:val="0"/>
          <w:sz w:val="32"/>
          <w:szCs w:val="32"/>
          <w:lang w:val="en-US" w:eastAsia="zh-CN"/>
        </w:rPr>
        <w:t>财务管理制度健全性：</w:t>
      </w:r>
      <w:r>
        <w:rPr>
          <w:rFonts w:hint="eastAsia"/>
          <w:sz w:val="32"/>
          <w:szCs w:val="32"/>
          <w:lang w:val="en-US" w:eastAsia="zh-CN"/>
        </w:rPr>
        <w:t>我院制定了《子午岭林区法院财务管理制度》，制度合法、合规，并得到有效执行。大额资金均由党委会研究通过后使用，对资金开支有完备的审批流程和管控手续。所有支出符合国家财经法规和财务管理制度规定以及有关专项资金管理办法的规定。该指标分值2分，自评得分2分，得分率为100%。</w:t>
      </w:r>
    </w:p>
    <w:p w14:paraId="3926F844">
      <w:pPr>
        <w:ind w:firstLine="560"/>
        <w:rPr>
          <w:rFonts w:hint="eastAsia"/>
          <w:sz w:val="32"/>
          <w:szCs w:val="32"/>
          <w:lang w:val="en-US" w:eastAsia="zh-CN"/>
        </w:rPr>
      </w:pPr>
      <w:r>
        <w:rPr>
          <w:rFonts w:hint="eastAsia" w:ascii="仿宋_GB2312" w:hAnsi="宋体"/>
          <w:b/>
          <w:bCs w:val="0"/>
          <w:sz w:val="32"/>
          <w:szCs w:val="32"/>
          <w:lang w:val="en-US" w:eastAsia="zh-CN"/>
        </w:rPr>
        <w:t>资金使用规范性：</w:t>
      </w:r>
      <w:r>
        <w:rPr>
          <w:rFonts w:hint="eastAsia"/>
          <w:sz w:val="32"/>
          <w:szCs w:val="32"/>
          <w:lang w:val="en-US" w:eastAsia="zh-CN"/>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14:paraId="07246583">
      <w:pPr>
        <w:ind w:firstLine="560"/>
        <w:rPr>
          <w:rFonts w:hint="eastAsia"/>
          <w:sz w:val="32"/>
          <w:szCs w:val="32"/>
          <w:lang w:val="en-US" w:eastAsia="zh-CN"/>
        </w:rPr>
      </w:pPr>
      <w:r>
        <w:rPr>
          <w:rFonts w:hint="eastAsia" w:ascii="仿宋_GB2312" w:hAnsi="宋体"/>
          <w:b/>
          <w:bCs w:val="0"/>
          <w:sz w:val="32"/>
          <w:szCs w:val="32"/>
          <w:lang w:val="en-US" w:eastAsia="zh-CN"/>
        </w:rPr>
        <w:t>政府采购规范性：</w:t>
      </w:r>
      <w:r>
        <w:rPr>
          <w:rFonts w:hint="eastAsia"/>
          <w:sz w:val="32"/>
          <w:szCs w:val="32"/>
          <w:lang w:val="en-US" w:eastAsia="zh-CN"/>
        </w:rPr>
        <w:t>我院采购实际执行情况与采购计划安排无差异。采购事项严格执行相关标准，采购业务符合政府采购相关规定。该指标分值2分，自评得分2分，得分率为100%。</w:t>
      </w:r>
    </w:p>
    <w:p w14:paraId="02C6269E">
      <w:pPr>
        <w:ind w:firstLine="560"/>
        <w:rPr>
          <w:rFonts w:hint="eastAsia"/>
          <w:sz w:val="32"/>
          <w:szCs w:val="32"/>
          <w:lang w:val="en-US" w:eastAsia="zh-CN"/>
        </w:rPr>
      </w:pPr>
      <w:r>
        <w:rPr>
          <w:rFonts w:hint="eastAsia" w:ascii="仿宋_GB2312" w:hAnsi="宋体"/>
          <w:b/>
          <w:bCs w:val="0"/>
          <w:sz w:val="32"/>
          <w:szCs w:val="32"/>
          <w:lang w:val="en-US" w:eastAsia="zh-CN"/>
        </w:rPr>
        <w:t>资产管理规范性：</w:t>
      </w:r>
      <w:r>
        <w:rPr>
          <w:rFonts w:hint="eastAsia"/>
          <w:sz w:val="32"/>
          <w:szCs w:val="32"/>
          <w:lang w:val="en-US" w:eastAsia="zh-CN"/>
        </w:rPr>
        <w:t>2023年我院账务和资产卡片数据相符，资产卡片与实物相符，各类资产保存完整、使用合规、配置合理、处置规范，资产处置收入能够及时足额上缴财政，资产管理符合相关要求。该指标分值2分，自评得分2分，得分率为100%。</w:t>
      </w:r>
    </w:p>
    <w:p w14:paraId="724559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lang w:val="en-US" w:eastAsia="zh-CN"/>
        </w:rPr>
      </w:pPr>
      <w:r>
        <w:rPr>
          <w:rFonts w:hint="eastAsia" w:ascii="仿宋_GB2312" w:hAnsi="宋体"/>
          <w:b/>
          <w:bCs w:val="0"/>
          <w:sz w:val="32"/>
          <w:szCs w:val="32"/>
          <w:lang w:val="en-US" w:eastAsia="zh-CN"/>
        </w:rPr>
        <w:t>在职人员控制率：</w:t>
      </w:r>
      <w:r>
        <w:rPr>
          <w:rFonts w:hint="eastAsia"/>
          <w:sz w:val="32"/>
          <w:szCs w:val="32"/>
          <w:lang w:val="en-US" w:eastAsia="zh-CN"/>
        </w:rPr>
        <w:t>我院人员管理规范，部门整体的财政供养人员规模得到有效控制，我院共有编制 29 人，在编人数 27 人，聘用制书记员 9 人，临时工 6 人。其中，中央政法编制 27 人中入额法官 7 人，法官助理 6 人，书记员 3 人，行政后勤人员 6 人，法警 5 人，在职人员控制率为100%。该指标分值2分，自评得分2分，得分率为100%。</w:t>
      </w:r>
    </w:p>
    <w:p w14:paraId="06521821">
      <w:pPr>
        <w:ind w:firstLine="560"/>
        <w:rPr>
          <w:rFonts w:hint="eastAsia"/>
          <w:sz w:val="32"/>
          <w:szCs w:val="32"/>
          <w:lang w:val="en-US" w:eastAsia="zh-CN"/>
        </w:rPr>
      </w:pPr>
      <w:r>
        <w:rPr>
          <w:rFonts w:hint="eastAsia" w:ascii="仿宋_GB2312" w:hAnsi="宋体"/>
          <w:b/>
          <w:bCs w:val="0"/>
          <w:sz w:val="32"/>
          <w:szCs w:val="32"/>
          <w:lang w:val="en-US" w:eastAsia="zh-CN"/>
        </w:rPr>
        <w:t>重点工作管理制度健全性：</w:t>
      </w:r>
      <w:r>
        <w:rPr>
          <w:rFonts w:hint="eastAsia"/>
          <w:sz w:val="32"/>
          <w:szCs w:val="32"/>
          <w:lang w:val="en-US" w:eastAsia="zh-CN"/>
        </w:rPr>
        <w:t>我院针对重点工作，修订并完善了相关案件审判制度，制度合法、合规、完整，并且能够有效执行和指导重点工作的有效推进和实施。该指标分值2分，自评得分2分，得分率为100%。</w:t>
      </w:r>
    </w:p>
    <w:p w14:paraId="52CA4A9F">
      <w:pPr>
        <w:pStyle w:val="6"/>
        <w:ind w:firstLine="560"/>
        <w:rPr>
          <w:rFonts w:hint="eastAsia" w:ascii="仿宋_GB2312" w:hAnsi="宋体" w:eastAsia="仿宋_GB2312" w:cstheme="minorBidi"/>
          <w:b/>
          <w:bCs w:val="0"/>
          <w:kern w:val="2"/>
          <w:sz w:val="32"/>
          <w:szCs w:val="32"/>
          <w:lang w:val="en-US" w:eastAsia="zh-CN" w:bidi="ar-SA"/>
        </w:rPr>
      </w:pPr>
      <w:bookmarkStart w:id="48" w:name="_Toc40046032"/>
      <w:r>
        <w:rPr>
          <w:rFonts w:hint="eastAsia" w:ascii="仿宋_GB2312" w:hAnsi="宋体" w:eastAsia="仿宋_GB2312" w:cstheme="minorBidi"/>
          <w:b/>
          <w:bCs w:val="0"/>
          <w:kern w:val="2"/>
          <w:sz w:val="32"/>
          <w:szCs w:val="32"/>
          <w:lang w:val="en-US" w:eastAsia="zh-CN" w:bidi="ar-SA"/>
        </w:rPr>
        <w:t>3.履职效果</w:t>
      </w:r>
      <w:bookmarkEnd w:id="48"/>
      <w:r>
        <w:rPr>
          <w:rFonts w:hint="eastAsia" w:ascii="仿宋_GB2312" w:hAnsi="宋体" w:eastAsia="仿宋_GB2312" w:cstheme="minorBidi"/>
          <w:b/>
          <w:bCs w:val="0"/>
          <w:kern w:val="2"/>
          <w:sz w:val="32"/>
          <w:szCs w:val="32"/>
          <w:lang w:val="en-US" w:eastAsia="zh-CN" w:bidi="ar-SA"/>
        </w:rPr>
        <w:t>目标完成情况分析</w:t>
      </w:r>
    </w:p>
    <w:p w14:paraId="1A9C79D4">
      <w:pPr>
        <w:ind w:firstLine="560"/>
        <w:rPr>
          <w:rFonts w:hint="eastAsia"/>
          <w:sz w:val="32"/>
          <w:szCs w:val="32"/>
          <w:lang w:val="en-US" w:eastAsia="zh-CN"/>
        </w:rPr>
      </w:pPr>
      <w:r>
        <w:rPr>
          <w:rFonts w:hint="eastAsia"/>
          <w:sz w:val="32"/>
          <w:szCs w:val="32"/>
          <w:lang w:val="en-US" w:eastAsia="zh-CN"/>
        </w:rPr>
        <w:t>履职效果指标包括部门履职目标、部门效果、服务对象满意度及社会影响四个二级指标，下设22个三级指标。履职效果指标分值60分，自评得分55分，得分率91.67%。</w:t>
      </w:r>
    </w:p>
    <w:tbl>
      <w:tblPr>
        <w:tblStyle w:val="26"/>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40"/>
        <w:gridCol w:w="1856"/>
        <w:gridCol w:w="1750"/>
        <w:gridCol w:w="2273"/>
      </w:tblGrid>
      <w:tr w14:paraId="6B3BF0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2CBB3EB6">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089" w:type="pct"/>
            <w:shd w:val="clear" w:color="auto" w:fill="BDD6EE"/>
            <w:vAlign w:val="center"/>
          </w:tcPr>
          <w:p w14:paraId="7B3AACA5">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027" w:type="pct"/>
            <w:shd w:val="clear" w:color="auto" w:fill="BDD6EE"/>
            <w:vAlign w:val="center"/>
          </w:tcPr>
          <w:p w14:paraId="4D843274">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333" w:type="pct"/>
            <w:shd w:val="clear" w:color="auto" w:fill="BDD6EE"/>
            <w:vAlign w:val="center"/>
          </w:tcPr>
          <w:p w14:paraId="0101C2A7">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6211C9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09861E86">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部门履职指标</w:t>
            </w:r>
          </w:p>
        </w:tc>
        <w:tc>
          <w:tcPr>
            <w:tcW w:w="1089" w:type="pct"/>
            <w:vAlign w:val="center"/>
          </w:tcPr>
          <w:p w14:paraId="22049102">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w:t>
            </w:r>
          </w:p>
        </w:tc>
        <w:tc>
          <w:tcPr>
            <w:tcW w:w="1027" w:type="pct"/>
            <w:vAlign w:val="center"/>
          </w:tcPr>
          <w:p w14:paraId="17C446F4">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1333" w:type="pct"/>
            <w:vAlign w:val="center"/>
          </w:tcPr>
          <w:p w14:paraId="6208941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85.71</w:t>
            </w:r>
            <w:r>
              <w:rPr>
                <w:rFonts w:hint="eastAsia" w:ascii="宋体" w:hAnsi="宋体" w:eastAsia="宋体" w:cs="宋体"/>
                <w:color w:val="000000"/>
                <w:kern w:val="0"/>
                <w:sz w:val="22"/>
              </w:rPr>
              <w:t>%</w:t>
            </w:r>
          </w:p>
        </w:tc>
      </w:tr>
      <w:tr w14:paraId="02C530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0B4B20DD">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部门效果</w:t>
            </w:r>
          </w:p>
        </w:tc>
        <w:tc>
          <w:tcPr>
            <w:tcW w:w="1089" w:type="pct"/>
            <w:vAlign w:val="center"/>
          </w:tcPr>
          <w:p w14:paraId="7E928EF8">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5469C927">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3" w:type="pct"/>
            <w:vAlign w:val="center"/>
          </w:tcPr>
          <w:p w14:paraId="055FEDA4">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718FFD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1F4DA4E0">
            <w:pPr>
              <w:widowControl/>
              <w:ind w:firstLine="0" w:firstLineChars="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服务对象满意度</w:t>
            </w:r>
          </w:p>
        </w:tc>
        <w:tc>
          <w:tcPr>
            <w:tcW w:w="1089" w:type="pct"/>
            <w:vAlign w:val="center"/>
          </w:tcPr>
          <w:p w14:paraId="77845F1F">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713B8662">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3" w:type="pct"/>
            <w:vAlign w:val="center"/>
          </w:tcPr>
          <w:p w14:paraId="19F803E6">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0F7A2A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1B88EDCF">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社会影响</w:t>
            </w:r>
          </w:p>
        </w:tc>
        <w:tc>
          <w:tcPr>
            <w:tcW w:w="1089" w:type="pct"/>
            <w:vAlign w:val="center"/>
          </w:tcPr>
          <w:p w14:paraId="578DC5B8">
            <w:pPr>
              <w:widowControl/>
              <w:ind w:firstLine="0" w:firstLineChars="0"/>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027" w:type="pct"/>
            <w:vAlign w:val="center"/>
          </w:tcPr>
          <w:p w14:paraId="31E9B4C4">
            <w:pPr>
              <w:widowControl/>
              <w:ind w:firstLine="0" w:firstLineChars="0"/>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w:t>
            </w:r>
          </w:p>
        </w:tc>
        <w:tc>
          <w:tcPr>
            <w:tcW w:w="1333" w:type="pct"/>
            <w:vAlign w:val="center"/>
          </w:tcPr>
          <w:p w14:paraId="500F47A4">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7E1DC8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126A9A06">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合计</w:t>
            </w:r>
          </w:p>
        </w:tc>
        <w:tc>
          <w:tcPr>
            <w:tcW w:w="1089" w:type="pct"/>
            <w:shd w:val="clear" w:color="auto" w:fill="BDD6EE"/>
            <w:vAlign w:val="center"/>
          </w:tcPr>
          <w:p w14:paraId="2BDD5942">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6</w:t>
            </w:r>
            <w:r>
              <w:rPr>
                <w:rFonts w:hint="eastAsia" w:ascii="宋体" w:hAnsi="宋体" w:eastAsia="宋体" w:cs="宋体"/>
                <w:b/>
                <w:bCs/>
                <w:color w:val="000000"/>
                <w:kern w:val="0"/>
                <w:sz w:val="22"/>
              </w:rPr>
              <w:t>0</w:t>
            </w:r>
          </w:p>
        </w:tc>
        <w:tc>
          <w:tcPr>
            <w:tcW w:w="1027" w:type="pct"/>
            <w:shd w:val="clear" w:color="auto" w:fill="BDD6EE"/>
            <w:vAlign w:val="center"/>
          </w:tcPr>
          <w:p w14:paraId="4D475796">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55</w:t>
            </w:r>
          </w:p>
        </w:tc>
        <w:tc>
          <w:tcPr>
            <w:tcW w:w="1333" w:type="pct"/>
            <w:shd w:val="clear" w:color="auto" w:fill="BDD6EE"/>
            <w:vAlign w:val="center"/>
          </w:tcPr>
          <w:p w14:paraId="752846B0">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91.67%</w:t>
            </w:r>
          </w:p>
        </w:tc>
      </w:tr>
    </w:tbl>
    <w:p w14:paraId="154048BA">
      <w:pPr>
        <w:pStyle w:val="6"/>
        <w:ind w:firstLine="560"/>
        <w:rPr>
          <w:rFonts w:hint="eastAsia" w:ascii="仿宋_GB2312" w:hAnsi="宋体" w:eastAsia="仿宋_GB2312" w:cstheme="minorBidi"/>
          <w:b/>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（1）部门履职目标</w:t>
      </w:r>
    </w:p>
    <w:p w14:paraId="37D6C09D">
      <w:pPr>
        <w:ind w:firstLine="560"/>
        <w:rPr>
          <w:rFonts w:hint="eastAsia"/>
          <w:sz w:val="32"/>
          <w:szCs w:val="32"/>
          <w:lang w:val="en-US" w:eastAsia="zh-CN"/>
        </w:rPr>
      </w:pPr>
      <w:r>
        <w:rPr>
          <w:rFonts w:hint="eastAsia"/>
          <w:sz w:val="32"/>
          <w:szCs w:val="32"/>
          <w:lang w:val="en-US" w:eastAsia="zh-CN"/>
        </w:rPr>
        <w:t>部门履职指标分值35分，自评得分30分，得分率为100%。</w:t>
      </w:r>
    </w:p>
    <w:p w14:paraId="1F50A4A9">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刑事案件结案率：</w:t>
      </w:r>
      <w:r>
        <w:rPr>
          <w:rFonts w:hint="eastAsia"/>
          <w:sz w:val="32"/>
          <w:szCs w:val="32"/>
          <w:lang w:val="en-US" w:eastAsia="zh-CN"/>
        </w:rPr>
        <w:t>2023年度我院依法打击各类刑事犯罪，刑事案件结案率100%，达到年度目标值。该指标分值2.5分，自评得分2.5分，得分率为100%。</w:t>
      </w:r>
    </w:p>
    <w:p w14:paraId="36EB7C81">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民事案件结案率：</w:t>
      </w:r>
      <w:r>
        <w:rPr>
          <w:rFonts w:hint="eastAsia"/>
          <w:sz w:val="32"/>
          <w:szCs w:val="32"/>
          <w:lang w:val="en-US" w:eastAsia="zh-CN"/>
        </w:rPr>
        <w:t>年度目标≥80%，实际完成100%，该指标分值2.5分，自评得分2.5分，得分率为100%。</w:t>
      </w:r>
    </w:p>
    <w:p w14:paraId="75413778">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执行案件结案率：</w:t>
      </w:r>
      <w:r>
        <w:rPr>
          <w:rFonts w:hint="eastAsia"/>
          <w:sz w:val="32"/>
          <w:szCs w:val="32"/>
          <w:lang w:val="en-US" w:eastAsia="zh-CN"/>
        </w:rPr>
        <w:t>年度目标≥80%，实际完成90%，达到年度目标值。该指标分值2.5分，自评得分2.5分，得分率为100%。</w:t>
      </w:r>
    </w:p>
    <w:p w14:paraId="5F1E2257">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登记立案率：</w:t>
      </w:r>
      <w:r>
        <w:rPr>
          <w:rFonts w:hint="eastAsia"/>
          <w:sz w:val="32"/>
          <w:szCs w:val="32"/>
          <w:lang w:val="en-US" w:eastAsia="zh-CN"/>
        </w:rPr>
        <w:t>年度目标≥100%，实际完成100%，达到年度目标值。该指标分值2.5分，自评得分2.5分，得分率为100%。</w:t>
      </w:r>
    </w:p>
    <w:p w14:paraId="14C29FDE">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案件结案率：</w:t>
      </w:r>
      <w:r>
        <w:rPr>
          <w:rFonts w:hint="eastAsia"/>
          <w:sz w:val="32"/>
          <w:szCs w:val="32"/>
          <w:lang w:val="en-US" w:eastAsia="zh-CN"/>
        </w:rPr>
        <w:t>年度目标≥95%，实际完成95%，达到年度目标值。该指标分值2.5分，自评得分2.5分，得分率为100%。</w:t>
      </w:r>
    </w:p>
    <w:p w14:paraId="235C9978">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一审服判息诉率：</w:t>
      </w:r>
      <w:r>
        <w:rPr>
          <w:rFonts w:hint="eastAsia"/>
          <w:sz w:val="32"/>
          <w:szCs w:val="32"/>
          <w:lang w:val="en-US" w:eastAsia="zh-CN"/>
        </w:rPr>
        <w:t>年度目标≥90%，实际完成90%，该指标分值2.5分，自评得分2.5分，得分率为100%。</w:t>
      </w:r>
    </w:p>
    <w:p w14:paraId="04FD345E">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当场登记立案率：</w:t>
      </w:r>
      <w:r>
        <w:rPr>
          <w:rFonts w:hint="eastAsia"/>
          <w:sz w:val="32"/>
          <w:szCs w:val="32"/>
          <w:lang w:val="en-US" w:eastAsia="zh-CN"/>
        </w:rPr>
        <w:t>年度目标≥80%，实际完成80%，该指标分值2.5分，自评得分2.5分，得分率为100%。</w:t>
      </w:r>
    </w:p>
    <w:p w14:paraId="4524CDC8">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改判率：</w:t>
      </w:r>
      <w:r>
        <w:rPr>
          <w:rFonts w:hint="eastAsia"/>
          <w:sz w:val="32"/>
          <w:szCs w:val="32"/>
          <w:lang w:val="en-US" w:eastAsia="zh-CN"/>
        </w:rPr>
        <w:t>年度目标</w:t>
      </w:r>
      <w:r>
        <w:rPr>
          <w:rFonts w:hint="default"/>
          <w:sz w:val="32"/>
          <w:szCs w:val="32"/>
          <w:lang w:val="en-US" w:eastAsia="zh-CN"/>
        </w:rPr>
        <w:t>≤</w:t>
      </w:r>
      <w:r>
        <w:rPr>
          <w:rFonts w:hint="eastAsia"/>
          <w:sz w:val="32"/>
          <w:szCs w:val="32"/>
          <w:lang w:val="en-US" w:eastAsia="zh-CN"/>
        </w:rPr>
        <w:t>3%，实际完成0%。本年度无改判案件，完成年度目标，系统原因导致扣分。该指标分值2.5分，自评得分0分。</w:t>
      </w:r>
    </w:p>
    <w:p w14:paraId="56E1F597">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立案变更率：</w:t>
      </w:r>
      <w:r>
        <w:rPr>
          <w:rFonts w:hint="eastAsia"/>
          <w:sz w:val="32"/>
          <w:szCs w:val="32"/>
          <w:lang w:val="en-US" w:eastAsia="zh-CN"/>
        </w:rPr>
        <w:t>年度目标</w:t>
      </w:r>
      <w:r>
        <w:rPr>
          <w:rFonts w:hint="default"/>
          <w:sz w:val="32"/>
          <w:szCs w:val="32"/>
          <w:lang w:val="en-US" w:eastAsia="zh-CN"/>
        </w:rPr>
        <w:t>≤</w:t>
      </w:r>
      <w:r>
        <w:rPr>
          <w:rFonts w:hint="eastAsia"/>
          <w:sz w:val="32"/>
          <w:szCs w:val="32"/>
          <w:lang w:val="en-US" w:eastAsia="zh-CN"/>
        </w:rPr>
        <w:t>3%，实际完成0%。本年度无改判案件，完成年度目标，系统原因导致扣分。该指标分值2.5分，自评得分0分。</w:t>
      </w:r>
    </w:p>
    <w:p w14:paraId="450E75D7">
      <w:pPr>
        <w:ind w:firstLine="560"/>
        <w:rPr>
          <w:rFonts w:hint="eastAsia"/>
          <w:sz w:val="32"/>
          <w:szCs w:val="32"/>
          <w:lang w:val="en-US" w:eastAsia="zh-CN"/>
        </w:rPr>
      </w:pPr>
      <w:r>
        <w:rPr>
          <w:rFonts w:hint="eastAsia" w:ascii="仿宋_GB2312" w:hAnsi="宋体" w:eastAsia="仿宋_GB2312" w:cstheme="minorBidi"/>
          <w:b/>
          <w:bCs w:val="0"/>
          <w:kern w:val="2"/>
          <w:sz w:val="32"/>
          <w:szCs w:val="32"/>
          <w:lang w:val="en-US" w:eastAsia="zh-CN" w:bidi="ar-SA"/>
        </w:rPr>
        <w:t>案件受理准确率：</w:t>
      </w:r>
      <w:r>
        <w:rPr>
          <w:rFonts w:hint="eastAsia"/>
          <w:sz w:val="32"/>
          <w:szCs w:val="32"/>
          <w:lang w:val="en-US" w:eastAsia="zh-CN"/>
        </w:rPr>
        <w:t>2023年我院受理案件及时，该指标分值2.5分，自评得分2.5分，得分率为100%。</w:t>
      </w:r>
    </w:p>
    <w:p w14:paraId="4CF8CC27">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受理</w:t>
      </w:r>
      <w:r>
        <w:rPr>
          <w:rFonts w:hint="default" w:ascii="仿宋_GB2312" w:hAnsi="宋体" w:eastAsia="仿宋_GB2312" w:cstheme="minorBidi"/>
          <w:b/>
          <w:bCs w:val="0"/>
          <w:kern w:val="2"/>
          <w:sz w:val="32"/>
          <w:szCs w:val="32"/>
          <w:lang w:val="en-US" w:eastAsia="zh-CN" w:bidi="ar-SA"/>
        </w:rPr>
        <w:t>案件及时性</w:t>
      </w:r>
      <w:r>
        <w:rPr>
          <w:rFonts w:hint="eastAsia" w:ascii="仿宋_GB2312" w:hAnsi="宋体" w:eastAsia="仿宋_GB2312" w:cstheme="minorBidi"/>
          <w:b/>
          <w:bCs w:val="0"/>
          <w:kern w:val="2"/>
          <w:sz w:val="32"/>
          <w:szCs w:val="32"/>
          <w:lang w:val="en-US" w:eastAsia="zh-CN" w:bidi="ar-SA"/>
        </w:rPr>
        <w:t>：</w:t>
      </w:r>
      <w:r>
        <w:rPr>
          <w:rFonts w:hint="eastAsia" w:ascii="仿宋_GB2312" w:hAnsi="仿宋_GB2312" w:eastAsia="仿宋_GB2312" w:cstheme="minorBidi"/>
          <w:b w:val="0"/>
          <w:bCs w:val="0"/>
          <w:kern w:val="2"/>
          <w:sz w:val="32"/>
          <w:szCs w:val="32"/>
          <w:lang w:val="en-US" w:eastAsia="zh-CN" w:bidi="ar-SA"/>
        </w:rPr>
        <w:t>2023年我院办理案件及时，该指标分值2.5分，自评得分2.5分，得分率为100%。</w:t>
      </w:r>
    </w:p>
    <w:p w14:paraId="2889624A">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theme="minorBidi"/>
          <w:b w:val="0"/>
          <w:bCs w:val="0"/>
          <w:kern w:val="2"/>
          <w:sz w:val="32"/>
          <w:szCs w:val="32"/>
          <w:lang w:val="en-US" w:eastAsia="zh-CN" w:bidi="ar-SA"/>
        </w:rPr>
      </w:pPr>
      <w:r>
        <w:rPr>
          <w:rFonts w:hint="default" w:ascii="仿宋_GB2312" w:hAnsi="宋体" w:eastAsia="仿宋_GB2312" w:cstheme="minorBidi"/>
          <w:b/>
          <w:bCs w:val="0"/>
          <w:kern w:val="2"/>
          <w:sz w:val="32"/>
          <w:szCs w:val="32"/>
          <w:lang w:val="en-US" w:eastAsia="zh-CN" w:bidi="ar-SA"/>
        </w:rPr>
        <w:t>办结案件及时性</w:t>
      </w:r>
      <w:r>
        <w:rPr>
          <w:rFonts w:hint="eastAsia" w:ascii="仿宋_GB2312" w:hAnsi="宋体" w:eastAsia="仿宋_GB2312" w:cstheme="minorBidi"/>
          <w:b/>
          <w:bCs w:val="0"/>
          <w:kern w:val="2"/>
          <w:sz w:val="32"/>
          <w:szCs w:val="32"/>
          <w:lang w:val="en-US" w:eastAsia="zh-CN" w:bidi="ar-SA"/>
        </w:rPr>
        <w:t>：</w:t>
      </w:r>
      <w:r>
        <w:rPr>
          <w:rFonts w:hint="eastAsia" w:ascii="仿宋_GB2312" w:hAnsi="仿宋_GB2312" w:eastAsia="仿宋_GB2312" w:cstheme="minorBidi"/>
          <w:b w:val="0"/>
          <w:bCs w:val="0"/>
          <w:kern w:val="2"/>
          <w:sz w:val="32"/>
          <w:szCs w:val="32"/>
          <w:lang w:val="en-US" w:eastAsia="zh-CN" w:bidi="ar-SA"/>
        </w:rPr>
        <w:t>2023年我院办理案件及时，该指标分值2.5分，自评得分2.5分，得分率为100%。</w:t>
      </w:r>
    </w:p>
    <w:p w14:paraId="325D3598">
      <w:pPr>
        <w:ind w:firstLine="560"/>
        <w:rPr>
          <w:rFonts w:hint="eastAsia"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法定审限内结案率：</w:t>
      </w:r>
      <w:r>
        <w:rPr>
          <w:rFonts w:hint="eastAsia" w:ascii="仿宋_GB2312" w:hAnsi="仿宋_GB2312" w:eastAsia="仿宋_GB2312" w:cstheme="minorBidi"/>
          <w:b w:val="0"/>
          <w:bCs w:val="0"/>
          <w:kern w:val="2"/>
          <w:sz w:val="32"/>
          <w:szCs w:val="32"/>
          <w:lang w:val="en-US" w:eastAsia="zh-CN" w:bidi="ar-SA"/>
        </w:rPr>
        <w:t>2023年我院法定审限内结案率为100%，审判效率较高。该指标分值2.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分，自评得分2.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分，得分率为100%。</w:t>
      </w:r>
    </w:p>
    <w:p w14:paraId="3693E064">
      <w:pPr>
        <w:pStyle w:val="25"/>
        <w:spacing w:after="0"/>
        <w:ind w:left="0" w:leftChars="0" w:firstLine="560"/>
        <w:rPr>
          <w:rFonts w:hint="eastAsia"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成本控制情况：</w:t>
      </w:r>
      <w:r>
        <w:rPr>
          <w:rFonts w:hint="eastAsia" w:ascii="仿宋_GB2312" w:hAnsi="仿宋_GB2312" w:eastAsia="仿宋_GB2312" w:cstheme="minorBidi"/>
          <w:b w:val="0"/>
          <w:bCs w:val="0"/>
          <w:kern w:val="2"/>
          <w:sz w:val="32"/>
          <w:szCs w:val="32"/>
          <w:lang w:val="en-US" w:eastAsia="zh-CN" w:bidi="ar-SA"/>
        </w:rPr>
        <w:t>我院严格贯彻过紧日子方针，通过优化保障管理方式，培养节俭文化，在提高服务质量水平的同时，降低成本开支，节约行政成本，各项活动开支均未超出预算，成本有效控制在预算范围内。该指标分值2.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分，自评得分2.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分，得分率为100%。</w:t>
      </w:r>
    </w:p>
    <w:p w14:paraId="0031A2FD">
      <w:pPr>
        <w:ind w:firstLine="560"/>
        <w:outlineLvl w:val="3"/>
        <w:rPr>
          <w:rFonts w:hint="eastAsia" w:ascii="仿宋_GB2312" w:hAnsi="宋体" w:eastAsia="仿宋_GB2312" w:cstheme="minorBidi"/>
          <w:b/>
          <w:bCs w:val="0"/>
          <w:kern w:val="2"/>
          <w:sz w:val="32"/>
          <w:szCs w:val="32"/>
          <w:lang w:val="en-US" w:eastAsia="zh-CN" w:bidi="ar-SA"/>
        </w:rPr>
      </w:pPr>
      <w:r>
        <w:rPr>
          <w:rFonts w:hint="eastAsia" w:hAnsi="宋体"/>
          <w:b/>
          <w:bCs/>
          <w:sz w:val="32"/>
          <w:szCs w:val="32"/>
        </w:rPr>
        <w:t>（2）部门效果目标</w:t>
      </w:r>
    </w:p>
    <w:p w14:paraId="4A951AD1">
      <w:pPr>
        <w:ind w:firstLine="56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部门效果指标分值</w:t>
      </w:r>
      <w:r>
        <w:rPr>
          <w:rFonts w:hint="eastAsia" w:cstheme="minorBidi"/>
          <w:b w:val="0"/>
          <w:bCs w:val="0"/>
          <w:kern w:val="2"/>
          <w:sz w:val="32"/>
          <w:szCs w:val="32"/>
          <w:lang w:val="en-US" w:eastAsia="zh-CN" w:bidi="ar-SA"/>
        </w:rPr>
        <w:t>10</w:t>
      </w:r>
      <w:r>
        <w:rPr>
          <w:rFonts w:hint="eastAsia" w:ascii="仿宋_GB2312" w:hAnsi="仿宋_GB2312" w:eastAsia="仿宋_GB2312" w:cstheme="minorBidi"/>
          <w:b w:val="0"/>
          <w:bCs w:val="0"/>
          <w:kern w:val="2"/>
          <w:sz w:val="32"/>
          <w:szCs w:val="32"/>
          <w:lang w:val="en-US" w:eastAsia="zh-CN" w:bidi="ar-SA"/>
        </w:rPr>
        <w:t>分，自评得分</w:t>
      </w:r>
      <w:r>
        <w:rPr>
          <w:rFonts w:hint="eastAsia" w:cstheme="minorBidi"/>
          <w:b w:val="0"/>
          <w:bCs w:val="0"/>
          <w:kern w:val="2"/>
          <w:sz w:val="32"/>
          <w:szCs w:val="32"/>
          <w:lang w:val="en-US" w:eastAsia="zh-CN" w:bidi="ar-SA"/>
        </w:rPr>
        <w:t>10</w:t>
      </w:r>
      <w:r>
        <w:rPr>
          <w:rFonts w:hint="eastAsia" w:ascii="仿宋_GB2312" w:hAnsi="仿宋_GB2312" w:eastAsia="仿宋_GB2312" w:cstheme="minorBidi"/>
          <w:b w:val="0"/>
          <w:bCs w:val="0"/>
          <w:kern w:val="2"/>
          <w:sz w:val="32"/>
          <w:szCs w:val="32"/>
          <w:lang w:val="en-US" w:eastAsia="zh-CN" w:bidi="ar-SA"/>
        </w:rPr>
        <w:t>分，得分率为100%。</w:t>
      </w:r>
    </w:p>
    <w:p w14:paraId="550C187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执行标的到位率：</w:t>
      </w:r>
      <w:r>
        <w:rPr>
          <w:rFonts w:hint="eastAsia" w:ascii="仿宋_GB2312" w:hAnsi="仿宋_GB2312" w:eastAsia="仿宋_GB2312" w:cstheme="minorBidi"/>
          <w:b w:val="0"/>
          <w:bCs w:val="0"/>
          <w:kern w:val="2"/>
          <w:sz w:val="32"/>
          <w:szCs w:val="32"/>
          <w:lang w:val="en-US" w:eastAsia="zh-CN" w:bidi="ar-SA"/>
        </w:rPr>
        <w:t>我院积极防范和化解金融风险。树牢防范化解金融风险的大局意识，充分研判形势，全力推进涉金融案件审判执行工作。充分发挥非诉机制优势，指导成立金融行业调委会并实体化运行</w:t>
      </w:r>
      <w:r>
        <w:rPr>
          <w:rFonts w:hint="eastAsia" w:cstheme="minorBidi"/>
          <w:b w:val="0"/>
          <w:bCs w:val="0"/>
          <w:kern w:val="2"/>
          <w:sz w:val="32"/>
          <w:szCs w:val="32"/>
          <w:lang w:val="en-US" w:eastAsia="zh-CN" w:bidi="ar-SA"/>
        </w:rPr>
        <w:t>，一</w:t>
      </w:r>
      <w:r>
        <w:rPr>
          <w:rFonts w:hint="eastAsia" w:ascii="仿宋_GB2312" w:hAnsi="仿宋_GB2312" w:eastAsia="仿宋_GB2312" w:cstheme="minorBidi"/>
          <w:b w:val="0"/>
          <w:bCs w:val="0"/>
          <w:kern w:val="2"/>
          <w:sz w:val="32"/>
          <w:szCs w:val="32"/>
          <w:lang w:val="en-US" w:eastAsia="zh-CN" w:bidi="ar-SA"/>
        </w:rPr>
        <w:t>年内，化解诉前案件3件，妥善处置化解房地产领域民生案件3起，以“院长接待月”扎实推进涉诉信访案件2件化解，避免群体性上访事件和风险外溢，保障金融业持续健康发展。该指标分值2.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分，自评得分2.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分，得分率为100%。</w:t>
      </w:r>
    </w:p>
    <w:p w14:paraId="02CAF54A">
      <w:pPr>
        <w:ind w:firstLine="560"/>
        <w:rPr>
          <w:rFonts w:hint="default"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当庭宣判率：</w:t>
      </w:r>
      <w:r>
        <w:rPr>
          <w:rFonts w:hint="eastAsia" w:ascii="仿宋_GB2312" w:hAnsi="仿宋_GB2312" w:eastAsia="仿宋_GB2312" w:cstheme="minorBidi"/>
          <w:b w:val="0"/>
          <w:bCs w:val="0"/>
          <w:kern w:val="2"/>
          <w:sz w:val="32"/>
          <w:szCs w:val="32"/>
          <w:lang w:val="en-US" w:eastAsia="zh-CN" w:bidi="ar-SA"/>
        </w:rPr>
        <w:t>年度目标≥80%，实际完成</w:t>
      </w:r>
      <w:r>
        <w:rPr>
          <w:rFonts w:hint="eastAsia" w:cstheme="minorBidi"/>
          <w:b w:val="0"/>
          <w:bCs w:val="0"/>
          <w:kern w:val="2"/>
          <w:sz w:val="32"/>
          <w:szCs w:val="32"/>
          <w:lang w:val="en-US" w:eastAsia="zh-CN" w:bidi="ar-SA"/>
        </w:rPr>
        <w:t>9</w:t>
      </w:r>
      <w:r>
        <w:rPr>
          <w:rFonts w:hint="eastAsia" w:ascii="仿宋_GB2312" w:hAnsi="仿宋_GB2312" w:eastAsia="仿宋_GB2312" w:cstheme="minorBidi"/>
          <w:b w:val="0"/>
          <w:bCs w:val="0"/>
          <w:kern w:val="2"/>
          <w:sz w:val="32"/>
          <w:szCs w:val="32"/>
          <w:lang w:val="en-US" w:eastAsia="zh-CN" w:bidi="ar-SA"/>
        </w:rPr>
        <w:t>0%，该指标分值2.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分，自评得分2.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分，得分率为100%。</w:t>
      </w:r>
    </w:p>
    <w:p w14:paraId="5798D5C1">
      <w:pPr>
        <w:ind w:firstLine="560"/>
        <w:rPr>
          <w:rFonts w:hint="eastAsia"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案件调撤率：</w:t>
      </w:r>
      <w:r>
        <w:rPr>
          <w:rFonts w:hint="eastAsia" w:ascii="仿宋_GB2312" w:hAnsi="仿宋_GB2312" w:eastAsia="仿宋_GB2312" w:cstheme="minorBidi"/>
          <w:b w:val="0"/>
          <w:bCs w:val="0"/>
          <w:kern w:val="2"/>
          <w:sz w:val="32"/>
          <w:szCs w:val="32"/>
          <w:lang w:val="en-US" w:eastAsia="zh-CN" w:bidi="ar-SA"/>
        </w:rPr>
        <w:t>年度目标≥50%，实际完成</w:t>
      </w:r>
      <w:r>
        <w:rPr>
          <w:rFonts w:hint="eastAsia" w:cstheme="minorBidi"/>
          <w:b w:val="0"/>
          <w:bCs w:val="0"/>
          <w:kern w:val="2"/>
          <w:sz w:val="32"/>
          <w:szCs w:val="32"/>
          <w:lang w:val="en-US" w:eastAsia="zh-CN" w:bidi="ar-SA"/>
        </w:rPr>
        <w:t>6</w:t>
      </w:r>
      <w:r>
        <w:rPr>
          <w:rFonts w:hint="eastAsia" w:ascii="仿宋_GB2312" w:hAnsi="仿宋_GB2312" w:eastAsia="仿宋_GB2312" w:cstheme="minorBidi"/>
          <w:b w:val="0"/>
          <w:bCs w:val="0"/>
          <w:kern w:val="2"/>
          <w:sz w:val="32"/>
          <w:szCs w:val="32"/>
          <w:lang w:val="en-US" w:eastAsia="zh-CN" w:bidi="ar-SA"/>
        </w:rPr>
        <w:t>0%，该指标分值2.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分，自评得分2.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分，得分率为100%。</w:t>
      </w:r>
    </w:p>
    <w:p w14:paraId="554A645F">
      <w:pPr>
        <w:rPr>
          <w:rFonts w:hint="eastAsia" w:ascii="仿宋_GB2312" w:hAnsi="仿宋_GB2312" w:eastAsia="仿宋_GB2312" w:cstheme="minorBidi"/>
          <w:b w:val="0"/>
          <w:bCs w:val="0"/>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人民法制意识增强：</w:t>
      </w:r>
      <w:r>
        <w:rPr>
          <w:rFonts w:hint="eastAsia" w:ascii="仿宋_GB2312" w:hAnsi="仿宋_GB2312" w:eastAsia="仿宋_GB2312" w:cstheme="minorBidi"/>
          <w:b w:val="0"/>
          <w:bCs w:val="0"/>
          <w:kern w:val="2"/>
          <w:sz w:val="32"/>
          <w:szCs w:val="32"/>
          <w:lang w:val="en-US" w:eastAsia="zh-CN" w:bidi="ar-SA"/>
        </w:rPr>
        <w:t>加大普法力度，拓宽宣传渠道，全面提升人民群众法治素养，树立凡事讲法、遇事找法、解纷靠法的思想认识。充分利用“开学第一课”，认真贯彻全省“优化营商环境攻坚突破年”的部署要求，全面落实甘肃省政法系统《十项措施》，推行善意执行、文明执行，采取“活封”“活扣”等执行措施，对民营中小企业暂缓采取强制措施，积极营造良好的营商环境。开展“万名干警联万企”行动，“对点联络”“一对一服务”。该指标分值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分，自评得分2.</w:t>
      </w:r>
      <w:r>
        <w:rPr>
          <w:rFonts w:hint="eastAsia" w:cstheme="minorBidi"/>
          <w:b w:val="0"/>
          <w:bCs w:val="0"/>
          <w:kern w:val="2"/>
          <w:sz w:val="32"/>
          <w:szCs w:val="32"/>
          <w:lang w:val="en-US" w:eastAsia="zh-CN" w:bidi="ar-SA"/>
        </w:rPr>
        <w:t>5</w:t>
      </w:r>
      <w:r>
        <w:rPr>
          <w:rFonts w:hint="eastAsia" w:ascii="仿宋_GB2312" w:hAnsi="仿宋_GB2312" w:eastAsia="仿宋_GB2312" w:cstheme="minorBidi"/>
          <w:b w:val="0"/>
          <w:bCs w:val="0"/>
          <w:kern w:val="2"/>
          <w:sz w:val="32"/>
          <w:szCs w:val="32"/>
          <w:lang w:val="en-US" w:eastAsia="zh-CN" w:bidi="ar-SA"/>
        </w:rPr>
        <w:t>分，得分率为100%。</w:t>
      </w:r>
    </w:p>
    <w:p w14:paraId="05EC51EF">
      <w:pPr>
        <w:ind w:firstLine="560"/>
        <w:rPr>
          <w:rFonts w:hint="eastAsia"/>
          <w:b/>
          <w:bCs/>
          <w:sz w:val="32"/>
          <w:szCs w:val="32"/>
          <w:highlight w:val="none"/>
          <w:lang w:val="en-US" w:eastAsia="zh-CN"/>
        </w:rPr>
      </w:pPr>
      <w:r>
        <w:rPr>
          <w:rFonts w:hint="eastAsia"/>
          <w:b/>
          <w:bCs/>
          <w:sz w:val="32"/>
          <w:szCs w:val="32"/>
          <w:highlight w:val="none"/>
          <w:lang w:val="en-US" w:eastAsia="zh-CN"/>
        </w:rPr>
        <w:t>（3）服务对象满意度</w:t>
      </w:r>
    </w:p>
    <w:p w14:paraId="433542ED">
      <w:pPr>
        <w:ind w:firstLine="560"/>
        <w:rPr>
          <w:sz w:val="32"/>
          <w:szCs w:val="32"/>
          <w:highlight w:val="none"/>
        </w:rPr>
      </w:pPr>
      <w:r>
        <w:rPr>
          <w:rFonts w:hint="eastAsia" w:hAnsi="宋体"/>
          <w:sz w:val="32"/>
          <w:szCs w:val="32"/>
          <w:highlight w:val="none"/>
        </w:rPr>
        <w:t>服务对象满意度主要考察司法工作人员满意度</w:t>
      </w:r>
      <w:r>
        <w:rPr>
          <w:rFonts w:hint="eastAsia" w:hAnsi="宋体"/>
          <w:sz w:val="32"/>
          <w:szCs w:val="32"/>
          <w:highlight w:val="none"/>
          <w:lang w:val="en-US" w:eastAsia="zh-CN"/>
        </w:rPr>
        <w:t>和诉讼双方满意度</w:t>
      </w:r>
      <w:r>
        <w:rPr>
          <w:rFonts w:hint="eastAsia" w:hAnsi="宋体"/>
          <w:sz w:val="32"/>
          <w:szCs w:val="32"/>
          <w:highlight w:val="none"/>
        </w:rPr>
        <w:t>。</w:t>
      </w:r>
      <w:r>
        <w:rPr>
          <w:rFonts w:hAnsi="宋体"/>
          <w:sz w:val="32"/>
          <w:szCs w:val="32"/>
          <w:highlight w:val="none"/>
        </w:rPr>
        <w:t>该指标分值</w:t>
      </w:r>
      <w:r>
        <w:rPr>
          <w:rFonts w:hint="eastAsia" w:hAnsi="宋体"/>
          <w:sz w:val="32"/>
          <w:szCs w:val="32"/>
          <w:highlight w:val="none"/>
        </w:rPr>
        <w:t>10分，自评得分10分，得分率为100%。</w:t>
      </w:r>
    </w:p>
    <w:p w14:paraId="099C2258">
      <w:pPr>
        <w:ind w:firstLine="560"/>
        <w:rPr>
          <w:rFonts w:hint="eastAsia"/>
          <w:sz w:val="32"/>
          <w:szCs w:val="32"/>
          <w:highlight w:val="none"/>
        </w:rPr>
      </w:pPr>
      <w:r>
        <w:rPr>
          <w:rFonts w:hint="eastAsia"/>
          <w:b/>
          <w:bCs/>
          <w:sz w:val="32"/>
          <w:szCs w:val="32"/>
          <w:highlight w:val="none"/>
        </w:rPr>
        <w:t>司法工作人员满意度：</w:t>
      </w:r>
      <w:r>
        <w:rPr>
          <w:rFonts w:hint="eastAsia"/>
          <w:sz w:val="32"/>
          <w:szCs w:val="32"/>
          <w:highlight w:val="none"/>
        </w:rPr>
        <w:t>2023年我院在案件的审判上，找准短板弱项，加强分析研判，查找原因症结，围绕审判存在的问题和短板，细化工作举措，层层压实责任，确保查漏补缺工作落实到位，保障工作人员办案质量要求和业务能力水平的提升，司法工作人员满意度为9</w:t>
      </w:r>
      <w:r>
        <w:rPr>
          <w:rFonts w:hint="eastAsia"/>
          <w:sz w:val="32"/>
          <w:szCs w:val="32"/>
          <w:highlight w:val="none"/>
          <w:lang w:val="en-US" w:eastAsia="zh-CN"/>
        </w:rPr>
        <w:t>5</w:t>
      </w:r>
      <w:r>
        <w:rPr>
          <w:rFonts w:hint="eastAsia"/>
          <w:sz w:val="32"/>
          <w:szCs w:val="32"/>
          <w:highlight w:val="none"/>
        </w:rPr>
        <w:t>%。该指标分值5分，自评得分5分，得分率为100%。</w:t>
      </w:r>
    </w:p>
    <w:p w14:paraId="3CBDB6B4">
      <w:pPr>
        <w:ind w:firstLine="560"/>
        <w:rPr>
          <w:rFonts w:hint="eastAsia" w:hAnsi="宋体"/>
          <w:b/>
          <w:bCs/>
          <w:sz w:val="32"/>
          <w:szCs w:val="32"/>
          <w:highlight w:val="none"/>
        </w:rPr>
      </w:pPr>
      <w:r>
        <w:rPr>
          <w:rFonts w:hint="eastAsia" w:hAnsi="宋体"/>
          <w:b/>
          <w:bCs/>
          <w:sz w:val="32"/>
          <w:szCs w:val="32"/>
          <w:highlight w:val="none"/>
          <w:lang w:val="en-US" w:eastAsia="zh-CN"/>
        </w:rPr>
        <w:t>诉讼双方满意度：</w:t>
      </w:r>
      <w:r>
        <w:rPr>
          <w:rFonts w:hint="eastAsia"/>
          <w:sz w:val="32"/>
          <w:szCs w:val="32"/>
          <w:highlight w:val="none"/>
        </w:rPr>
        <w:t>我院依法审理各类案件，妥善化解矛盾纠纷和行政争议，</w:t>
      </w:r>
      <w:r>
        <w:rPr>
          <w:rFonts w:hint="eastAsia"/>
          <w:sz w:val="32"/>
          <w:szCs w:val="32"/>
          <w:highlight w:val="none"/>
          <w:lang w:val="en-US" w:eastAsia="zh-CN"/>
        </w:rPr>
        <w:t>维护了法院审判工作的有序开展，</w:t>
      </w:r>
      <w:r>
        <w:rPr>
          <w:rFonts w:hint="eastAsia"/>
          <w:sz w:val="32"/>
          <w:szCs w:val="32"/>
          <w:highlight w:val="none"/>
        </w:rPr>
        <w:t>积极保障人民群众生命财产安全，不断增强人民群众获得感、幸福感和安全感，减轻人民群众诉讼诉累，</w:t>
      </w:r>
      <w:r>
        <w:rPr>
          <w:rFonts w:hint="eastAsia"/>
          <w:sz w:val="32"/>
          <w:szCs w:val="32"/>
          <w:highlight w:val="none"/>
          <w:lang w:val="en-US" w:eastAsia="zh-CN"/>
        </w:rPr>
        <w:t>因此得到社会公众的好评，</w:t>
      </w:r>
      <w:r>
        <w:rPr>
          <w:rFonts w:hint="eastAsia"/>
          <w:sz w:val="32"/>
          <w:szCs w:val="32"/>
          <w:highlight w:val="none"/>
        </w:rPr>
        <w:t>满意度</w:t>
      </w:r>
      <w:r>
        <w:rPr>
          <w:rFonts w:hint="eastAsia"/>
          <w:sz w:val="32"/>
          <w:szCs w:val="32"/>
          <w:highlight w:val="none"/>
          <w:lang w:val="en-US" w:eastAsia="zh-CN"/>
        </w:rPr>
        <w:t>达到98</w:t>
      </w:r>
      <w:r>
        <w:rPr>
          <w:rFonts w:hint="eastAsia"/>
          <w:sz w:val="32"/>
          <w:szCs w:val="32"/>
          <w:highlight w:val="none"/>
        </w:rPr>
        <w:t>%。</w:t>
      </w:r>
      <w:r>
        <w:rPr>
          <w:rFonts w:hAnsi="宋体"/>
          <w:sz w:val="32"/>
          <w:szCs w:val="32"/>
          <w:highlight w:val="none"/>
        </w:rPr>
        <w:t>该指标分值</w:t>
      </w:r>
      <w:r>
        <w:rPr>
          <w:rFonts w:hint="eastAsia" w:hAnsi="宋体"/>
          <w:sz w:val="32"/>
          <w:szCs w:val="32"/>
          <w:highlight w:val="none"/>
          <w:lang w:val="en-US" w:eastAsia="zh-CN"/>
        </w:rPr>
        <w:t>5</w:t>
      </w:r>
      <w:r>
        <w:rPr>
          <w:rFonts w:hint="eastAsia" w:hAnsi="宋体"/>
          <w:sz w:val="32"/>
          <w:szCs w:val="32"/>
          <w:highlight w:val="none"/>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599CAFBC">
      <w:pPr>
        <w:ind w:firstLine="560"/>
        <w:rPr>
          <w:rFonts w:hAnsi="宋体"/>
          <w:b/>
          <w:bCs/>
          <w:sz w:val="32"/>
          <w:szCs w:val="32"/>
        </w:rPr>
      </w:pPr>
      <w:r>
        <w:rPr>
          <w:rFonts w:hint="eastAsia" w:hAnsi="宋体"/>
          <w:b/>
          <w:bCs/>
          <w:sz w:val="32"/>
          <w:szCs w:val="32"/>
          <w:lang w:eastAsia="zh-CN"/>
        </w:rPr>
        <w:t>（</w:t>
      </w:r>
      <w:r>
        <w:rPr>
          <w:rFonts w:hint="eastAsia" w:hAnsi="宋体"/>
          <w:b/>
          <w:bCs/>
          <w:sz w:val="32"/>
          <w:szCs w:val="32"/>
          <w:lang w:val="en-US" w:eastAsia="zh-CN"/>
        </w:rPr>
        <w:t>4）</w:t>
      </w:r>
      <w:r>
        <w:rPr>
          <w:rFonts w:hint="eastAsia" w:hAnsi="宋体"/>
          <w:b/>
          <w:bCs/>
          <w:sz w:val="32"/>
          <w:szCs w:val="32"/>
        </w:rPr>
        <w:t>社会影响</w:t>
      </w:r>
    </w:p>
    <w:p w14:paraId="383AB5AF">
      <w:pPr>
        <w:ind w:firstLine="560"/>
        <w:rPr>
          <w:sz w:val="32"/>
          <w:szCs w:val="32"/>
        </w:rPr>
      </w:pPr>
      <w:r>
        <w:rPr>
          <w:rFonts w:hint="eastAsia"/>
          <w:sz w:val="32"/>
          <w:szCs w:val="32"/>
        </w:rPr>
        <w:t>社会影响指标分值</w:t>
      </w:r>
      <w:r>
        <w:rPr>
          <w:rFonts w:hint="eastAsia"/>
          <w:sz w:val="32"/>
          <w:szCs w:val="32"/>
          <w:lang w:val="en-US" w:eastAsia="zh-CN"/>
        </w:rPr>
        <w:t>5</w:t>
      </w:r>
      <w:r>
        <w:rPr>
          <w:rFonts w:hint="eastAsia"/>
          <w:sz w:val="32"/>
          <w:szCs w:val="32"/>
        </w:rPr>
        <w:t>分，自评得分</w:t>
      </w:r>
      <w:r>
        <w:rPr>
          <w:rFonts w:hint="eastAsia"/>
          <w:sz w:val="32"/>
          <w:szCs w:val="32"/>
          <w:lang w:val="en-US" w:eastAsia="zh-CN"/>
        </w:rPr>
        <w:t>5</w:t>
      </w:r>
      <w:r>
        <w:rPr>
          <w:rFonts w:hint="eastAsia"/>
          <w:sz w:val="32"/>
          <w:szCs w:val="32"/>
        </w:rPr>
        <w:t>分，得分率为100%。</w:t>
      </w:r>
    </w:p>
    <w:p w14:paraId="215F7D8D">
      <w:pPr>
        <w:keepNext w:val="0"/>
        <w:keepLines w:val="0"/>
        <w:pageBreakBefore w:val="0"/>
        <w:widowControl w:val="0"/>
        <w:tabs>
          <w:tab w:val="left" w:pos="571"/>
          <w:tab w:val="left" w:pos="1680"/>
        </w:tabs>
        <w:kinsoku/>
        <w:wordWrap/>
        <w:overflowPunct/>
        <w:topLinePunct w:val="0"/>
        <w:autoSpaceDE/>
        <w:autoSpaceDN/>
        <w:bidi w:val="0"/>
        <w:adjustRightInd/>
        <w:snapToGrid/>
        <w:spacing w:line="576" w:lineRule="exact"/>
        <w:ind w:firstLine="643" w:firstLineChars="200"/>
        <w:rPr>
          <w:rFonts w:hint="eastAsia"/>
          <w:sz w:val="32"/>
          <w:szCs w:val="32"/>
        </w:rPr>
      </w:pPr>
      <w:r>
        <w:rPr>
          <w:rFonts w:hint="eastAsia" w:cs="仿宋_GB2312"/>
          <w:b/>
          <w:bCs/>
          <w:sz w:val="32"/>
          <w:szCs w:val="32"/>
        </w:rPr>
        <w:t>单位获奖情况：</w:t>
      </w:r>
      <w:r>
        <w:rPr>
          <w:rFonts w:hint="eastAsia"/>
          <w:sz w:val="32"/>
          <w:szCs w:val="32"/>
          <w:lang w:val="en-US" w:eastAsia="zh-CN"/>
        </w:rPr>
        <w:t>2023年我院</w:t>
      </w:r>
      <w:r>
        <w:rPr>
          <w:rFonts w:hint="eastAsia" w:ascii="Times New Roman" w:hAnsi="Times New Roman" w:eastAsia="仿宋_GB2312" w:cs="Times New Roman"/>
          <w:sz w:val="32"/>
          <w:szCs w:val="32"/>
          <w:lang w:val="en-US" w:eastAsia="zh-CN"/>
        </w:rPr>
        <w:t>1名干警撰写的《环境资源审判与实务探析——从子午岭林区法院环境资源审判实践再探讨》获首届祁连山国家公园生态保护法治论坛征文三等奖</w:t>
      </w:r>
      <w:r>
        <w:rPr>
          <w:rFonts w:hint="eastAsia"/>
          <w:sz w:val="32"/>
          <w:szCs w:val="32"/>
        </w:rPr>
        <w:t>。该指标分值2</w:t>
      </w:r>
      <w:r>
        <w:rPr>
          <w:rFonts w:hint="eastAsia"/>
          <w:sz w:val="32"/>
          <w:szCs w:val="32"/>
          <w:lang w:val="en-US" w:eastAsia="zh-CN"/>
        </w:rPr>
        <w:t>.5</w:t>
      </w:r>
      <w:r>
        <w:rPr>
          <w:rFonts w:hint="eastAsia"/>
          <w:sz w:val="32"/>
          <w:szCs w:val="32"/>
        </w:rPr>
        <w:t>分，自评得分</w:t>
      </w:r>
      <w:r>
        <w:rPr>
          <w:rFonts w:hint="eastAsia"/>
          <w:sz w:val="32"/>
          <w:szCs w:val="32"/>
          <w:lang w:val="en-US" w:eastAsia="zh-CN"/>
        </w:rPr>
        <w:t>2.5</w:t>
      </w:r>
      <w:r>
        <w:rPr>
          <w:rFonts w:hint="eastAsia"/>
          <w:sz w:val="32"/>
          <w:szCs w:val="32"/>
        </w:rPr>
        <w:t>分，得分率为100%。</w:t>
      </w:r>
    </w:p>
    <w:p w14:paraId="05DD5302">
      <w:pPr>
        <w:ind w:firstLine="560"/>
        <w:rPr>
          <w:rFonts w:hAnsi="宋体"/>
          <w:sz w:val="32"/>
          <w:szCs w:val="32"/>
        </w:rPr>
      </w:pPr>
      <w:r>
        <w:rPr>
          <w:rFonts w:hint="eastAsia"/>
          <w:b/>
          <w:bCs/>
          <w:sz w:val="32"/>
          <w:szCs w:val="32"/>
        </w:rPr>
        <w:t>违法违纪情况：</w:t>
      </w:r>
      <w:r>
        <w:rPr>
          <w:rFonts w:hint="eastAsia" w:hAnsi="宋体"/>
          <w:sz w:val="32"/>
          <w:szCs w:val="32"/>
          <w:lang w:eastAsia="zh-CN"/>
        </w:rPr>
        <w:t>2023</w:t>
      </w:r>
      <w:r>
        <w:rPr>
          <w:rFonts w:hAnsi="宋体"/>
          <w:sz w:val="32"/>
          <w:szCs w:val="32"/>
        </w:rPr>
        <w:t>年</w:t>
      </w:r>
      <w:r>
        <w:rPr>
          <w:rFonts w:hint="eastAsia" w:hAnsi="宋体"/>
          <w:sz w:val="32"/>
          <w:szCs w:val="32"/>
        </w:rPr>
        <w:t>我院</w:t>
      </w:r>
      <w:r>
        <w:rPr>
          <w:rFonts w:hAnsi="宋体"/>
          <w:sz w:val="32"/>
          <w:szCs w:val="32"/>
        </w:rPr>
        <w:t>未出现在国家层面督查或人大审计、监察等监督监察时发现问题被问责的情况</w:t>
      </w:r>
      <w:r>
        <w:rPr>
          <w:rFonts w:hint="eastAsia" w:hAnsi="宋体"/>
          <w:sz w:val="32"/>
          <w:szCs w:val="32"/>
        </w:rPr>
        <w:t>。</w:t>
      </w:r>
      <w:r>
        <w:rPr>
          <w:rFonts w:hint="eastAsia" w:cs="仿宋_GB2312"/>
          <w:sz w:val="32"/>
          <w:szCs w:val="32"/>
        </w:rPr>
        <w:t>该指标分值</w:t>
      </w:r>
      <w:r>
        <w:rPr>
          <w:rFonts w:hint="eastAsia" w:cs="仿宋_GB2312"/>
          <w:sz w:val="32"/>
          <w:szCs w:val="32"/>
          <w:lang w:val="en-US" w:eastAsia="zh-CN"/>
        </w:rPr>
        <w:t>2.5</w:t>
      </w:r>
      <w:r>
        <w:rPr>
          <w:rFonts w:hint="eastAsia" w:cs="仿宋_GB2312"/>
          <w:sz w:val="32"/>
          <w:szCs w:val="32"/>
        </w:rPr>
        <w:t>分，自评得分</w:t>
      </w:r>
      <w:r>
        <w:rPr>
          <w:rFonts w:hint="eastAsia" w:cs="仿宋_GB2312"/>
          <w:sz w:val="32"/>
          <w:szCs w:val="32"/>
          <w:lang w:val="en-US" w:eastAsia="zh-CN"/>
        </w:rPr>
        <w:t>2.5</w:t>
      </w:r>
      <w:r>
        <w:rPr>
          <w:rFonts w:hint="eastAsia" w:cs="仿宋_GB2312"/>
          <w:sz w:val="32"/>
          <w:szCs w:val="32"/>
        </w:rPr>
        <w:t>分，得分率为100%。</w:t>
      </w:r>
    </w:p>
    <w:p w14:paraId="6D3616D6">
      <w:pPr>
        <w:pStyle w:val="6"/>
        <w:ind w:firstLine="560"/>
        <w:rPr>
          <w:sz w:val="32"/>
          <w:szCs w:val="32"/>
        </w:rPr>
      </w:pPr>
      <w:bookmarkStart w:id="49" w:name="_Toc40046033"/>
      <w:r>
        <w:rPr>
          <w:rFonts w:hint="eastAsia"/>
          <w:sz w:val="32"/>
          <w:szCs w:val="32"/>
        </w:rPr>
        <w:t>4.能力建设</w:t>
      </w:r>
      <w:bookmarkEnd w:id="49"/>
    </w:p>
    <w:p w14:paraId="50DAF384">
      <w:pPr>
        <w:ind w:firstLine="560"/>
        <w:rPr>
          <w:rFonts w:hAnsi="宋体"/>
          <w:sz w:val="32"/>
          <w:szCs w:val="32"/>
        </w:rPr>
      </w:pPr>
      <w:r>
        <w:rPr>
          <w:rFonts w:hint="eastAsia" w:hAnsi="宋体"/>
          <w:sz w:val="32"/>
          <w:szCs w:val="32"/>
        </w:rPr>
        <w:t>能力建设指标</w:t>
      </w:r>
      <w:r>
        <w:rPr>
          <w:rFonts w:hint="eastAsia"/>
          <w:sz w:val="32"/>
          <w:szCs w:val="32"/>
        </w:rPr>
        <w:t>分值10分，自评得分10分，得分率为100%。</w:t>
      </w:r>
    </w:p>
    <w:p w14:paraId="15FC444D">
      <w:pPr>
        <w:ind w:firstLine="560"/>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433B3FE9">
      <w:pPr>
        <w:spacing w:line="600" w:lineRule="exact"/>
        <w:ind w:firstLine="643" w:firstLineChars="200"/>
        <w:textAlignment w:val="baseline"/>
        <w:rPr>
          <w:rFonts w:hint="eastAsia" w:hAnsi="宋体" w:eastAsia="仿宋_GB2312"/>
          <w:b w:val="0"/>
          <w:bCs w:val="0"/>
          <w:sz w:val="32"/>
          <w:szCs w:val="32"/>
          <w:lang w:eastAsia="zh-CN"/>
        </w:rPr>
      </w:pPr>
      <w:r>
        <w:rPr>
          <w:rFonts w:hint="eastAsia" w:hAnsi="宋体"/>
          <w:b/>
          <w:bCs/>
          <w:sz w:val="32"/>
          <w:szCs w:val="32"/>
        </w:rPr>
        <w:t>党建工作开展规律性</w:t>
      </w:r>
      <w:r>
        <w:rPr>
          <w:rFonts w:hint="eastAsia" w:hAnsi="宋体"/>
          <w:b/>
          <w:bCs/>
          <w:sz w:val="32"/>
          <w:szCs w:val="32"/>
          <w:lang w:eastAsia="zh-CN"/>
        </w:rPr>
        <w:t>：</w:t>
      </w:r>
      <w:r>
        <w:rPr>
          <w:rFonts w:hint="eastAsia" w:hAnsi="宋体"/>
          <w:sz w:val="32"/>
          <w:szCs w:val="32"/>
          <w:lang w:val="en-US" w:eastAsia="zh-CN"/>
        </w:rPr>
        <w:t>我院</w:t>
      </w:r>
      <w:r>
        <w:rPr>
          <w:rFonts w:hint="eastAsia" w:hAnsi="宋体"/>
          <w:sz w:val="32"/>
          <w:szCs w:val="32"/>
        </w:rPr>
        <w:t>坚持以习近平新时代中国特色社会主义思想和习近平法治思想为指导，全面贯彻落实党的二十大及二十届二中全会精神，紧紧围绕“公正与效率”工作主题，坚持系统观念、一体抓实，推动党建引领与审判工作深度融合，服务大局与执法办案高效推进，审判管理与审判质效协同发展，司法作风与公正司法相互促进，为全县各项社会事业高质量发展提供坚强有力司法保障</w:t>
      </w:r>
      <w:r>
        <w:rPr>
          <w:rFonts w:hint="eastAsia" w:hAnsi="宋体"/>
          <w:b w:val="0"/>
          <w:bCs w:val="0"/>
          <w:sz w:val="32"/>
          <w:szCs w:val="32"/>
          <w:lang w:eastAsia="zh-CN"/>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563C9071">
      <w:pPr>
        <w:ind w:firstLine="562"/>
        <w:rPr>
          <w:rFonts w:hint="eastAsia" w:hAnsi="宋体"/>
          <w:b w:val="0"/>
          <w:bCs w:val="0"/>
          <w:sz w:val="32"/>
          <w:szCs w:val="32"/>
          <w:lang w:eastAsia="zh-CN"/>
        </w:rPr>
      </w:pPr>
      <w:r>
        <w:rPr>
          <w:rFonts w:hint="eastAsia" w:hAnsi="宋体"/>
          <w:b/>
          <w:bCs/>
          <w:sz w:val="32"/>
          <w:szCs w:val="32"/>
        </w:rPr>
        <w:t>信息化管理覆盖率</w:t>
      </w:r>
      <w:r>
        <w:rPr>
          <w:rFonts w:hint="eastAsia" w:hAnsi="宋体"/>
          <w:b/>
          <w:bCs/>
          <w:sz w:val="32"/>
          <w:szCs w:val="32"/>
          <w:lang w:eastAsia="zh-CN"/>
        </w:rPr>
        <w:t>：</w:t>
      </w:r>
      <w:r>
        <w:rPr>
          <w:rFonts w:hint="eastAsia" w:hAnsi="宋体"/>
          <w:b w:val="0"/>
          <w:bCs w:val="0"/>
          <w:sz w:val="32"/>
          <w:szCs w:val="32"/>
          <w:lang w:val="en-US" w:eastAsia="zh-CN"/>
        </w:rPr>
        <w:t>我院</w:t>
      </w:r>
      <w:r>
        <w:rPr>
          <w:rFonts w:hint="eastAsia" w:hAnsi="宋体"/>
          <w:b w:val="0"/>
          <w:bCs w:val="0"/>
          <w:sz w:val="32"/>
          <w:szCs w:val="32"/>
          <w:lang w:eastAsia="zh-CN"/>
        </w:rPr>
        <w:t>加大智慧法院建设力度，进一步落实指尖化、电子化、自助化的诉讼服务模式，深度应用智慧法院建设成果，抓实数据分析与应用，为各审执条线工作提供精准高效的审判态势分析报告，以信息化推动审判智能化。该指标分值</w:t>
      </w:r>
      <w:r>
        <w:rPr>
          <w:rFonts w:hint="eastAsia" w:hAnsi="宋体"/>
          <w:b w:val="0"/>
          <w:bCs w:val="0"/>
          <w:sz w:val="32"/>
          <w:szCs w:val="32"/>
          <w:lang w:val="en-US" w:eastAsia="zh-CN"/>
        </w:rPr>
        <w:t>2</w:t>
      </w:r>
      <w:r>
        <w:rPr>
          <w:rFonts w:hint="eastAsia" w:hAnsi="宋体"/>
          <w:b w:val="0"/>
          <w:bCs w:val="0"/>
          <w:sz w:val="32"/>
          <w:szCs w:val="32"/>
          <w:lang w:eastAsia="zh-CN"/>
        </w:rPr>
        <w:t>分，自评得分</w:t>
      </w:r>
      <w:r>
        <w:rPr>
          <w:rFonts w:hint="eastAsia" w:hAnsi="宋体"/>
          <w:b w:val="0"/>
          <w:bCs w:val="0"/>
          <w:sz w:val="32"/>
          <w:szCs w:val="32"/>
          <w:lang w:val="en-US" w:eastAsia="zh-CN"/>
        </w:rPr>
        <w:t>2</w:t>
      </w:r>
      <w:r>
        <w:rPr>
          <w:rFonts w:hint="eastAsia" w:hAnsi="宋体"/>
          <w:b w:val="0"/>
          <w:bCs w:val="0"/>
          <w:sz w:val="32"/>
          <w:szCs w:val="32"/>
          <w:lang w:eastAsia="zh-CN"/>
        </w:rPr>
        <w:t>分，得分率100%。</w:t>
      </w:r>
    </w:p>
    <w:p w14:paraId="17B2D77F">
      <w:pPr>
        <w:ind w:firstLine="560"/>
        <w:rPr>
          <w:rFonts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我院高度重视人员能力的培养，在人员培训方面，严格展开培训活动，为法院的长期发展储备优秀人才，不断完善人员培训机制，积极加强干警业务能力水平的提升。该指标分值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20735791">
      <w:pPr>
        <w:ind w:firstLine="560"/>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05AAD55F">
      <w:pPr>
        <w:pStyle w:val="4"/>
        <w:spacing w:before="0" w:after="0"/>
        <w:ind w:firstLine="643"/>
      </w:pPr>
      <w:bookmarkStart w:id="50" w:name="_Toc20948"/>
      <w:bookmarkStart w:id="51" w:name="_Toc16731"/>
      <w:bookmarkStart w:id="52" w:name="_Toc40046035"/>
      <w:bookmarkStart w:id="53" w:name="_Toc12558"/>
      <w:bookmarkStart w:id="54" w:name="_Toc16525"/>
      <w:bookmarkStart w:id="55" w:name="_Toc3174"/>
      <w:r>
        <w:rPr>
          <w:rFonts w:hint="eastAsia"/>
        </w:rPr>
        <w:t>（四）偏离绩效目标的原因及下一步改进措施</w:t>
      </w:r>
      <w:bookmarkEnd w:id="50"/>
      <w:bookmarkEnd w:id="51"/>
      <w:bookmarkEnd w:id="52"/>
      <w:bookmarkEnd w:id="53"/>
      <w:bookmarkEnd w:id="54"/>
      <w:bookmarkEnd w:id="55"/>
    </w:p>
    <w:p w14:paraId="0F5C3F2B">
      <w:pPr>
        <w:pageBreakBefore w:val="0"/>
        <w:widowControl w:val="0"/>
        <w:kinsoku/>
        <w:wordWrap/>
        <w:overflowPunct/>
        <w:topLinePunct w:val="0"/>
        <w:autoSpaceDE/>
        <w:autoSpaceDN/>
        <w:bidi w:val="0"/>
        <w:adjustRightInd/>
        <w:snapToGrid/>
        <w:spacing w:line="560" w:lineRule="exact"/>
        <w:ind w:firstLine="643" w:firstLineChars="200"/>
        <w:textAlignment w:val="auto"/>
      </w:pPr>
      <w:bookmarkStart w:id="56" w:name="_Toc16890"/>
      <w:bookmarkStart w:id="57" w:name="_Toc8740"/>
      <w:bookmarkStart w:id="58" w:name="_Toc2045"/>
      <w:r>
        <w:rPr>
          <w:rFonts w:hint="eastAsia"/>
          <w:b/>
          <w:bCs/>
          <w:sz w:val="32"/>
          <w:szCs w:val="32"/>
          <w:highlight w:val="none"/>
          <w:lang w:val="en-US" w:eastAsia="zh-CN"/>
        </w:rPr>
        <w:t>预算执行率偏低：</w:t>
      </w:r>
      <w:r>
        <w:rPr>
          <w:rFonts w:hint="eastAsia" w:hAnsi="宋体"/>
          <w:sz w:val="32"/>
          <w:szCs w:val="32"/>
          <w:highlight w:val="none"/>
          <w:lang w:val="en-US" w:eastAsia="zh-CN"/>
        </w:rPr>
        <w:t>我院基本</w:t>
      </w:r>
      <w:r>
        <w:rPr>
          <w:rFonts w:hint="eastAsia" w:hAnsi="宋体"/>
          <w:sz w:val="32"/>
          <w:szCs w:val="32"/>
          <w:highlight w:val="none"/>
        </w:rPr>
        <w:t>支出全年预算</w:t>
      </w:r>
      <w:r>
        <w:rPr>
          <w:rFonts w:hint="eastAsia" w:hAnsi="宋体"/>
          <w:sz w:val="32"/>
          <w:szCs w:val="32"/>
          <w:highlight w:val="none"/>
          <w:lang w:val="en-US" w:eastAsia="zh-CN"/>
        </w:rPr>
        <w:t>856.34万元，</w:t>
      </w:r>
      <w:r>
        <w:rPr>
          <w:rFonts w:hint="eastAsia" w:hAnsi="宋体"/>
          <w:sz w:val="32"/>
          <w:szCs w:val="32"/>
          <w:highlight w:val="none"/>
        </w:rPr>
        <w:t>实际支出</w:t>
      </w:r>
      <w:r>
        <w:rPr>
          <w:rFonts w:hint="eastAsia" w:hAnsi="宋体"/>
          <w:sz w:val="32"/>
          <w:szCs w:val="32"/>
          <w:highlight w:val="none"/>
          <w:lang w:val="en-US" w:eastAsia="zh-CN"/>
        </w:rPr>
        <w:t>739</w:t>
      </w:r>
      <w:r>
        <w:rPr>
          <w:rFonts w:hint="eastAsia" w:hAnsi="宋体"/>
          <w:sz w:val="32"/>
          <w:szCs w:val="32"/>
          <w:highlight w:val="none"/>
        </w:rPr>
        <w:t>.</w:t>
      </w:r>
      <w:r>
        <w:rPr>
          <w:rFonts w:hint="eastAsia" w:hAnsi="宋体"/>
          <w:sz w:val="32"/>
          <w:szCs w:val="32"/>
          <w:highlight w:val="none"/>
          <w:lang w:val="en-US" w:eastAsia="zh-CN"/>
        </w:rPr>
        <w:t>93万</w:t>
      </w:r>
      <w:r>
        <w:rPr>
          <w:rFonts w:hint="eastAsia" w:hAnsi="宋体"/>
          <w:sz w:val="32"/>
          <w:szCs w:val="32"/>
          <w:highlight w:val="none"/>
        </w:rPr>
        <w:t>元，</w:t>
      </w:r>
      <w:r>
        <w:rPr>
          <w:rFonts w:hint="eastAsia" w:hAnsi="宋体"/>
          <w:sz w:val="32"/>
          <w:szCs w:val="32"/>
          <w:highlight w:val="none"/>
          <w:lang w:val="en-US" w:eastAsia="zh-CN"/>
        </w:rPr>
        <w:t>基本</w:t>
      </w:r>
      <w:r>
        <w:rPr>
          <w:rFonts w:hint="eastAsia" w:hAnsi="宋体"/>
          <w:sz w:val="32"/>
          <w:szCs w:val="32"/>
          <w:highlight w:val="none"/>
        </w:rPr>
        <w:t>支出预算执行率为</w:t>
      </w:r>
      <w:r>
        <w:rPr>
          <w:rFonts w:hint="eastAsia" w:hAnsi="宋体"/>
          <w:sz w:val="32"/>
          <w:szCs w:val="32"/>
          <w:highlight w:val="none"/>
          <w:lang w:val="en-US" w:eastAsia="zh-CN"/>
        </w:rPr>
        <w:t>86</w:t>
      </w:r>
      <w:r>
        <w:rPr>
          <w:rFonts w:hint="eastAsia" w:hAnsi="宋体"/>
          <w:sz w:val="32"/>
          <w:szCs w:val="32"/>
          <w:highlight w:val="none"/>
        </w:rPr>
        <w:t>.</w:t>
      </w:r>
      <w:r>
        <w:rPr>
          <w:rFonts w:hint="eastAsia" w:hAnsi="宋体"/>
          <w:sz w:val="32"/>
          <w:szCs w:val="32"/>
          <w:highlight w:val="none"/>
          <w:lang w:val="en-US" w:eastAsia="zh-CN"/>
        </w:rPr>
        <w:t>41</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lang w:val="en-US" w:eastAsia="zh-CN"/>
        </w:rPr>
        <w:t>我院</w:t>
      </w:r>
      <w:r>
        <w:rPr>
          <w:rFonts w:hint="eastAsia" w:hAnsi="宋体"/>
          <w:sz w:val="32"/>
          <w:szCs w:val="32"/>
          <w:highlight w:val="none"/>
          <w:lang w:eastAsia="zh-CN"/>
        </w:rPr>
        <w:t>有1人退休，基本支出存在结余。</w:t>
      </w:r>
      <w:r>
        <w:rPr>
          <w:rFonts w:hint="eastAsia"/>
          <w:b w:val="0"/>
          <w:bCs w:val="0"/>
          <w:sz w:val="32"/>
          <w:szCs w:val="32"/>
          <w:highlight w:val="none"/>
          <w:lang w:val="en-US" w:eastAsia="zh-CN"/>
        </w:rPr>
        <w:t>下一年度我院</w:t>
      </w:r>
      <w:r>
        <w:rPr>
          <w:rFonts w:hint="eastAsia" w:hAnsi="宋体"/>
          <w:sz w:val="32"/>
          <w:szCs w:val="32"/>
          <w:highlight w:val="none"/>
          <w:lang w:eastAsia="zh-CN"/>
        </w:rPr>
        <w:t>加快资金支付进度，及时</w:t>
      </w:r>
      <w:r>
        <w:rPr>
          <w:rFonts w:hint="eastAsia" w:hAnsi="宋体"/>
          <w:sz w:val="32"/>
          <w:szCs w:val="32"/>
          <w:highlight w:val="none"/>
          <w:lang w:val="en-US" w:eastAsia="zh-CN"/>
        </w:rPr>
        <w:t>完成</w:t>
      </w:r>
      <w:r>
        <w:rPr>
          <w:rFonts w:hint="eastAsia" w:hAnsi="宋体"/>
          <w:sz w:val="32"/>
          <w:szCs w:val="32"/>
          <w:highlight w:val="none"/>
          <w:lang w:eastAsia="zh-CN"/>
        </w:rPr>
        <w:t>资金支付。</w:t>
      </w:r>
    </w:p>
    <w:p w14:paraId="124C3DAE">
      <w:pPr>
        <w:pStyle w:val="2"/>
        <w:ind w:left="0" w:leftChars="0" w:firstLine="643" w:firstLineChars="200"/>
        <w:rPr>
          <w:rFonts w:hint="eastAsia" w:ascii="仿宋_GB2312" w:hAnsi="宋体" w:eastAsia="仿宋_GB2312" w:cstheme="minorBidi"/>
          <w:kern w:val="2"/>
          <w:sz w:val="32"/>
          <w:szCs w:val="32"/>
          <w:highlight w:val="none"/>
          <w:lang w:val="en-US" w:eastAsia="zh-CN" w:bidi="ar-SA"/>
        </w:rPr>
      </w:pPr>
      <w:r>
        <w:rPr>
          <w:rFonts w:hint="eastAsia" w:ascii="仿宋_GB2312" w:hAnsi="仿宋_GB2312" w:eastAsia="仿宋_GB2312" w:cstheme="minorBidi"/>
          <w:b/>
          <w:bCs/>
          <w:kern w:val="2"/>
          <w:sz w:val="32"/>
          <w:szCs w:val="32"/>
          <w:highlight w:val="none"/>
          <w:lang w:val="en-US" w:eastAsia="zh-CN" w:bidi="ar-SA"/>
        </w:rPr>
        <w:t>系统原因导致扣分：</w:t>
      </w:r>
      <w:r>
        <w:rPr>
          <w:rFonts w:hint="eastAsia" w:ascii="仿宋_GB2312" w:hAnsi="宋体" w:eastAsia="仿宋_GB2312" w:cstheme="minorBidi"/>
          <w:kern w:val="2"/>
          <w:sz w:val="32"/>
          <w:szCs w:val="32"/>
          <w:highlight w:val="none"/>
          <w:lang w:val="en-US" w:eastAsia="zh-CN" w:bidi="ar-SA"/>
        </w:rPr>
        <w:t>“三公经费”控制率年度指标≤100%，实际完成87.64%，完成年度目标；改判率，年度目标≤3%，实际完成0%。本年度无改判案件，完成年度目标；立案变更率，年度目标&lt;=3%，实际完成0%。本年度无立案变更案件，完成年度目标，以上指标已完成年度目标，系统原因导致扣分。</w:t>
      </w:r>
    </w:p>
    <w:p w14:paraId="02CCE263">
      <w:pPr>
        <w:pStyle w:val="3"/>
        <w:spacing w:before="0" w:after="0"/>
      </w:pPr>
      <w:bookmarkStart w:id="59" w:name="_Toc1229"/>
      <w:r>
        <w:rPr>
          <w:rFonts w:hint="eastAsia"/>
        </w:rPr>
        <w:t>四、部门预算项目支出绩效自评情况分析</w:t>
      </w:r>
      <w:bookmarkEnd w:id="56"/>
      <w:bookmarkEnd w:id="57"/>
      <w:bookmarkEnd w:id="58"/>
      <w:bookmarkEnd w:id="59"/>
    </w:p>
    <w:p w14:paraId="1054029A">
      <w:pPr>
        <w:ind w:firstLine="560"/>
        <w:rPr>
          <w:rFonts w:hAnsi="宋体"/>
          <w:sz w:val="32"/>
          <w:szCs w:val="32"/>
        </w:rPr>
      </w:pPr>
      <w:r>
        <w:rPr>
          <w:rFonts w:hint="eastAsia" w:hAnsi="宋体"/>
          <w:sz w:val="32"/>
          <w:szCs w:val="32"/>
          <w:lang w:eastAsia="zh-CN"/>
        </w:rPr>
        <w:t>2023</w:t>
      </w:r>
      <w:r>
        <w:rPr>
          <w:rFonts w:hint="eastAsia" w:hAnsi="宋体"/>
          <w:sz w:val="32"/>
          <w:szCs w:val="32"/>
        </w:rPr>
        <w:t>年，我院预算支出项目为2个，通过自评，</w:t>
      </w:r>
      <w:r>
        <w:rPr>
          <w:rFonts w:hint="eastAsia" w:hAnsi="宋体"/>
          <w:sz w:val="32"/>
          <w:szCs w:val="32"/>
          <w:lang w:val="en-US" w:eastAsia="zh-CN"/>
        </w:rPr>
        <w:t>1</w:t>
      </w:r>
      <w:r>
        <w:rPr>
          <w:rFonts w:hint="eastAsia" w:hAnsi="宋体"/>
          <w:sz w:val="32"/>
          <w:szCs w:val="32"/>
        </w:rPr>
        <w:t>个项目结果为“优”</w:t>
      </w:r>
      <w:r>
        <w:rPr>
          <w:rFonts w:hint="eastAsia" w:hAnsi="宋体"/>
          <w:sz w:val="32"/>
          <w:szCs w:val="32"/>
          <w:lang w:eastAsia="zh-CN"/>
        </w:rPr>
        <w:t>、</w:t>
      </w:r>
      <w:r>
        <w:rPr>
          <w:rFonts w:hint="eastAsia" w:hAnsi="宋体"/>
          <w:sz w:val="32"/>
          <w:szCs w:val="32"/>
          <w:lang w:val="en-US" w:eastAsia="zh-CN"/>
        </w:rPr>
        <w:t>1</w:t>
      </w:r>
      <w:r>
        <w:rPr>
          <w:rFonts w:hint="eastAsia" w:hAnsi="宋体"/>
          <w:sz w:val="32"/>
          <w:szCs w:val="32"/>
        </w:rPr>
        <w:t>个项目结果为“</w:t>
      </w:r>
      <w:r>
        <w:rPr>
          <w:rFonts w:hint="eastAsia" w:hAnsi="宋体"/>
          <w:sz w:val="32"/>
          <w:szCs w:val="32"/>
          <w:lang w:val="en-US" w:eastAsia="zh-CN"/>
        </w:rPr>
        <w:t>良</w:t>
      </w:r>
      <w:r>
        <w:rPr>
          <w:rFonts w:hint="eastAsia" w:hAnsi="宋体"/>
          <w:sz w:val="32"/>
          <w:szCs w:val="32"/>
        </w:rPr>
        <w:t>”分项目自评情况分析如下：</w:t>
      </w:r>
    </w:p>
    <w:p w14:paraId="2745BA97">
      <w:pPr>
        <w:pStyle w:val="4"/>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highlight w:val="none"/>
          <w:lang w:eastAsia="zh-CN"/>
        </w:rPr>
      </w:pPr>
      <w:bookmarkStart w:id="60" w:name="_Toc6107"/>
      <w:bookmarkStart w:id="61" w:name="_Toc28147"/>
      <w:bookmarkStart w:id="62" w:name="_Toc7144"/>
      <w:bookmarkStart w:id="63" w:name="_Toc26665"/>
      <w:bookmarkStart w:id="64" w:name="_Toc6252"/>
      <w:bookmarkStart w:id="65" w:name="_Toc32543"/>
      <w:bookmarkStart w:id="66" w:name="_Toc40046065"/>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业务费</w:t>
      </w:r>
      <w:bookmarkEnd w:id="60"/>
      <w:bookmarkEnd w:id="61"/>
    </w:p>
    <w:p w14:paraId="7640368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业务费项目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分，绩效等级为“优”。项目支出绩效评价包括项目资金预算执行率、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1435A1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FBB9ED1">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282291F7">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65BF8A61">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63C82571">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27670D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59A2726B">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2F9EB7EE">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2AC72D88">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1024D245">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693AD1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6A4B554C">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23156B7E">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00499E10">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4AF44075">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default" w:ascii="宋体" w:hAnsi="宋体" w:eastAsia="宋体" w:cs="宋体"/>
                <w:color w:val="000000"/>
                <w:kern w:val="0"/>
                <w:sz w:val="22"/>
                <w:szCs w:val="22"/>
                <w:highlight w:val="none"/>
                <w:lang w:val="en-US" w:eastAsia="zh-CN"/>
              </w:rPr>
              <w:t>100%</w:t>
            </w:r>
          </w:p>
        </w:tc>
      </w:tr>
      <w:tr w14:paraId="1D2B55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E09883D">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1A77B0ED">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113863C5">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5481029E">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p>
        </w:tc>
      </w:tr>
      <w:tr w14:paraId="28AFBC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C16EB1D">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36E17872">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32778E41">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5F428BAE">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41CE1E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2919F11">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3F1A3F15">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560" w:type="dxa"/>
            <w:vAlign w:val="center"/>
          </w:tcPr>
          <w:p w14:paraId="52A9C12D">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075E220C">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4732EC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84D29C9">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73840A8F">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2A7EB08C">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14:paraId="1ECC84F9">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r>
    </w:tbl>
    <w:p w14:paraId="75FD1325">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33B0BB59">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业务费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数127.73</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上年无结转资金，当年财政拨款127.73万元，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127.73</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指标分值10分，自评得分10分，得分率100%</w:t>
      </w:r>
      <w:r>
        <w:rPr>
          <w:rFonts w:hint="eastAsia" w:ascii="仿宋_GB2312" w:hAnsi="仿宋_GB2312" w:eastAsia="仿宋_GB2312" w:cs="仿宋_GB2312"/>
          <w:sz w:val="32"/>
          <w:szCs w:val="32"/>
          <w:highlight w:val="none"/>
        </w:rPr>
        <w:t>。</w:t>
      </w:r>
    </w:p>
    <w:p w14:paraId="76027AA0">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14F778E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项目总体绩效目标为：</w:t>
      </w:r>
      <w:r>
        <w:rPr>
          <w:rFonts w:hint="eastAsia" w:ascii="仿宋_GB2312" w:hAnsi="仿宋_GB2312" w:eastAsia="仿宋_GB2312" w:cs="仿宋_GB2312"/>
          <w:sz w:val="32"/>
          <w:szCs w:val="32"/>
          <w:highlight w:val="none"/>
        </w:rPr>
        <w:t xml:space="preserve">通过2023年度业务费的投入，保障单位正常审判执行工作顺利开展，提高办案效率，从而推动本院各项工作顺利开展。  </w:t>
      </w:r>
    </w:p>
    <w:p w14:paraId="4525DAB5">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b/>
          <w:bCs/>
          <w:sz w:val="32"/>
          <w:szCs w:val="32"/>
          <w:highlight w:val="none"/>
          <w:lang w:val="en-US" w:eastAsia="zh-CN"/>
        </w:rPr>
        <w:t>2023年实际完成情况：</w:t>
      </w:r>
      <w:r>
        <w:rPr>
          <w:rFonts w:hint="eastAsia" w:ascii="仿宋_GB2312" w:hAnsi="仿宋_GB2312" w:cs="仿宋_GB2312"/>
          <w:sz w:val="32"/>
          <w:szCs w:val="32"/>
          <w:highlight w:val="none"/>
          <w:lang w:val="en-US" w:eastAsia="zh-CN"/>
        </w:rPr>
        <w:t>狠抓执法办案第一要务，加强生态环境司法保护。依法严惩涉环资刑事犯罪22件，判处罪犯83人，践行恢复性司法理念，建立修复基地281亩，判决刑附民公诉案件被告人主动承担异地生态修复费用12余万元，力促生态环境修复有效实现。依法调处民事纠纷，审结民商事案件3件，调解2件，判决1件，维护社会和谐稳定。常态化开展执行攻坚专项行动，执结案件52件，累计发放执行案款226万元，更快更优兑现胜诉当事人权益。</w:t>
      </w:r>
    </w:p>
    <w:p w14:paraId="02FA5F08">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7AE72EA0">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76F1DF9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val="0"/>
          <w:kern w:val="2"/>
          <w:sz w:val="32"/>
          <w:szCs w:val="32"/>
          <w:highlight w:val="none"/>
          <w:lang w:val="en-US" w:eastAsia="zh-CN" w:bidi="ar-SA"/>
        </w:rPr>
      </w:pPr>
      <w:r>
        <w:rPr>
          <w:rFonts w:hint="eastAsia" w:ascii="仿宋_GB2312" w:hAnsi="仿宋_GB2312" w:cs="仿宋_GB2312"/>
          <w:b w:val="0"/>
          <w:kern w:val="2"/>
          <w:sz w:val="32"/>
          <w:szCs w:val="32"/>
          <w:highlight w:val="none"/>
          <w:lang w:val="en-US" w:eastAsia="zh-CN" w:bidi="ar-SA"/>
        </w:rPr>
        <w:t>项目</w:t>
      </w:r>
      <w:r>
        <w:rPr>
          <w:rFonts w:hint="eastAsia" w:ascii="仿宋_GB2312" w:hAnsi="仿宋_GB2312" w:eastAsia="仿宋_GB2312" w:cs="仿宋_GB2312"/>
          <w:b w:val="0"/>
          <w:kern w:val="2"/>
          <w:sz w:val="32"/>
          <w:szCs w:val="32"/>
          <w:highlight w:val="none"/>
          <w:lang w:val="en-US" w:eastAsia="zh-CN" w:bidi="ar-SA"/>
        </w:rPr>
        <w:t>成本指标包括经济成本指标</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1</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w:t>
      </w:r>
      <w:r>
        <w:rPr>
          <w:rFonts w:hint="eastAsia" w:ascii="仿宋_GB2312" w:hAnsi="仿宋_GB2312" w:cs="仿宋_GB2312"/>
          <w:b w:val="0"/>
          <w:kern w:val="2"/>
          <w:sz w:val="32"/>
          <w:szCs w:val="32"/>
          <w:highlight w:val="none"/>
          <w:lang w:val="en-US" w:eastAsia="zh-CN" w:bidi="ar-SA"/>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0E85933">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default" w:ascii="仿宋_GB2312" w:hAnsi="仿宋_GB2312" w:cs="仿宋_GB2312"/>
          <w:b w:val="0"/>
          <w:kern w:val="2"/>
          <w:sz w:val="32"/>
          <w:szCs w:val="32"/>
          <w:highlight w:val="none"/>
          <w:lang w:val="en-US" w:eastAsia="zh-CN" w:bidi="ar-SA"/>
        </w:rPr>
        <w:t>成本控制情况</w:t>
      </w:r>
      <w:r>
        <w:rPr>
          <w:rFonts w:hint="eastAsia" w:ascii="仿宋_GB2312" w:hAnsi="仿宋_GB2312" w:cs="仿宋_GB2312"/>
          <w:b w:val="0"/>
          <w:kern w:val="2"/>
          <w:sz w:val="32"/>
          <w:szCs w:val="32"/>
          <w:highlight w:val="none"/>
          <w:lang w:val="en-US" w:eastAsia="zh-CN" w:bidi="ar-SA"/>
        </w:rPr>
        <w:t>：年度指标值定额标准内，实际完成100%，指标分值20分，自评得分20分</w:t>
      </w:r>
      <w:r>
        <w:rPr>
          <w:rFonts w:hint="eastAsia" w:ascii="仿宋_GB2312" w:hAnsi="仿宋_GB2312" w:eastAsia="仿宋_GB2312" w:cs="仿宋_GB2312"/>
          <w:sz w:val="32"/>
          <w:szCs w:val="32"/>
          <w:highlight w:val="none"/>
        </w:rPr>
        <w:t>，得分率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1668EE84">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5D9D82C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EF00AC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69101C6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结案率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完成92%，指标分值3.37分，自评得分3.37分</w:t>
      </w:r>
      <w:r>
        <w:rPr>
          <w:rFonts w:hint="eastAsia" w:ascii="仿宋_GB2312" w:hAnsi="仿宋_GB2312" w:eastAsia="仿宋_GB2312" w:cs="仿宋_GB2312"/>
          <w:sz w:val="32"/>
          <w:szCs w:val="32"/>
          <w:highlight w:val="none"/>
        </w:rPr>
        <w:t>，得分率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AE7F5C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b/>
          <w:bCs/>
          <w:sz w:val="32"/>
          <w:szCs w:val="32"/>
          <w:highlight w:val="none"/>
          <w:lang w:eastAsia="zh-CN"/>
        </w:rPr>
        <w:t>维修维护项目数：</w:t>
      </w:r>
      <w:r>
        <w:rPr>
          <w:rFonts w:hint="eastAsia" w:ascii="仿宋_GB2312" w:hAnsi="仿宋_GB2312" w:cs="仿宋_GB2312"/>
          <w:sz w:val="32"/>
          <w:szCs w:val="32"/>
          <w:highlight w:val="none"/>
          <w:lang w:val="en-US" w:eastAsia="zh-CN"/>
        </w:rPr>
        <w:t>年度指标值1项，实际完成值1项，指标分值3.33分，自评得分3.33分</w:t>
      </w:r>
      <w:r>
        <w:rPr>
          <w:rFonts w:hint="eastAsia" w:ascii="仿宋_GB2312" w:hAnsi="仿宋_GB2312" w:eastAsia="仿宋_GB2312" w:cs="仿宋_GB2312"/>
          <w:sz w:val="32"/>
          <w:szCs w:val="32"/>
          <w:highlight w:val="none"/>
        </w:rPr>
        <w:t>，得分率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7602FB0">
      <w:pPr>
        <w:keepNext/>
        <w:keepLines/>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物业管理面积：</w:t>
      </w:r>
      <w:r>
        <w:rPr>
          <w:rFonts w:hint="eastAsia" w:ascii="仿宋_GB2312" w:hAnsi="仿宋_GB2312" w:eastAsia="仿宋_GB2312" w:cs="仿宋_GB2312"/>
          <w:b w:val="0"/>
          <w:kern w:val="2"/>
          <w:sz w:val="32"/>
          <w:szCs w:val="32"/>
          <w:highlight w:val="none"/>
          <w:lang w:val="en-US" w:eastAsia="zh-CN" w:bidi="ar-SA"/>
        </w:rPr>
        <w:t>年度指标值=1600㎡，实际完成值为1600㎡，指标分值3.33分，自评得分3.33分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1B2355CF">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b/>
          <w:bCs/>
          <w:sz w:val="32"/>
          <w:szCs w:val="32"/>
          <w:highlight w:val="none"/>
          <w:lang w:eastAsia="zh-CN"/>
        </w:rPr>
        <w:t>信息化运维服务完成率：</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1314A0F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285EFF50">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维修维护项目验收合格率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我院派出法庭开展日常维修维护工作，各项维修维护工作均验收合格，达到年度指标值。指标分值3.33分，自评得分3.33分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22C32D3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物业管理合格率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我院物业服务常规性开展，保障派出法庭正常运转，物业服务保障工作验收合格率100%，达到年度指标值。指标分值3.33分，自评得分3.33分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0656F99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信息化运维服务验收合格率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年我院为保证信息化系统的正常使用，按期开展信息化运维，信息化运维服务完成率100%。并通过验收，达到年度指标值。指标分值3.33分，自评得分3.33分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297B907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一审服判息诉率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48118FD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6F541383">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办案经费支付及时率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66CCCE7E">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法定审限内结案率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1B1DC6D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维修修护及时性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我院派出法庭开展日常维修维护工作及时，达到年度指标值。指标分值3.33分，自评得分3.33分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1D06BF61">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信息化运维工作及时性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我院信息化运维工作开展及时，保障信息化系统正常运转，达到年度指标值。指标分值3.33分，自评得分3.33分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6755138D">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7D5A9F59">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经济效益、</w:t>
      </w:r>
      <w:r>
        <w:rPr>
          <w:rFonts w:hint="eastAsia" w:ascii="仿宋_GB2312" w:hAnsi="仿宋_GB2312" w:eastAsia="仿宋_GB2312" w:cs="仿宋_GB2312"/>
          <w:sz w:val="32"/>
          <w:szCs w:val="32"/>
          <w:highlight w:val="none"/>
        </w:rPr>
        <w:t>社会效益</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生态效益3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329083C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经济效益</w:t>
      </w:r>
    </w:p>
    <w:p w14:paraId="2BA1D441">
      <w:pPr>
        <w:pStyle w:val="15"/>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3"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挽回经济损失效果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sz w:val="32"/>
          <w:szCs w:val="32"/>
          <w:lang w:val="en-US" w:eastAsia="zh-CN"/>
        </w:rPr>
        <w:t>依法严惩涉环资刑事犯罪22件，判处罪犯83人，践行恢复性司法理念，建立修复基地281亩，判决刑附民公诉案件被告人主动承担异地生态修复费用12余万元，力促生态环境修复有效实现。依法调处民事纠纷，审结民商事案件3件，调解2件，判决1件，维护社会和谐稳定。常态化开展执行攻坚专项行动，执结案件52件，累计发放执行案款226万元，更快更优兑现胜诉当事人权益</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D871E72">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社会效益</w:t>
      </w:r>
    </w:p>
    <w:p w14:paraId="34FDFA85">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维护社会稳定效果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sz w:val="32"/>
          <w:szCs w:val="32"/>
          <w:lang w:val="en-US" w:eastAsia="zh-CN"/>
        </w:rPr>
        <w:t>自觉担负起保一方平安、护一方稳定的政治责任，主动创稳、有效维稳、全力保稳。发挥巡回审判、法官定点联系工作机制，加大司法建议力度和诉前调解力度，化解诉前案件3件，妥善处置化解房地产领域民生案件3起，以“院长接待月”扎实推进涉诉信访案件2件化解，避免群体性上访事件和风险外溢。组织法官进企业、进林场，建立环境资源审判多方联席工作机制，加强对黄河流域生态资源和文化资源的保护守护，助推辖区经济绿色发展。</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2527FA71">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有效保障审判</w:t>
      </w:r>
      <w:r>
        <w:rPr>
          <w:rFonts w:hint="eastAsia" w:ascii="仿宋_GB2312" w:hAnsi="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val="en-US" w:eastAsia="zh-CN"/>
        </w:rPr>
        <w:t>工作</w:t>
      </w:r>
      <w:r>
        <w:rPr>
          <w:rFonts w:hint="eastAsia" w:ascii="仿宋_GB2312" w:hAnsi="仿宋_GB2312" w:cs="仿宋_GB2312"/>
          <w:b/>
          <w:bCs/>
          <w:sz w:val="32"/>
          <w:szCs w:val="32"/>
          <w:highlight w:val="none"/>
          <w:lang w:val="en-US" w:eastAsia="zh-CN"/>
        </w:rPr>
        <w:t>：</w:t>
      </w:r>
      <w:r>
        <w:rPr>
          <w:rFonts w:hint="eastAsia" w:ascii="Times New Roman" w:hAnsi="Times New Roman" w:eastAsia="仿宋_GB2312" w:cs="Times New Roman"/>
          <w:sz w:val="32"/>
          <w:szCs w:val="32"/>
          <w:lang w:val="en-US" w:eastAsia="zh-CN"/>
        </w:rPr>
        <w:t>加快推进智能化诉讼服务建设，努力为当事人增效、为法官减负、为审判管理赋能。落实好法治建设第一责任，推动法治宣传教育工作贴近基层、贴近群众，开展“法律八进”活动10次，“6·5世界环境日”“全国首个生态日”等节日开展专题普法，让“法治护航生态”成为常态</w:t>
      </w:r>
      <w:r>
        <w:rPr>
          <w:rFonts w:hint="eastAsia" w:ascii="仿宋_GB2312" w:hAnsi="仿宋_GB2312" w:cs="仿宋_GB2312"/>
          <w:sz w:val="32"/>
          <w:szCs w:val="32"/>
          <w:highlight w:val="none"/>
          <w:lang w:val="en-US" w:eastAsia="zh-CN"/>
        </w:rPr>
        <w:t>，指标分值5分，自评得分5分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6B4C68D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cs="仿宋_GB2312"/>
          <w:b/>
          <w:bCs/>
          <w:sz w:val="32"/>
          <w:szCs w:val="32"/>
          <w:highlight w:val="none"/>
          <w:lang w:val="en-US" w:eastAsia="zh-CN"/>
        </w:rPr>
        <w:t>生态效益</w:t>
      </w:r>
    </w:p>
    <w:p w14:paraId="65B4F179">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打击违法犯罪，维护</w:t>
      </w:r>
      <w:r>
        <w:rPr>
          <w:rFonts w:hint="eastAsia" w:ascii="仿宋_GB2312" w:hAnsi="仿宋_GB2312" w:cs="仿宋_GB2312"/>
          <w:b/>
          <w:bCs/>
          <w:sz w:val="32"/>
          <w:szCs w:val="32"/>
          <w:highlight w:val="none"/>
          <w:lang w:val="en-US" w:eastAsia="zh-CN"/>
        </w:rPr>
        <w:t>生态秩序：</w:t>
      </w:r>
      <w:r>
        <w:rPr>
          <w:rFonts w:hint="eastAsia" w:ascii="仿宋_GB2312" w:hAnsi="仿宋_GB2312" w:cs="仿宋_GB2312"/>
          <w:sz w:val="32"/>
          <w:szCs w:val="32"/>
          <w:highlight w:val="none"/>
          <w:lang w:val="en-US" w:eastAsia="zh-CN"/>
        </w:rPr>
        <w:t>开展“万名干警联万企”行动，“对点联络”“一对一服务”，对接企业、林场共58个，通过电话联系及上门对接共计112次，对接企业帮办实事11件，开展法治体检、法企共建数量25件，积极助企纾困解难，护航企业良好运行，指标分值5分，自评得分5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得分率100%。</w:t>
      </w:r>
    </w:p>
    <w:p w14:paraId="0F426688">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330B7520">
      <w:pPr>
        <w:keepNext w:val="0"/>
        <w:keepLines w:val="0"/>
        <w:pageBreakBefore w:val="0"/>
        <w:widowControl w:val="0"/>
        <w:kinsoku/>
        <w:wordWrap/>
        <w:overflowPunct/>
        <w:topLinePunct w:val="0"/>
        <w:autoSpaceDE w:val="0"/>
        <w:autoSpaceDN w:val="0"/>
        <w:bidi w:val="0"/>
        <w:adjustRightInd/>
        <w:snapToGrid/>
        <w:textAlignment w:val="auto"/>
        <w:rPr>
          <w:sz w:val="32"/>
          <w:szCs w:val="32"/>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当事人满意程度及干警满意程度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43AAD4C">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当事人满意程度：</w:t>
      </w:r>
      <w:r>
        <w:rPr>
          <w:rFonts w:hint="eastAsia" w:hAnsi="宋体"/>
          <w:b w:val="0"/>
          <w:bCs w:val="0"/>
          <w:sz w:val="32"/>
          <w:szCs w:val="32"/>
          <w:lang w:val="en-US" w:eastAsia="zh-CN"/>
        </w:rPr>
        <w:t>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95%。</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5</w:t>
      </w:r>
      <w:r>
        <w:rPr>
          <w:rFonts w:hint="eastAsia" w:ascii="仿宋_GB2312" w:hAnsi="宋体" w:eastAsia="仿宋_GB2312" w:cstheme="minorBidi"/>
          <w:kern w:val="2"/>
          <w:sz w:val="32"/>
          <w:szCs w:val="32"/>
          <w:lang w:val="en-US" w:eastAsia="zh-CN" w:bidi="ar-SA"/>
        </w:rPr>
        <w:t>分，</w:t>
      </w:r>
      <w:r>
        <w:rPr>
          <w:rFonts w:hint="eastAsia" w:ascii="仿宋_GB2312" w:hAnsi="宋体" w:eastAsia="仿宋_GB2312" w:cstheme="minorBidi"/>
          <w:kern w:val="2"/>
          <w:sz w:val="32"/>
          <w:szCs w:val="32"/>
          <w:highlight w:val="none"/>
          <w:lang w:val="en-US" w:eastAsia="zh-CN" w:bidi="ar-SA"/>
        </w:rPr>
        <w:t>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73ABD9DE">
      <w:pPr>
        <w:ind w:firstLine="560"/>
        <w:rPr>
          <w:sz w:val="32"/>
          <w:szCs w:val="32"/>
          <w:highlight w:val="none"/>
        </w:rPr>
      </w:pPr>
      <w:r>
        <w:rPr>
          <w:rFonts w:hint="eastAsia"/>
          <w:b/>
          <w:bCs/>
          <w:sz w:val="32"/>
          <w:szCs w:val="32"/>
          <w:highlight w:val="none"/>
        </w:rPr>
        <w:t>干警满意程度：</w:t>
      </w:r>
      <w:r>
        <w:rPr>
          <w:rFonts w:hint="eastAsia"/>
          <w:sz w:val="32"/>
          <w:szCs w:val="32"/>
          <w:highlight w:val="none"/>
          <w:lang w:val="en-US" w:eastAsia="zh-CN"/>
        </w:rPr>
        <w:t>2</w:t>
      </w:r>
      <w:r>
        <w:rPr>
          <w:rFonts w:hint="eastAsia"/>
          <w:sz w:val="32"/>
          <w:szCs w:val="32"/>
          <w:highlight w:val="none"/>
        </w:rPr>
        <w:t>023年我院在案件的审判上，找准短板弱项，加强分析研判，查找原因症结，围绕审判存在的问题和短板，细化工作举措，层层压实责任，确保查漏补缺工作落实到位，保障工作人员办案质量要求和业务能力水平的提升</w:t>
      </w:r>
      <w:r>
        <w:rPr>
          <w:rFonts w:hint="eastAsia"/>
          <w:sz w:val="32"/>
          <w:szCs w:val="32"/>
          <w:highlight w:val="none"/>
          <w:lang w:eastAsia="zh-CN"/>
        </w:rPr>
        <w:t>，</w:t>
      </w:r>
      <w:r>
        <w:rPr>
          <w:rFonts w:hint="eastAsia"/>
          <w:sz w:val="32"/>
          <w:szCs w:val="32"/>
          <w:highlight w:val="none"/>
        </w:rPr>
        <w:t>司法工作人员满意度为</w:t>
      </w:r>
      <w:r>
        <w:rPr>
          <w:rFonts w:hint="eastAsia"/>
          <w:sz w:val="32"/>
          <w:szCs w:val="32"/>
          <w:highlight w:val="none"/>
          <w:lang w:val="en-US" w:eastAsia="zh-CN"/>
        </w:rPr>
        <w:t>98</w:t>
      </w:r>
      <w:r>
        <w:rPr>
          <w:rFonts w:hint="eastAsia"/>
          <w:sz w:val="32"/>
          <w:szCs w:val="32"/>
          <w:highlight w:val="none"/>
        </w:rPr>
        <w:t>%。该指标分值</w:t>
      </w:r>
      <w:r>
        <w:rPr>
          <w:rFonts w:hint="eastAsia"/>
          <w:sz w:val="32"/>
          <w:szCs w:val="32"/>
          <w:highlight w:val="none"/>
          <w:lang w:val="en-US" w:eastAsia="zh-CN"/>
        </w:rPr>
        <w:t>5</w:t>
      </w:r>
      <w:r>
        <w:rPr>
          <w:rFonts w:hint="eastAsia"/>
          <w:sz w:val="32"/>
          <w:szCs w:val="32"/>
          <w:highlight w:val="none"/>
        </w:rPr>
        <w:t>分，自评得分</w:t>
      </w:r>
      <w:r>
        <w:rPr>
          <w:rFonts w:hint="eastAsia"/>
          <w:sz w:val="32"/>
          <w:szCs w:val="32"/>
          <w:highlight w:val="none"/>
          <w:lang w:val="en-US" w:eastAsia="zh-CN"/>
        </w:rPr>
        <w:t>5</w:t>
      </w:r>
      <w:r>
        <w:rPr>
          <w:rFonts w:hint="eastAsia"/>
          <w:sz w:val="32"/>
          <w:szCs w:val="32"/>
          <w:highlight w:val="none"/>
        </w:rPr>
        <w:t>分，得分率为100%。</w:t>
      </w:r>
    </w:p>
    <w:p w14:paraId="114886F1">
      <w:pPr>
        <w:keepNext/>
        <w:keepLines/>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val="0"/>
          <w:sz w:val="32"/>
          <w:szCs w:val="32"/>
          <w:highlight w:val="none"/>
          <w:lang w:val="en-US" w:eastAsia="zh-CN"/>
        </w:rPr>
      </w:pPr>
      <w:r>
        <w:rPr>
          <w:rFonts w:hint="eastAsia" w:cs="仿宋_GB2312"/>
          <w:b/>
          <w:bCs w:val="0"/>
          <w:sz w:val="32"/>
          <w:szCs w:val="32"/>
          <w:highlight w:val="none"/>
          <w:lang w:val="en-US" w:eastAsia="zh-CN"/>
        </w:rPr>
        <w:t>4.</w:t>
      </w:r>
      <w:r>
        <w:rPr>
          <w:rFonts w:hint="eastAsia" w:ascii="仿宋_GB2312" w:hAnsi="仿宋_GB2312" w:eastAsia="仿宋_GB2312" w:cs="仿宋_GB2312"/>
          <w:b/>
          <w:bCs w:val="0"/>
          <w:sz w:val="32"/>
          <w:szCs w:val="32"/>
          <w:highlight w:val="none"/>
          <w:lang w:val="en-US" w:eastAsia="zh-CN"/>
        </w:rPr>
        <w:t>偏离绩效目标的原因及下一步改进措施</w:t>
      </w:r>
    </w:p>
    <w:p w14:paraId="31ACD7AF">
      <w:pPr>
        <w:keepNext/>
        <w:keepLines/>
        <w:pageBreakBefore w:val="0"/>
        <w:widowControl w:val="0"/>
        <w:kinsoku/>
        <w:wordWrap/>
        <w:overflowPunct/>
        <w:topLinePunct w:val="0"/>
        <w:autoSpaceDE w:val="0"/>
        <w:autoSpaceDN w:val="0"/>
        <w:bidi w:val="0"/>
        <w:adjustRightInd/>
        <w:snapToGrid/>
        <w:spacing w:line="560" w:lineRule="exact"/>
        <w:ind w:firstLine="960" w:firstLineChars="300"/>
        <w:textAlignment w:val="auto"/>
        <w:outlineLvl w:val="9"/>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无。</w:t>
      </w:r>
    </w:p>
    <w:p w14:paraId="4661974B">
      <w:pPr>
        <w:pStyle w:val="4"/>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eastAsia="zh-CN"/>
        </w:rPr>
      </w:pPr>
      <w:bookmarkStart w:id="67" w:name="_Toc9667"/>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lang w:val="en-US" w:eastAsia="zh-CN"/>
        </w:rPr>
        <w:t>法庭运维费</w:t>
      </w:r>
      <w:bookmarkEnd w:id="67"/>
    </w:p>
    <w:p w14:paraId="58F7278E">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本次绩效自评综合评定</w:t>
      </w:r>
      <w:r>
        <w:rPr>
          <w:rFonts w:hint="eastAsia" w:ascii="仿宋_GB2312" w:hAnsi="仿宋_GB2312" w:cs="仿宋_GB2312"/>
          <w:sz w:val="32"/>
          <w:szCs w:val="32"/>
          <w:highlight w:val="none"/>
          <w:lang w:val="en-US" w:eastAsia="zh-CN"/>
        </w:rPr>
        <w:t>法庭运维费项目</w:t>
      </w:r>
      <w:r>
        <w:rPr>
          <w:rFonts w:hint="eastAsia" w:ascii="仿宋_GB2312" w:hAnsi="仿宋_GB2312" w:eastAsia="仿宋_GB2312" w:cs="仿宋_GB2312"/>
          <w:sz w:val="32"/>
          <w:szCs w:val="32"/>
          <w:highlight w:val="none"/>
        </w:rPr>
        <w:t>绩效得分为</w:t>
      </w:r>
      <w:r>
        <w:rPr>
          <w:rFonts w:hint="eastAsia" w:ascii="仿宋_GB2312" w:hAnsi="仿宋_GB2312" w:cs="仿宋_GB2312"/>
          <w:sz w:val="32"/>
          <w:szCs w:val="32"/>
          <w:highlight w:val="none"/>
          <w:lang w:val="en-US" w:eastAsia="zh-CN"/>
        </w:rPr>
        <w:t>89.96</w:t>
      </w:r>
      <w:r>
        <w:rPr>
          <w:rFonts w:hint="eastAsia" w:ascii="仿宋_GB2312" w:hAnsi="仿宋_GB2312" w:eastAsia="仿宋_GB2312" w:cs="仿宋_GB2312"/>
          <w:sz w:val="32"/>
          <w:szCs w:val="32"/>
          <w:highlight w:val="none"/>
        </w:rPr>
        <w:t>分，绩效等级为“</w:t>
      </w:r>
      <w:r>
        <w:rPr>
          <w:rFonts w:hint="eastAsia" w:cs="仿宋_GB2312"/>
          <w:sz w:val="32"/>
          <w:szCs w:val="32"/>
          <w:highlight w:val="none"/>
          <w:lang w:val="en-US" w:eastAsia="zh-CN"/>
        </w:rPr>
        <w:t>良</w:t>
      </w:r>
      <w:r>
        <w:rPr>
          <w:rFonts w:hint="eastAsia" w:ascii="仿宋_GB2312" w:hAnsi="仿宋_GB2312" w:eastAsia="仿宋_GB2312" w:cs="仿宋_GB2312"/>
          <w:sz w:val="32"/>
          <w:szCs w:val="32"/>
          <w:highlight w:val="none"/>
        </w:rPr>
        <w:t>”。项目支出绩效评价包括项目资金预算执行率、</w:t>
      </w:r>
      <w:r>
        <w:rPr>
          <w:rFonts w:hint="eastAsia" w:ascii="仿宋_GB2312" w:hAnsi="仿宋_GB2312" w:cs="仿宋_GB2312"/>
          <w:sz w:val="32"/>
          <w:szCs w:val="32"/>
          <w:highlight w:val="none"/>
          <w:lang w:val="en-US" w:eastAsia="zh-CN"/>
        </w:rPr>
        <w:t>成本、</w:t>
      </w:r>
      <w:r>
        <w:rPr>
          <w:rFonts w:hint="eastAsia" w:ascii="仿宋_GB2312" w:hAnsi="仿宋_GB2312" w:eastAsia="仿宋_GB2312" w:cs="仿宋_GB2312"/>
          <w:sz w:val="32"/>
          <w:szCs w:val="32"/>
          <w:highlight w:val="none"/>
        </w:rPr>
        <w:t>产出、效益、满意度</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个一级指标，下设</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个二级指标和</w:t>
      </w:r>
      <w:r>
        <w:rPr>
          <w:rFonts w:hint="eastAsia" w:ascii="仿宋_GB2312" w:hAnsi="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个三级指标。项目资金预算执行率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%，一级指标得分情况详见下表 ：</w:t>
      </w:r>
    </w:p>
    <w:tbl>
      <w:tblPr>
        <w:tblStyle w:val="2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6B4FBB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32ADABB1">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14:paraId="32950D73">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14:paraId="45D251DA">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14:paraId="40073D99">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14:paraId="4A249C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1BBCDC6C">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14:paraId="71FE416C">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14:paraId="1FB27BE8">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4.72</w:t>
            </w:r>
          </w:p>
        </w:tc>
        <w:tc>
          <w:tcPr>
            <w:tcW w:w="2268" w:type="dxa"/>
            <w:vAlign w:val="center"/>
          </w:tcPr>
          <w:p w14:paraId="482C14C9">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47.2</w:t>
            </w:r>
            <w:r>
              <w:rPr>
                <w:rFonts w:hint="eastAsia" w:ascii="宋体" w:hAnsi="宋体" w:eastAsia="宋体" w:cs="宋体"/>
                <w:color w:val="000000"/>
                <w:kern w:val="0"/>
                <w:sz w:val="22"/>
                <w:szCs w:val="22"/>
                <w:highlight w:val="none"/>
              </w:rPr>
              <w:t>%</w:t>
            </w:r>
          </w:p>
        </w:tc>
      </w:tr>
      <w:tr w14:paraId="2F9D71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14:paraId="12E67F9F">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成本指标</w:t>
            </w:r>
          </w:p>
        </w:tc>
        <w:tc>
          <w:tcPr>
            <w:tcW w:w="1678" w:type="dxa"/>
            <w:vAlign w:val="center"/>
          </w:tcPr>
          <w:p w14:paraId="4E4D6050">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518D381C">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15.24</w:t>
            </w:r>
          </w:p>
        </w:tc>
        <w:tc>
          <w:tcPr>
            <w:tcW w:w="2268" w:type="dxa"/>
            <w:vAlign w:val="center"/>
          </w:tcPr>
          <w:p w14:paraId="50B4192B">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76.2</w:t>
            </w:r>
            <w:r>
              <w:rPr>
                <w:rFonts w:hint="eastAsia" w:ascii="宋体" w:hAnsi="宋体" w:eastAsia="宋体" w:cs="宋体"/>
                <w:color w:val="000000"/>
                <w:kern w:val="0"/>
                <w:sz w:val="22"/>
                <w:szCs w:val="22"/>
                <w:highlight w:val="none"/>
              </w:rPr>
              <w:t>%</w:t>
            </w:r>
          </w:p>
        </w:tc>
      </w:tr>
      <w:tr w14:paraId="4BE450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57192C4">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1FA9639C">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560" w:type="dxa"/>
            <w:vAlign w:val="center"/>
          </w:tcPr>
          <w:p w14:paraId="54278E35">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2268" w:type="dxa"/>
            <w:vAlign w:val="center"/>
          </w:tcPr>
          <w:p w14:paraId="6204EC38">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0659FC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F5D0164">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效益指标</w:t>
            </w:r>
          </w:p>
        </w:tc>
        <w:tc>
          <w:tcPr>
            <w:tcW w:w="1678" w:type="dxa"/>
            <w:vAlign w:val="center"/>
          </w:tcPr>
          <w:p w14:paraId="2A55C953">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560" w:type="dxa"/>
            <w:vAlign w:val="center"/>
          </w:tcPr>
          <w:p w14:paraId="1B1E7577">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2268" w:type="dxa"/>
            <w:vAlign w:val="center"/>
          </w:tcPr>
          <w:p w14:paraId="2617FB9A">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538621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FBF3ADD">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14:paraId="13D6503B">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0</w:t>
            </w:r>
          </w:p>
        </w:tc>
        <w:tc>
          <w:tcPr>
            <w:tcW w:w="1560" w:type="dxa"/>
            <w:vAlign w:val="center"/>
          </w:tcPr>
          <w:p w14:paraId="23079AD2">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14:paraId="145DCBAE">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330A2A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7F7C77BE">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14:paraId="021576DE">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14:paraId="053BE68F">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89.96</w:t>
            </w:r>
          </w:p>
        </w:tc>
        <w:tc>
          <w:tcPr>
            <w:tcW w:w="2268" w:type="dxa"/>
            <w:shd w:val="clear" w:color="auto" w:fill="BDD6EE"/>
            <w:vAlign w:val="center"/>
          </w:tcPr>
          <w:p w14:paraId="3DDFDD74">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89.96</w:t>
            </w:r>
            <w:r>
              <w:rPr>
                <w:rFonts w:hint="eastAsia" w:ascii="宋体" w:hAnsi="宋体" w:eastAsia="宋体" w:cs="宋体"/>
                <w:b/>
                <w:color w:val="000000"/>
                <w:kern w:val="0"/>
                <w:sz w:val="22"/>
                <w:szCs w:val="22"/>
                <w:highlight w:val="none"/>
              </w:rPr>
              <w:t>%</w:t>
            </w:r>
          </w:p>
        </w:tc>
      </w:tr>
    </w:tbl>
    <w:p w14:paraId="4C7DAD7B">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项目支出预算执行情况</w:t>
      </w:r>
    </w:p>
    <w:p w14:paraId="6356645C">
      <w:pP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法庭运维费</w:t>
      </w: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w:t>
      </w:r>
      <w:r>
        <w:rPr>
          <w:rFonts w:hint="eastAsia" w:ascii="仿宋_GB2312" w:hAnsi="仿宋_GB2312" w:cs="仿宋_GB2312"/>
          <w:sz w:val="32"/>
          <w:szCs w:val="32"/>
          <w:highlight w:val="none"/>
          <w:lang w:val="en-US" w:eastAsia="zh-CN"/>
        </w:rPr>
        <w:t>数16</w:t>
      </w:r>
      <w:r>
        <w:rPr>
          <w:rFonts w:hint="eastAsia" w:cs="仿宋_GB2312"/>
          <w:sz w:val="32"/>
          <w:szCs w:val="32"/>
          <w:highlight w:val="none"/>
          <w:lang w:val="en-US" w:eastAsia="zh-CN"/>
        </w:rPr>
        <w:t>.00</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val="en-US" w:eastAsia="zh-CN"/>
        </w:rPr>
        <w:t>上年无结转资金，当年财政拨款16</w:t>
      </w:r>
      <w:r>
        <w:rPr>
          <w:rFonts w:hint="eastAsia" w:cs="仿宋_GB2312"/>
          <w:sz w:val="32"/>
          <w:szCs w:val="32"/>
          <w:highlight w:val="none"/>
          <w:lang w:val="en-US" w:eastAsia="zh-CN"/>
        </w:rPr>
        <w:t>.00</w:t>
      </w:r>
      <w:r>
        <w:rPr>
          <w:rFonts w:hint="eastAsia" w:ascii="仿宋_GB2312" w:hAnsi="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全年支出</w:t>
      </w:r>
      <w:r>
        <w:rPr>
          <w:rFonts w:hint="eastAsia" w:ascii="仿宋_GB2312" w:hAnsi="仿宋_GB2312" w:cs="仿宋_GB2312"/>
          <w:sz w:val="32"/>
          <w:szCs w:val="32"/>
          <w:highlight w:val="none"/>
          <w:lang w:val="en-US" w:eastAsia="zh-CN"/>
        </w:rPr>
        <w:t>7.55</w:t>
      </w:r>
      <w:r>
        <w:rPr>
          <w:rFonts w:hint="eastAsia" w:ascii="仿宋_GB2312" w:hAnsi="仿宋_GB2312" w:eastAsia="仿宋_GB2312" w:cs="仿宋_GB2312"/>
          <w:sz w:val="32"/>
          <w:szCs w:val="32"/>
          <w:highlight w:val="none"/>
        </w:rPr>
        <w:t>万元，预算执行率</w:t>
      </w:r>
      <w:r>
        <w:rPr>
          <w:rFonts w:hint="eastAsia" w:ascii="仿宋_GB2312" w:hAnsi="仿宋_GB2312" w:cs="仿宋_GB2312"/>
          <w:sz w:val="32"/>
          <w:szCs w:val="32"/>
          <w:highlight w:val="none"/>
          <w:lang w:val="en-US" w:eastAsia="zh-CN"/>
        </w:rPr>
        <w:t>47.19</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指标分值10分，自评得分4.72分，得分率47.2%</w:t>
      </w:r>
      <w:r>
        <w:rPr>
          <w:rFonts w:hint="eastAsia" w:ascii="仿宋_GB2312" w:hAnsi="仿宋_GB2312" w:eastAsia="仿宋_GB2312" w:cs="仿宋_GB2312"/>
          <w:sz w:val="32"/>
          <w:szCs w:val="32"/>
          <w:highlight w:val="none"/>
        </w:rPr>
        <w:t>。</w:t>
      </w:r>
    </w:p>
    <w:p w14:paraId="54D9BDDB">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2.总体绩效目标完成情况分析</w:t>
      </w:r>
    </w:p>
    <w:p w14:paraId="5D50D2A5">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项目总体绩效目标为：</w:t>
      </w:r>
      <w:r>
        <w:rPr>
          <w:rFonts w:hint="eastAsia" w:ascii="仿宋_GB2312" w:hAnsi="仿宋_GB2312" w:eastAsia="仿宋_GB2312" w:cs="仿宋_GB2312"/>
          <w:sz w:val="32"/>
          <w:szCs w:val="32"/>
          <w:highlight w:val="none"/>
        </w:rPr>
        <w:t>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r>
        <w:rPr>
          <w:rFonts w:hint="eastAsia" w:ascii="仿宋_GB2312" w:hAnsi="仿宋_GB2312" w:eastAsia="仿宋_GB2312" w:cs="仿宋_GB2312"/>
          <w:sz w:val="32"/>
          <w:szCs w:val="32"/>
          <w:highlight w:val="none"/>
        </w:rPr>
        <w:tab/>
      </w:r>
      <w:r>
        <w:rPr>
          <w:rFonts w:hint="eastAsia"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2023年实际完成情况：</w:t>
      </w:r>
      <w:r>
        <w:rPr>
          <w:rFonts w:hint="eastAsia" w:ascii="仿宋_GB2312" w:hAnsi="仿宋_GB2312" w:eastAsia="仿宋_GB2312" w:cs="仿宋_GB2312"/>
          <w:sz w:val="32"/>
          <w:szCs w:val="32"/>
          <w:highlight w:val="none"/>
          <w:lang w:val="en-US" w:eastAsia="zh-CN"/>
        </w:rPr>
        <w:t>我院通过对主要用于法庭办公费、水电费、邮电费、租赁费、差旅费、劳务费等费用支出。为改善本院管辖范围之内的基层人民法庭办案办公条件，提供了稳定的经费保障，方便了人民群众诉讼服务，有效地维护了社会和谐稳定。与预期的预算计划完全一致。</w:t>
      </w:r>
    </w:p>
    <w:p w14:paraId="7C9E9B48">
      <w:pPr>
        <w:pStyle w:val="6"/>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3.各项指标完成情况分析</w:t>
      </w:r>
    </w:p>
    <w:p w14:paraId="2F018AF0">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1</w:t>
      </w: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项目成本指标完成情况分析</w:t>
      </w:r>
    </w:p>
    <w:p w14:paraId="1027D183">
      <w:pPr>
        <w:keepNext/>
        <w:keepLines/>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sz w:val="32"/>
          <w:szCs w:val="32"/>
          <w:highlight w:val="none"/>
          <w:lang w:val="en-US" w:eastAsia="zh-CN"/>
        </w:rPr>
        <w:t>项目</w:t>
      </w:r>
      <w:r>
        <w:rPr>
          <w:rFonts w:hint="eastAsia" w:ascii="仿宋_GB2312" w:hAnsi="仿宋_GB2312" w:eastAsia="仿宋_GB2312" w:cs="仿宋_GB2312"/>
          <w:b w:val="0"/>
          <w:kern w:val="2"/>
          <w:sz w:val="32"/>
          <w:szCs w:val="32"/>
          <w:highlight w:val="none"/>
          <w:lang w:val="en-US" w:eastAsia="zh-CN" w:bidi="ar-SA"/>
        </w:rPr>
        <w:t>成本指标包括经济成本指标</w:t>
      </w:r>
      <w:r>
        <w:rPr>
          <w:rFonts w:hint="eastAsia" w:ascii="仿宋_GB2312" w:hAnsi="仿宋_GB2312" w:cs="仿宋_GB2312"/>
          <w:b w:val="0"/>
          <w:kern w:val="2"/>
          <w:sz w:val="32"/>
          <w:szCs w:val="32"/>
          <w:highlight w:val="none"/>
          <w:lang w:val="en-US" w:eastAsia="zh-CN" w:bidi="ar-SA"/>
        </w:rPr>
        <w:t>2</w:t>
      </w:r>
      <w:r>
        <w:rPr>
          <w:rFonts w:hint="eastAsia" w:ascii="仿宋_GB2312" w:hAnsi="仿宋_GB2312" w:eastAsia="仿宋_GB2312" w:cs="仿宋_GB2312"/>
          <w:b w:val="0"/>
          <w:kern w:val="2"/>
          <w:sz w:val="32"/>
          <w:szCs w:val="32"/>
          <w:highlight w:val="none"/>
          <w:lang w:val="en-US" w:eastAsia="zh-CN" w:bidi="ar-SA"/>
        </w:rPr>
        <w:t>个二级指标，下设</w:t>
      </w:r>
      <w:r>
        <w:rPr>
          <w:rFonts w:hint="eastAsia" w:ascii="仿宋_GB2312" w:hAnsi="仿宋_GB2312" w:cs="仿宋_GB2312"/>
          <w:b w:val="0"/>
          <w:kern w:val="2"/>
          <w:sz w:val="32"/>
          <w:szCs w:val="32"/>
          <w:highlight w:val="none"/>
          <w:lang w:val="en-US" w:eastAsia="zh-CN" w:bidi="ar-SA"/>
        </w:rPr>
        <w:t>2</w:t>
      </w:r>
      <w:r>
        <w:rPr>
          <w:rFonts w:hint="eastAsia" w:ascii="仿宋_GB2312" w:hAnsi="仿宋_GB2312" w:eastAsia="仿宋_GB2312" w:cs="仿宋_GB2312"/>
          <w:b w:val="0"/>
          <w:kern w:val="2"/>
          <w:sz w:val="32"/>
          <w:szCs w:val="32"/>
          <w:highlight w:val="none"/>
          <w:lang w:val="en-US" w:eastAsia="zh-CN" w:bidi="ar-SA"/>
        </w:rPr>
        <w:t>个</w:t>
      </w:r>
      <w:r>
        <w:rPr>
          <w:rFonts w:hint="eastAsia" w:ascii="仿宋_GB2312" w:hAnsi="仿宋_GB2312" w:cs="仿宋_GB2312"/>
          <w:b w:val="0"/>
          <w:kern w:val="2"/>
          <w:sz w:val="32"/>
          <w:szCs w:val="32"/>
          <w:highlight w:val="none"/>
          <w:lang w:val="en-US" w:eastAsia="zh-CN" w:bidi="ar-SA"/>
        </w:rPr>
        <w:t>三</w:t>
      </w:r>
      <w:r>
        <w:rPr>
          <w:rFonts w:hint="eastAsia" w:ascii="仿宋_GB2312" w:hAnsi="仿宋_GB2312" w:eastAsia="仿宋_GB2312" w:cs="仿宋_GB2312"/>
          <w:b w:val="0"/>
          <w:kern w:val="2"/>
          <w:sz w:val="32"/>
          <w:szCs w:val="32"/>
          <w:highlight w:val="none"/>
          <w:lang w:val="en-US" w:eastAsia="zh-CN" w:bidi="ar-SA"/>
        </w:rPr>
        <w:t>级指标，指标分值20分，自评得分</w:t>
      </w:r>
      <w:r>
        <w:rPr>
          <w:rFonts w:hint="eastAsia" w:ascii="仿宋_GB2312" w:hAnsi="仿宋_GB2312" w:cs="仿宋_GB2312"/>
          <w:b w:val="0"/>
          <w:kern w:val="2"/>
          <w:sz w:val="32"/>
          <w:szCs w:val="32"/>
          <w:highlight w:val="none"/>
          <w:lang w:val="en-US" w:eastAsia="zh-CN" w:bidi="ar-SA"/>
        </w:rPr>
        <w:t>15.24</w:t>
      </w:r>
      <w:r>
        <w:rPr>
          <w:rFonts w:hint="eastAsia" w:ascii="仿宋_GB2312" w:hAnsi="仿宋_GB2312" w:eastAsia="仿宋_GB2312" w:cs="仿宋_GB2312"/>
          <w:b w:val="0"/>
          <w:kern w:val="2"/>
          <w:sz w:val="32"/>
          <w:szCs w:val="32"/>
          <w:highlight w:val="none"/>
          <w:lang w:val="en-US" w:eastAsia="zh-CN" w:bidi="ar-SA"/>
        </w:rPr>
        <w:t>分，得分率</w:t>
      </w:r>
      <w:r>
        <w:rPr>
          <w:rFonts w:hint="eastAsia" w:ascii="仿宋_GB2312" w:hAnsi="仿宋_GB2312" w:cs="仿宋_GB2312"/>
          <w:b w:val="0"/>
          <w:kern w:val="2"/>
          <w:sz w:val="32"/>
          <w:szCs w:val="32"/>
          <w:highlight w:val="none"/>
          <w:lang w:val="en-US" w:eastAsia="zh-CN" w:bidi="ar-SA"/>
        </w:rPr>
        <w:t>76.2%</w:t>
      </w:r>
      <w:r>
        <w:rPr>
          <w:rFonts w:hint="eastAsia" w:ascii="仿宋_GB2312" w:hAnsi="仿宋_GB2312" w:eastAsia="仿宋_GB2312" w:cs="仿宋_GB2312"/>
          <w:b w:val="0"/>
          <w:kern w:val="2"/>
          <w:sz w:val="32"/>
          <w:szCs w:val="32"/>
          <w:highlight w:val="none"/>
          <w:lang w:val="en-US" w:eastAsia="zh-CN" w:bidi="ar-SA"/>
        </w:rPr>
        <w:t>。</w:t>
      </w:r>
    </w:p>
    <w:p w14:paraId="08832C85">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eastAsia" w:ascii="仿宋_GB2312" w:hAnsi="仿宋_GB2312" w:cs="仿宋_GB2312"/>
          <w:b/>
          <w:bCs/>
          <w:kern w:val="2"/>
          <w:sz w:val="32"/>
          <w:szCs w:val="32"/>
          <w:highlight w:val="none"/>
          <w:lang w:val="en-US" w:eastAsia="zh-CN" w:bidi="ar-SA"/>
        </w:rPr>
        <w:t>年度预算控制</w:t>
      </w:r>
      <w:r>
        <w:rPr>
          <w:rFonts w:hint="eastAsia" w:ascii="仿宋_GB2312" w:hAnsi="仿宋_GB2312" w:eastAsia="仿宋_GB2312" w:cs="仿宋_GB2312"/>
          <w:b/>
          <w:bCs/>
          <w:kern w:val="2"/>
          <w:sz w:val="32"/>
          <w:szCs w:val="32"/>
          <w:highlight w:val="none"/>
          <w:lang w:val="en-US" w:eastAsia="zh-CN" w:bidi="ar-SA"/>
        </w:rPr>
        <w:t>率</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年度指标值≥90%，实际完成值为47.19%，指标分值10分，自评得分5.24，得分率52.4%。</w:t>
      </w:r>
    </w:p>
    <w:p w14:paraId="685D4491">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default" w:ascii="仿宋_GB2312" w:hAnsi="仿宋_GB2312" w:cs="仿宋_GB2312"/>
          <w:b w:val="0"/>
          <w:kern w:val="2"/>
          <w:sz w:val="32"/>
          <w:szCs w:val="32"/>
          <w:highlight w:val="none"/>
          <w:lang w:val="en-US" w:eastAsia="zh-CN" w:bidi="ar-SA"/>
        </w:rPr>
      </w:pPr>
      <w:r>
        <w:rPr>
          <w:rFonts w:hint="default" w:ascii="仿宋_GB2312" w:hAnsi="仿宋_GB2312" w:cs="仿宋_GB2312"/>
          <w:b/>
          <w:bCs/>
          <w:kern w:val="2"/>
          <w:sz w:val="32"/>
          <w:szCs w:val="32"/>
          <w:highlight w:val="none"/>
          <w:lang w:val="en-US" w:eastAsia="zh-CN" w:bidi="ar-SA"/>
        </w:rPr>
        <w:t>有效保障审判服务</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kern w:val="2"/>
          <w:sz w:val="32"/>
          <w:szCs w:val="32"/>
          <w:highlight w:val="none"/>
          <w:lang w:val="en-US" w:eastAsia="zh-CN" w:bidi="ar-SA"/>
        </w:rPr>
        <w:t>我院保障基层法庭的正常运行，后勤保障能力得到提升，水电暖运行通畅，日常维修维护及时，有效保障审判服务。指标分值10分，自评得分10分</w:t>
      </w:r>
      <w:r>
        <w:rPr>
          <w:rFonts w:hint="eastAsia" w:ascii="仿宋_GB2312" w:hAnsi="仿宋_GB2312" w:eastAsia="仿宋_GB2312" w:cs="仿宋_GB2312"/>
          <w:sz w:val="32"/>
          <w:szCs w:val="32"/>
          <w:highlight w:val="none"/>
        </w:rPr>
        <w:t>，得分率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0599DE3">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）项目产出指标完成情况分析</w:t>
      </w:r>
    </w:p>
    <w:p w14:paraId="2B0D88B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项目产出指标包括数量、质量、时效</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个三级指标。指标分值</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分，自评得分</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2028CD4C">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1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①</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产出数量</w:t>
      </w:r>
    </w:p>
    <w:p w14:paraId="7E880B0A">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保障基层法庭个数</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年度指标值=2个</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完成值2个，指标分值5分，自评得分5分</w:t>
      </w:r>
      <w:r>
        <w:rPr>
          <w:rFonts w:hint="eastAsia"/>
          <w:sz w:val="32"/>
          <w:szCs w:val="32"/>
          <w:highlight w:val="none"/>
        </w:rPr>
        <w:t>，得分率为100%。</w:t>
      </w:r>
    </w:p>
    <w:p w14:paraId="288E9C4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维修维护工作完成率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w:t>
      </w:r>
      <w:r>
        <w:rPr>
          <w:rFonts w:hint="eastAsia" w:cs="仿宋_GB2312"/>
          <w:sz w:val="32"/>
          <w:szCs w:val="32"/>
          <w:highlight w:val="none"/>
          <w:lang w:val="en-US" w:eastAsia="zh-CN"/>
        </w:rPr>
        <w:t>≥</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val="en-US" w:eastAsia="zh-CN"/>
        </w:rPr>
        <w:t>，实际</w:t>
      </w:r>
      <w:r>
        <w:rPr>
          <w:rFonts w:hint="eastAsia" w:ascii="仿宋_GB2312" w:hAnsi="仿宋_GB2312" w:cs="仿宋_GB2312"/>
          <w:sz w:val="32"/>
          <w:szCs w:val="32"/>
          <w:highlight w:val="none"/>
          <w:lang w:val="en-US" w:eastAsia="zh-CN"/>
        </w:rPr>
        <w:t>完成100</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5A08BB57">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2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②</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产出质量</w:t>
      </w:r>
    </w:p>
    <w:p w14:paraId="4ED980F6">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法庭正常运转保障率</w:t>
      </w:r>
      <w:r>
        <w:rPr>
          <w:rFonts w:hint="eastAsia" w:ascii="仿宋_GB2312" w:hAnsi="仿宋_GB2312" w:cs="仿宋_GB2312"/>
          <w:b/>
          <w:bCs/>
          <w:sz w:val="32"/>
          <w:szCs w:val="32"/>
          <w:highlight w:val="none"/>
          <w:lang w:eastAsia="zh-CN"/>
        </w:rPr>
        <w:t>：</w:t>
      </w:r>
      <w:r>
        <w:rPr>
          <w:rFonts w:hint="eastAsia" w:ascii="仿宋_GB2312" w:hAnsi="仿宋_GB2312" w:cs="仿宋_GB2312"/>
          <w:sz w:val="32"/>
          <w:szCs w:val="32"/>
          <w:highlight w:val="none"/>
          <w:lang w:val="en-US" w:eastAsia="zh-CN"/>
        </w:rPr>
        <w:t>年度指标值=100%</w:t>
      </w:r>
      <w:r>
        <w:rPr>
          <w:rFonts w:hint="eastAsia" w:ascii="仿宋_GB2312" w:hAnsi="仿宋_GB2312" w:eastAsia="仿宋_GB2312" w:cs="仿宋_GB2312"/>
          <w:sz w:val="32"/>
          <w:szCs w:val="32"/>
          <w:highlight w:val="none"/>
          <w:lang w:val="en-US" w:eastAsia="zh-CN"/>
        </w:rPr>
        <w:t>，实际完成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4C7DE2A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100%，实际完成100%</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757405D4">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维修维护合格率</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100%，实际完成</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462E2DA8">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 3 \* GB3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③</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产出时效</w:t>
      </w:r>
    </w:p>
    <w:p w14:paraId="62F735AB">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法庭运维及时性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40097430">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rPr>
      </w:pPr>
      <w:r>
        <w:rPr>
          <w:rFonts w:hint="eastAsia" w:ascii="仿宋_GB2312" w:hAnsi="仿宋_GB2312" w:eastAsia="仿宋_GB2312" w:cs="仿宋_GB2312"/>
          <w:b/>
          <w:bCs/>
          <w:sz w:val="32"/>
          <w:szCs w:val="32"/>
          <w:highlight w:val="none"/>
          <w:lang w:val="en-US" w:eastAsia="zh-CN"/>
        </w:rPr>
        <w:t>日常维护工作完成及时性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及时，实际完成100%</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1FA17CD8">
      <w:pPr>
        <w:keepNext w:val="0"/>
        <w:keepLines w:val="0"/>
        <w:pageBreakBefore w:val="0"/>
        <w:widowControl w:val="0"/>
        <w:kinsoku/>
        <w:wordWrap/>
        <w:overflowPunct/>
        <w:topLinePunct w:val="0"/>
        <w:autoSpaceDE w:val="0"/>
        <w:autoSpaceDN w:val="0"/>
        <w:bidi w:val="0"/>
        <w:adjustRightInd/>
        <w:snapToGrid/>
        <w:textAlignment w:val="auto"/>
        <w:rPr>
          <w:rFonts w:hint="eastAsia"/>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水电暖服务保障工作及时性</w:t>
      </w:r>
      <w:r>
        <w:rPr>
          <w:rFonts w:hint="eastAsia" w:ascii="仿宋_GB2312" w:hAnsi="仿宋_GB2312" w:cs="仿宋_GB2312"/>
          <w:b/>
          <w:bCs/>
          <w:sz w:val="32"/>
          <w:szCs w:val="32"/>
          <w:highlight w:val="none"/>
          <w:lang w:val="en-US" w:eastAsia="zh-CN"/>
        </w:rPr>
        <w:t>：</w:t>
      </w:r>
      <w:r>
        <w:rPr>
          <w:rFonts w:hint="eastAsia" w:ascii="仿宋_GB2312" w:hAnsi="仿宋_GB2312" w:cs="仿宋_GB2312"/>
          <w:sz w:val="32"/>
          <w:szCs w:val="32"/>
          <w:highlight w:val="none"/>
          <w:lang w:val="en-US" w:eastAsia="zh-CN"/>
        </w:rPr>
        <w:t>年度指标值及时</w:t>
      </w:r>
      <w:r>
        <w:rPr>
          <w:rFonts w:hint="eastAsia" w:ascii="仿宋_GB2312" w:hAnsi="仿宋_GB2312" w:eastAsia="仿宋_GB2312" w:cs="仿宋_GB2312"/>
          <w:sz w:val="32"/>
          <w:szCs w:val="32"/>
          <w:highlight w:val="none"/>
          <w:lang w:val="en-US" w:eastAsia="zh-CN"/>
        </w:rPr>
        <w:t>，实际完成100%</w:t>
      </w:r>
      <w:r>
        <w:rPr>
          <w:rFonts w:hint="eastAsia" w:ascii="仿宋_GB2312" w:hAnsi="仿宋_GB2312" w:cs="仿宋_GB2312"/>
          <w:sz w:val="32"/>
          <w:szCs w:val="32"/>
          <w:highlight w:val="none"/>
          <w:lang w:val="en-US" w:eastAsia="zh-CN"/>
        </w:rPr>
        <w:t>，指标分值5分，自评得分5分</w:t>
      </w:r>
      <w:r>
        <w:rPr>
          <w:rFonts w:hint="eastAsia"/>
          <w:sz w:val="32"/>
          <w:szCs w:val="32"/>
          <w:highlight w:val="none"/>
        </w:rPr>
        <w:t>，得分率为100%。</w:t>
      </w:r>
    </w:p>
    <w:p w14:paraId="3AC4FD50">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）项目效益指标完成情况分析</w:t>
      </w:r>
    </w:p>
    <w:p w14:paraId="18B928A9">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项目效益指标包括</w:t>
      </w:r>
      <w:r>
        <w:rPr>
          <w:rFonts w:hint="eastAsia" w:ascii="仿宋_GB2312" w:hAnsi="仿宋_GB2312" w:cs="仿宋_GB2312"/>
          <w:sz w:val="32"/>
          <w:szCs w:val="32"/>
          <w:highlight w:val="none"/>
          <w:lang w:val="en-US" w:eastAsia="zh-CN"/>
        </w:rPr>
        <w:t>生态</w:t>
      </w:r>
      <w:r>
        <w:rPr>
          <w:rFonts w:hint="eastAsia" w:ascii="仿宋_GB2312" w:hAnsi="仿宋_GB2312" w:eastAsia="仿宋_GB2312" w:cs="仿宋_GB2312"/>
          <w:sz w:val="32"/>
          <w:szCs w:val="32"/>
          <w:highlight w:val="none"/>
        </w:rPr>
        <w:t>效益</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个二级指标，下设</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个三级指标。指标分值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C75F4CA">
      <w:pPr>
        <w:keepNext w:val="0"/>
        <w:keepLines w:val="0"/>
        <w:pageBreakBefore w:val="0"/>
        <w:widowControl w:val="0"/>
        <w:kinsoku/>
        <w:wordWrap/>
        <w:overflowPunct/>
        <w:topLinePunct w:val="0"/>
        <w:autoSpaceDE w:val="0"/>
        <w:autoSpaceDN w:val="0"/>
        <w:bidi w:val="0"/>
        <w:adjustRightInd/>
        <w:snapToGrid/>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b/>
          <w:bCs/>
          <w:sz w:val="32"/>
          <w:szCs w:val="32"/>
          <w:highlight w:val="none"/>
          <w:lang w:val="en-US" w:eastAsia="zh-CN"/>
        </w:rPr>
        <w:t>保障林区生态安全：</w:t>
      </w:r>
      <w:r>
        <w:rPr>
          <w:rFonts w:hint="eastAsia" w:ascii="仿宋_GB2312" w:hAnsi="仿宋_GB2312" w:cs="仿宋_GB2312"/>
          <w:sz w:val="32"/>
          <w:szCs w:val="32"/>
          <w:highlight w:val="none"/>
          <w:lang w:val="en-US" w:eastAsia="zh-CN"/>
        </w:rPr>
        <w:t>年度指标值</w:t>
      </w:r>
      <w:r>
        <w:rPr>
          <w:rFonts w:hint="eastAsia" w:ascii="仿宋_GB2312" w:hAnsi="仿宋_GB2312" w:eastAsia="仿宋_GB2312" w:cs="仿宋_GB2312"/>
          <w:sz w:val="32"/>
          <w:szCs w:val="32"/>
          <w:highlight w:val="none"/>
          <w:lang w:val="en-US" w:eastAsia="zh-CN"/>
        </w:rPr>
        <w:t>有效保障</w:t>
      </w:r>
      <w:r>
        <w:rPr>
          <w:rFonts w:hint="eastAsia" w:ascii="仿宋_GB2312" w:hAnsi="仿宋_GB2312" w:cs="仿宋_GB2312"/>
          <w:sz w:val="32"/>
          <w:szCs w:val="32"/>
          <w:highlight w:val="none"/>
          <w:lang w:val="en-US" w:eastAsia="zh-CN"/>
        </w:rPr>
        <w:t>，实际完成100%，指标分值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分，自评得分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cs="仿宋_GB2312"/>
          <w:sz w:val="32"/>
          <w:szCs w:val="32"/>
          <w:highlight w:val="none"/>
          <w:lang w:val="en-US" w:eastAsia="zh-CN"/>
        </w:rPr>
        <w:t>分</w:t>
      </w:r>
      <w:r>
        <w:rPr>
          <w:rFonts w:hint="eastAsia"/>
          <w:sz w:val="32"/>
          <w:szCs w:val="32"/>
          <w:highlight w:val="none"/>
        </w:rPr>
        <w:t>，得分率为100%。</w:t>
      </w:r>
    </w:p>
    <w:p w14:paraId="52F0DEA8">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）项目满意度指标完成情况分析</w:t>
      </w:r>
    </w:p>
    <w:p w14:paraId="72FAE0E7">
      <w:pPr>
        <w:keepNext w:val="0"/>
        <w:keepLines w:val="0"/>
        <w:pageBreakBefore w:val="0"/>
        <w:widowControl w:val="0"/>
        <w:kinsoku/>
        <w:wordWrap/>
        <w:overflowPunct/>
        <w:topLinePunct w:val="0"/>
        <w:autoSpaceDE w:val="0"/>
        <w:autoSpaceDN w:val="0"/>
        <w:bidi w:val="0"/>
        <w:adjustRightInd/>
        <w:snapToGrid/>
        <w:textAlignment w:val="auto"/>
        <w:rPr>
          <w:sz w:val="32"/>
          <w:szCs w:val="32"/>
          <w:highlight w:val="none"/>
        </w:rPr>
      </w:pPr>
      <w:r>
        <w:rPr>
          <w:rFonts w:hint="eastAsia" w:ascii="仿宋_GB2312" w:hAnsi="仿宋_GB2312" w:eastAsia="仿宋_GB2312" w:cs="仿宋_GB2312"/>
          <w:sz w:val="32"/>
          <w:szCs w:val="32"/>
          <w:highlight w:val="none"/>
        </w:rPr>
        <w:t>项目服务对象满意度指标主要为</w:t>
      </w:r>
      <w:r>
        <w:rPr>
          <w:rFonts w:hint="eastAsia" w:ascii="仿宋_GB2312" w:hAnsi="仿宋_GB2312" w:cs="仿宋_GB2312"/>
          <w:sz w:val="32"/>
          <w:szCs w:val="32"/>
          <w:highlight w:val="none"/>
          <w:lang w:val="en-US" w:eastAsia="zh-CN"/>
        </w:rPr>
        <w:t>服务群众对审批工作满意度及派出法庭工作人员满意度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指标分值</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0分，自评得分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9FCE7EA">
      <w:pPr>
        <w:pStyle w:val="12"/>
        <w:rPr>
          <w:sz w:val="32"/>
          <w:szCs w:val="32"/>
        </w:rPr>
      </w:pPr>
      <w:r>
        <w:rPr>
          <w:rFonts w:hint="eastAsia" w:ascii="仿宋_GB2312" w:hAnsi="仿宋_GB2312" w:eastAsia="仿宋_GB2312" w:cs="仿宋_GB2312"/>
          <w:b/>
          <w:bCs/>
          <w:kern w:val="2"/>
          <w:sz w:val="32"/>
          <w:szCs w:val="32"/>
          <w:highlight w:val="none"/>
          <w:lang w:val="en-US" w:eastAsia="zh-CN" w:bidi="ar-SA"/>
        </w:rPr>
        <w:t>派出法庭工作人员满意度：</w:t>
      </w:r>
      <w:r>
        <w:rPr>
          <w:rFonts w:hint="eastAsia"/>
          <w:sz w:val="32"/>
          <w:szCs w:val="32"/>
        </w:rPr>
        <w:t>2023年我院在案件的审判上，找准短板弱项，加强分派出法庭工作人员满意</w:t>
      </w:r>
      <w:r>
        <w:rPr>
          <w:rFonts w:hint="eastAsia"/>
          <w:sz w:val="32"/>
          <w:szCs w:val="32"/>
          <w:lang w:eastAsia="zh-CN"/>
        </w:rPr>
        <w:t>度分</w:t>
      </w:r>
      <w:r>
        <w:rPr>
          <w:rFonts w:hint="eastAsia"/>
          <w:sz w:val="32"/>
          <w:szCs w:val="32"/>
        </w:rPr>
        <w:t>析研判，查找原因症结，围绕审判存在的问题和短板，细化工作举措，层层压实责任，确保查漏补缺工作落实到位，保障工作人员办案质量要求和业务能力水平的提升，</w:t>
      </w:r>
      <w:r>
        <w:rPr>
          <w:rFonts w:hint="eastAsia"/>
          <w:sz w:val="32"/>
          <w:szCs w:val="32"/>
          <w:lang w:val="en-US" w:eastAsia="zh-CN"/>
        </w:rPr>
        <w:t>派出法庭</w:t>
      </w:r>
      <w:r>
        <w:rPr>
          <w:rFonts w:hint="eastAsia"/>
          <w:sz w:val="32"/>
          <w:szCs w:val="32"/>
        </w:rPr>
        <w:t>工作人员满意度为9</w:t>
      </w:r>
      <w:r>
        <w:rPr>
          <w:rFonts w:hint="eastAsia"/>
          <w:sz w:val="32"/>
          <w:szCs w:val="32"/>
          <w:lang w:val="en-US" w:eastAsia="zh-CN"/>
        </w:rPr>
        <w:t>8</w:t>
      </w:r>
      <w:r>
        <w:rPr>
          <w:rFonts w:hint="eastAsia"/>
          <w:sz w:val="32"/>
          <w:szCs w:val="32"/>
        </w:rPr>
        <w:t>%。该指标分值</w:t>
      </w:r>
      <w:r>
        <w:rPr>
          <w:rFonts w:hint="eastAsia"/>
          <w:sz w:val="32"/>
          <w:szCs w:val="32"/>
          <w:lang w:val="en-US" w:eastAsia="zh-CN"/>
        </w:rPr>
        <w:t>10</w:t>
      </w:r>
      <w:r>
        <w:rPr>
          <w:rFonts w:hint="eastAsia"/>
          <w:sz w:val="32"/>
          <w:szCs w:val="32"/>
        </w:rPr>
        <w:t>分，得分率为100%。</w:t>
      </w:r>
    </w:p>
    <w:p w14:paraId="73EE62B1">
      <w:pPr>
        <w:keepNext/>
        <w:keepLines/>
        <w:pageBreakBefore w:val="0"/>
        <w:widowControl w:val="0"/>
        <w:numPr>
          <w:ilvl w:val="0"/>
          <w:numId w:val="0"/>
        </w:numPr>
        <w:kinsoku/>
        <w:wordWrap/>
        <w:overflowPunct/>
        <w:topLinePunct w:val="0"/>
        <w:autoSpaceDE w:val="0"/>
        <w:autoSpaceDN w:val="0"/>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4.偏离绩效目标的原因及下一步改进措施</w:t>
      </w:r>
    </w:p>
    <w:p w14:paraId="19B2867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eastAsia="仿宋_GB2312"/>
          <w:sz w:val="32"/>
          <w:szCs w:val="32"/>
          <w:highlight w:val="none"/>
          <w:lang w:eastAsia="zh-CN"/>
        </w:rPr>
      </w:pPr>
      <w:r>
        <w:rPr>
          <w:rFonts w:hint="eastAsia"/>
          <w:b/>
          <w:bCs/>
          <w:sz w:val="32"/>
          <w:szCs w:val="32"/>
          <w:highlight w:val="none"/>
          <w:lang w:val="en-US" w:eastAsia="zh-CN"/>
        </w:rPr>
        <w:t>预算执行率偏低：</w:t>
      </w:r>
      <w:r>
        <w:rPr>
          <w:rFonts w:hint="eastAsia" w:hAnsi="宋体"/>
          <w:sz w:val="32"/>
          <w:szCs w:val="32"/>
          <w:highlight w:val="none"/>
          <w:lang w:val="en-US" w:eastAsia="zh-CN"/>
        </w:rPr>
        <w:t>我院</w:t>
      </w:r>
      <w:r>
        <w:rPr>
          <w:rFonts w:hint="eastAsia" w:hAnsi="宋体"/>
          <w:sz w:val="32"/>
          <w:szCs w:val="32"/>
          <w:highlight w:val="none"/>
        </w:rPr>
        <w:t>全年预算</w:t>
      </w:r>
      <w:r>
        <w:rPr>
          <w:rFonts w:hint="eastAsia" w:hAnsi="宋体"/>
          <w:sz w:val="32"/>
          <w:szCs w:val="32"/>
          <w:highlight w:val="none"/>
          <w:lang w:val="en-US" w:eastAsia="zh-CN"/>
        </w:rPr>
        <w:t>16</w:t>
      </w:r>
      <w:r>
        <w:rPr>
          <w:rFonts w:hint="eastAsia" w:hAnsi="宋体"/>
          <w:sz w:val="32"/>
          <w:szCs w:val="32"/>
          <w:highlight w:val="none"/>
        </w:rPr>
        <w:t>.</w:t>
      </w:r>
      <w:r>
        <w:rPr>
          <w:rFonts w:hint="eastAsia" w:hAnsi="宋体"/>
          <w:sz w:val="32"/>
          <w:szCs w:val="32"/>
          <w:highlight w:val="none"/>
          <w:lang w:val="en-US" w:eastAsia="zh-CN"/>
        </w:rPr>
        <w:t>00万元，</w:t>
      </w:r>
      <w:r>
        <w:rPr>
          <w:rFonts w:hint="eastAsia" w:hAnsi="宋体"/>
          <w:sz w:val="32"/>
          <w:szCs w:val="32"/>
          <w:highlight w:val="none"/>
        </w:rPr>
        <w:t>实际支出</w:t>
      </w:r>
      <w:r>
        <w:rPr>
          <w:rFonts w:hint="eastAsia" w:hAnsi="宋体"/>
          <w:sz w:val="32"/>
          <w:szCs w:val="32"/>
          <w:highlight w:val="none"/>
          <w:lang w:val="en-US" w:eastAsia="zh-CN"/>
        </w:rPr>
        <w:t>7</w:t>
      </w:r>
      <w:r>
        <w:rPr>
          <w:rFonts w:hint="eastAsia" w:hAnsi="宋体"/>
          <w:sz w:val="32"/>
          <w:szCs w:val="32"/>
          <w:highlight w:val="none"/>
        </w:rPr>
        <w:t>.</w:t>
      </w:r>
      <w:r>
        <w:rPr>
          <w:rFonts w:hint="eastAsia" w:hAnsi="宋体"/>
          <w:sz w:val="32"/>
          <w:szCs w:val="32"/>
          <w:highlight w:val="none"/>
          <w:lang w:val="en-US" w:eastAsia="zh-CN"/>
        </w:rPr>
        <w:t>55万</w:t>
      </w:r>
      <w:r>
        <w:rPr>
          <w:rFonts w:hint="eastAsia" w:hAnsi="宋体"/>
          <w:sz w:val="32"/>
          <w:szCs w:val="32"/>
          <w:highlight w:val="none"/>
        </w:rPr>
        <w:t>元，</w:t>
      </w:r>
      <w:r>
        <w:rPr>
          <w:rFonts w:hint="eastAsia" w:hAnsi="宋体"/>
          <w:sz w:val="32"/>
          <w:szCs w:val="32"/>
          <w:highlight w:val="none"/>
          <w:lang w:val="en-US" w:eastAsia="zh-CN"/>
        </w:rPr>
        <w:t>项目</w:t>
      </w:r>
      <w:r>
        <w:rPr>
          <w:rFonts w:hint="eastAsia" w:hAnsi="宋体"/>
          <w:sz w:val="32"/>
          <w:szCs w:val="32"/>
          <w:highlight w:val="none"/>
        </w:rPr>
        <w:t>支出预算执行率</w:t>
      </w:r>
      <w:r>
        <w:rPr>
          <w:rFonts w:hint="eastAsia" w:hAnsi="宋体"/>
          <w:sz w:val="32"/>
          <w:szCs w:val="32"/>
          <w:highlight w:val="none"/>
          <w:lang w:val="en-US" w:eastAsia="zh-CN"/>
        </w:rPr>
        <w:t>47.2</w:t>
      </w:r>
      <w:r>
        <w:rPr>
          <w:rFonts w:hint="eastAsia" w:hAnsi="宋体"/>
          <w:sz w:val="32"/>
          <w:szCs w:val="32"/>
          <w:highlight w:val="none"/>
        </w:rPr>
        <w:t>%</w:t>
      </w:r>
      <w:r>
        <w:rPr>
          <w:rFonts w:hint="eastAsia" w:hAnsi="宋体"/>
          <w:sz w:val="32"/>
          <w:szCs w:val="32"/>
          <w:highlight w:val="none"/>
          <w:lang w:val="en-US" w:eastAsia="zh-CN"/>
        </w:rPr>
        <w:t>。</w:t>
      </w:r>
      <w:r>
        <w:rPr>
          <w:rFonts w:hint="eastAsia" w:hAnsi="宋体"/>
          <w:sz w:val="32"/>
          <w:szCs w:val="32"/>
          <w:highlight w:val="none"/>
          <w:lang w:eastAsia="zh-CN"/>
        </w:rPr>
        <w:t>下一年度我院加快资金支付进度，及时完成资金支付。</w:t>
      </w:r>
    </w:p>
    <w:p w14:paraId="0B076B69">
      <w:pPr>
        <w:pStyle w:val="3"/>
        <w:keepNext w:val="0"/>
        <w:keepLines w:val="0"/>
        <w:spacing w:before="0" w:after="0"/>
      </w:pPr>
      <w:bookmarkStart w:id="68" w:name="_Toc22518"/>
      <w:r>
        <w:rPr>
          <w:rFonts w:hint="eastAsia"/>
          <w:lang w:val="en-US" w:eastAsia="zh-CN"/>
        </w:rPr>
        <w:t>五</w:t>
      </w:r>
      <w:r>
        <w:rPr>
          <w:rFonts w:hint="eastAsia"/>
        </w:rPr>
        <w:t>、绩效自评结果拟应用和公开情况</w:t>
      </w:r>
      <w:bookmarkEnd w:id="62"/>
      <w:bookmarkEnd w:id="63"/>
      <w:bookmarkEnd w:id="64"/>
      <w:bookmarkEnd w:id="65"/>
      <w:bookmarkEnd w:id="66"/>
      <w:bookmarkEnd w:id="68"/>
    </w:p>
    <w:p w14:paraId="28BDCED7">
      <w:pPr>
        <w:ind w:firstLine="560"/>
        <w:jc w:val="left"/>
        <w:rPr>
          <w:rFonts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w:t>
      </w:r>
      <w:r>
        <w:rPr>
          <w:rFonts w:hint="eastAsia" w:hAnsi="宋体"/>
          <w:sz w:val="32"/>
          <w:szCs w:val="32"/>
          <w:lang w:eastAsia="zh-CN"/>
        </w:rPr>
        <w:t>2023</w:t>
      </w:r>
      <w:r>
        <w:rPr>
          <w:rFonts w:hint="eastAsia" w:hAnsi="宋体"/>
          <w:sz w:val="32"/>
          <w:szCs w:val="32"/>
        </w:rPr>
        <w:t>年度决算中，随同</w:t>
      </w:r>
      <w:r>
        <w:rPr>
          <w:rFonts w:hint="eastAsia" w:hAnsi="宋体"/>
          <w:sz w:val="32"/>
          <w:szCs w:val="32"/>
          <w:lang w:eastAsia="zh-CN"/>
        </w:rPr>
        <w:t>2023</w:t>
      </w:r>
      <w:r>
        <w:rPr>
          <w:rFonts w:hint="eastAsia" w:hAnsi="宋体"/>
          <w:sz w:val="32"/>
          <w:szCs w:val="32"/>
        </w:rPr>
        <w:t>年度部门决算同步公开。</w:t>
      </w:r>
    </w:p>
    <w:p w14:paraId="75D297FA">
      <w:pPr>
        <w:pStyle w:val="3"/>
        <w:spacing w:before="0" w:after="0"/>
      </w:pPr>
      <w:bookmarkStart w:id="69" w:name="_Toc17181"/>
      <w:bookmarkStart w:id="70" w:name="_Toc40046066"/>
      <w:bookmarkStart w:id="71" w:name="_Toc21490"/>
      <w:bookmarkStart w:id="72" w:name="_Toc6781"/>
      <w:bookmarkStart w:id="73" w:name="_Toc9345"/>
      <w:bookmarkStart w:id="74" w:name="_Toc4491"/>
      <w:r>
        <w:rPr>
          <w:rFonts w:hint="eastAsia"/>
          <w:lang w:val="en-US" w:eastAsia="zh-CN"/>
        </w:rPr>
        <w:t>六</w:t>
      </w:r>
      <w:bookmarkStart w:id="75" w:name="_GoBack"/>
      <w:bookmarkEnd w:id="75"/>
      <w:r>
        <w:rPr>
          <w:rFonts w:hint="eastAsia"/>
        </w:rPr>
        <w:t>、其他需要说明的问题</w:t>
      </w:r>
      <w:bookmarkEnd w:id="69"/>
      <w:bookmarkEnd w:id="70"/>
      <w:bookmarkEnd w:id="71"/>
      <w:bookmarkEnd w:id="72"/>
      <w:bookmarkEnd w:id="73"/>
      <w:bookmarkEnd w:id="74"/>
    </w:p>
    <w:p w14:paraId="207734DA">
      <w:pPr>
        <w:widowControl/>
        <w:ind w:firstLine="560"/>
        <w:jc w:val="left"/>
        <w:rPr>
          <w:rFonts w:hAnsi="宋体"/>
          <w:sz w:val="32"/>
          <w:szCs w:val="32"/>
        </w:rPr>
      </w:pPr>
      <w:r>
        <w:rPr>
          <w:rFonts w:hint="eastAsia" w:hAnsi="宋体"/>
          <w:sz w:val="32"/>
          <w:szCs w:val="32"/>
        </w:rPr>
        <w:t>无。</w:t>
      </w:r>
    </w:p>
    <w:p w14:paraId="5C1A2F00">
      <w:pPr>
        <w:pStyle w:val="35"/>
        <w:ind w:left="0" w:leftChars="0" w:firstLine="0" w:firstLineChars="0"/>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Courier">
    <w:altName w:val="Courier New"/>
    <w:panose1 w:val="02060409020205020404"/>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1E85">
    <w:pPr>
      <w:pStyle w:val="17"/>
      <w:ind w:firstLine="360"/>
      <w:jc w:val="center"/>
    </w:pPr>
  </w:p>
  <w:p w14:paraId="0271988A">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A545">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59213"/>
                          </w:sdtPr>
                          <w:sdtContent>
                            <w:p w14:paraId="6CFCF952">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19C967AD">
                          <w:pPr>
                            <w:pStyle w:val="33"/>
                            <w:ind w:left="560" w:firstLine="5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888059213"/>
                    </w:sdtPr>
                    <w:sdtContent>
                      <w:p w14:paraId="6CFCF952">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19C967AD">
                    <w:pPr>
                      <w:pStyle w:val="33"/>
                      <w:ind w:left="560" w:firstLine="560"/>
                    </w:pPr>
                  </w:p>
                </w:txbxContent>
              </v:textbox>
            </v:shape>
          </w:pict>
        </mc:Fallback>
      </mc:AlternateContent>
    </w:r>
  </w:p>
  <w:p w14:paraId="32EFAB05">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C1AF1">
    <w:pPr>
      <w:pStyle w:val="1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OGRhMjExNGYzNDg4YTJiNGZjM2E0YmY2NjVkNGEifQ=="/>
  </w:docVars>
  <w:rsids>
    <w:rsidRoot w:val="00172A27"/>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230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BF33BA"/>
    <w:rsid w:val="0AFD6D5D"/>
    <w:rsid w:val="0B3D575C"/>
    <w:rsid w:val="0B8D6294"/>
    <w:rsid w:val="0B987180"/>
    <w:rsid w:val="0BA35E5E"/>
    <w:rsid w:val="0BA70E60"/>
    <w:rsid w:val="0BE1433A"/>
    <w:rsid w:val="0C040E46"/>
    <w:rsid w:val="0C126BE9"/>
    <w:rsid w:val="0C601039"/>
    <w:rsid w:val="0C6032F9"/>
    <w:rsid w:val="0C6C6699"/>
    <w:rsid w:val="0C8F023A"/>
    <w:rsid w:val="0CCE61D8"/>
    <w:rsid w:val="0DD248FB"/>
    <w:rsid w:val="0DDF2A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1C4FB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8930DB"/>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901E71"/>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CF6CB1"/>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5D629EF"/>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1B606F"/>
    <w:rsid w:val="39B95231"/>
    <w:rsid w:val="39E7313A"/>
    <w:rsid w:val="39EC1C54"/>
    <w:rsid w:val="3A1F19CA"/>
    <w:rsid w:val="3A2D33B3"/>
    <w:rsid w:val="3A8B731D"/>
    <w:rsid w:val="3A946897"/>
    <w:rsid w:val="3A9B7C32"/>
    <w:rsid w:val="3AAE4F93"/>
    <w:rsid w:val="3ACB48BB"/>
    <w:rsid w:val="3AD25272"/>
    <w:rsid w:val="3AFC6ED7"/>
    <w:rsid w:val="3B0112DE"/>
    <w:rsid w:val="3B282FD3"/>
    <w:rsid w:val="3B375346"/>
    <w:rsid w:val="3B5129DA"/>
    <w:rsid w:val="3B5B20B0"/>
    <w:rsid w:val="3BA24B5C"/>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6C4B2B"/>
    <w:rsid w:val="5076286F"/>
    <w:rsid w:val="50957359"/>
    <w:rsid w:val="509F6EC6"/>
    <w:rsid w:val="50E30834"/>
    <w:rsid w:val="510D6CCE"/>
    <w:rsid w:val="511E659C"/>
    <w:rsid w:val="512B1283"/>
    <w:rsid w:val="51493A4C"/>
    <w:rsid w:val="519F1525"/>
    <w:rsid w:val="51B7313F"/>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3E372F"/>
    <w:rsid w:val="54843081"/>
    <w:rsid w:val="54E720BB"/>
    <w:rsid w:val="551B4A12"/>
    <w:rsid w:val="5588094F"/>
    <w:rsid w:val="558A2919"/>
    <w:rsid w:val="55C8528C"/>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4A533B"/>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9037F0"/>
    <w:rsid w:val="63DC4C88"/>
    <w:rsid w:val="64234172"/>
    <w:rsid w:val="6431668F"/>
    <w:rsid w:val="64782FC9"/>
    <w:rsid w:val="64803EF5"/>
    <w:rsid w:val="64835103"/>
    <w:rsid w:val="64970BAF"/>
    <w:rsid w:val="64AA6F1D"/>
    <w:rsid w:val="64E44957"/>
    <w:rsid w:val="64F8164D"/>
    <w:rsid w:val="6502427A"/>
    <w:rsid w:val="656C3DE9"/>
    <w:rsid w:val="65715BFD"/>
    <w:rsid w:val="65732D00"/>
    <w:rsid w:val="65B34C8C"/>
    <w:rsid w:val="66050395"/>
    <w:rsid w:val="66195180"/>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903419"/>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5A38F1"/>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2956E2"/>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9"/>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5"/>
    <w:link w:val="40"/>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6">
    <w:name w:val="heading 3"/>
    <w:basedOn w:val="1"/>
    <w:next w:val="1"/>
    <w:link w:val="41"/>
    <w:autoRedefine/>
    <w:unhideWhenUsed/>
    <w:qFormat/>
    <w:uiPriority w:val="9"/>
    <w:pPr>
      <w:keepNext/>
      <w:keepLines/>
      <w:outlineLvl w:val="2"/>
    </w:pPr>
    <w:rPr>
      <w:b/>
      <w:bCs/>
      <w:szCs w:val="32"/>
    </w:rPr>
  </w:style>
  <w:style w:type="paragraph" w:styleId="7">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Indent 21"/>
    <w:basedOn w:val="1"/>
    <w:autoRedefine/>
    <w:qFormat/>
    <w:uiPriority w:val="0"/>
    <w:pPr>
      <w:spacing w:after="120" w:line="480" w:lineRule="auto"/>
      <w:ind w:left="420" w:leftChars="200"/>
    </w:pPr>
  </w:style>
  <w:style w:type="paragraph" w:customStyle="1" w:styleId="5">
    <w:name w:val="l正文"/>
    <w:basedOn w:val="1"/>
    <w:autoRedefine/>
    <w:qFormat/>
    <w:uiPriority w:val="0"/>
    <w:pPr>
      <w:spacing w:line="360" w:lineRule="auto"/>
      <w:ind w:firstLine="200" w:firstLineChars="200"/>
    </w:pPr>
    <w:rPr>
      <w:rFonts w:ascii="宋体" w:hAnsi="宋体"/>
      <w:sz w:val="24"/>
      <w:szCs w:val="24"/>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annotation text"/>
    <w:basedOn w:val="1"/>
    <w:link w:val="43"/>
    <w:autoRedefine/>
    <w:semiHidden/>
    <w:unhideWhenUsed/>
    <w:qFormat/>
    <w:uiPriority w:val="99"/>
    <w:pPr>
      <w:jc w:val="left"/>
    </w:pPr>
  </w:style>
  <w:style w:type="paragraph" w:styleId="11">
    <w:name w:val="index 6"/>
    <w:basedOn w:val="1"/>
    <w:next w:val="1"/>
    <w:autoRedefine/>
    <w:qFormat/>
    <w:uiPriority w:val="0"/>
    <w:pPr>
      <w:spacing w:line="540" w:lineRule="exact"/>
      <w:ind w:firstLine="640"/>
    </w:pPr>
    <w:rPr>
      <w:rFonts w:ascii="FangSong_GB2312" w:hAnsi="FangSong_GB2312" w:eastAsia="FangSong_GB2312" w:cs="FangSong_GB2312"/>
      <w:sz w:val="32"/>
      <w:szCs w:val="32"/>
    </w:rPr>
  </w:style>
  <w:style w:type="paragraph" w:styleId="12">
    <w:name w:val="Body Text"/>
    <w:basedOn w:val="1"/>
    <w:next w:val="1"/>
    <w:autoRedefine/>
    <w:qFormat/>
    <w:uiPriority w:val="99"/>
    <w:rPr>
      <w:szCs w:val="21"/>
    </w:rPr>
  </w:style>
  <w:style w:type="paragraph" w:styleId="13">
    <w:name w:val="Body Text Indent"/>
    <w:basedOn w:val="1"/>
    <w:autoRedefine/>
    <w:qFormat/>
    <w:uiPriority w:val="0"/>
    <w:pPr>
      <w:ind w:left="200" w:leftChars="200"/>
    </w:pPr>
    <w:rPr>
      <w:szCs w:val="21"/>
    </w:rPr>
  </w:style>
  <w:style w:type="paragraph" w:styleId="14">
    <w:name w:val="Plain Text"/>
    <w:basedOn w:val="1"/>
    <w:autoRedefine/>
    <w:qFormat/>
    <w:uiPriority w:val="0"/>
    <w:rPr>
      <w:rFonts w:hint="eastAsia" w:ascii="宋体" w:hAnsi="Courier New" w:eastAsia="宋体" w:cs="Times New Roman"/>
      <w:szCs w:val="20"/>
    </w:rPr>
  </w:style>
  <w:style w:type="paragraph" w:styleId="15">
    <w:name w:val="Body Text Indent 2"/>
    <w:basedOn w:val="1"/>
    <w:next w:val="1"/>
    <w:autoRedefine/>
    <w:qFormat/>
    <w:uiPriority w:val="0"/>
    <w:pPr>
      <w:ind w:left="-718" w:leftChars="-342" w:firstLine="720" w:firstLineChars="225"/>
      <w:jc w:val="left"/>
    </w:pPr>
    <w:rPr>
      <w:sz w:val="32"/>
      <w:szCs w:val="32"/>
    </w:rPr>
  </w:style>
  <w:style w:type="paragraph" w:styleId="16">
    <w:name w:val="Balloon Text"/>
    <w:basedOn w:val="1"/>
    <w:link w:val="54"/>
    <w:autoRedefine/>
    <w:semiHidden/>
    <w:unhideWhenUsed/>
    <w:qFormat/>
    <w:uiPriority w:val="99"/>
    <w:pPr>
      <w:spacing w:line="240" w:lineRule="auto"/>
    </w:pPr>
    <w:rPr>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ind w:firstLine="0" w:firstLineChars="0"/>
    </w:pPr>
    <w:rPr>
      <w:rFonts w:hAnsi="宋体"/>
      <w:b/>
      <w:bCs/>
    </w:rPr>
  </w:style>
  <w:style w:type="paragraph" w:styleId="20">
    <w:name w:val="toc 2"/>
    <w:basedOn w:val="1"/>
    <w:next w:val="1"/>
    <w:autoRedefine/>
    <w:unhideWhenUsed/>
    <w:qFormat/>
    <w:uiPriority w:val="39"/>
    <w:pPr>
      <w:tabs>
        <w:tab w:val="right" w:leader="dot" w:pos="8296"/>
      </w:tabs>
      <w:ind w:left="560" w:leftChars="200" w:firstLine="0" w:firstLineChars="0"/>
    </w:pPr>
  </w:style>
  <w:style w:type="paragraph" w:styleId="21">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2">
    <w:name w:val="Normal (Web)"/>
    <w:basedOn w:val="1"/>
    <w:autoRedefine/>
    <w:semiHidden/>
    <w:unhideWhenUsed/>
    <w:qFormat/>
    <w:uiPriority w:val="99"/>
    <w:pPr>
      <w:spacing w:beforeAutospacing="1" w:afterAutospacing="1"/>
      <w:jc w:val="left"/>
    </w:pPr>
    <w:rPr>
      <w:rFonts w:cs="Times New Roman"/>
      <w:kern w:val="0"/>
      <w:sz w:val="24"/>
    </w:rPr>
  </w:style>
  <w:style w:type="paragraph" w:styleId="23">
    <w:name w:val="index 1"/>
    <w:basedOn w:val="1"/>
    <w:next w:val="1"/>
    <w:autoRedefine/>
    <w:qFormat/>
    <w:uiPriority w:val="0"/>
  </w:style>
  <w:style w:type="paragraph" w:styleId="24">
    <w:name w:val="annotation subject"/>
    <w:basedOn w:val="10"/>
    <w:next w:val="10"/>
    <w:link w:val="44"/>
    <w:autoRedefine/>
    <w:semiHidden/>
    <w:unhideWhenUsed/>
    <w:qFormat/>
    <w:uiPriority w:val="99"/>
    <w:rPr>
      <w:b/>
      <w:bCs/>
    </w:rPr>
  </w:style>
  <w:style w:type="paragraph" w:styleId="25">
    <w:name w:val="Body Text First Indent 2"/>
    <w:basedOn w:val="13"/>
    <w:autoRedefine/>
    <w:unhideWhenUsed/>
    <w:qFormat/>
    <w:uiPriority w:val="0"/>
    <w:pPr>
      <w:spacing w:after="120"/>
      <w:ind w:left="420" w:firstLine="420"/>
    </w:pPr>
    <w:rPr>
      <w:szCs w:val="2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Hyperlink"/>
    <w:basedOn w:val="28"/>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8"/>
    <w:autoRedefine/>
    <w:semiHidden/>
    <w:unhideWhenUsed/>
    <w:qFormat/>
    <w:uiPriority w:val="99"/>
    <w:rPr>
      <w:sz w:val="21"/>
      <w:szCs w:val="21"/>
    </w:rPr>
  </w:style>
  <w:style w:type="paragraph" w:customStyle="1" w:styleId="32">
    <w:name w:val="BodyTextIndent2"/>
    <w:basedOn w:val="1"/>
    <w:next w:val="1"/>
    <w:autoRedefine/>
    <w:qFormat/>
    <w:uiPriority w:val="0"/>
    <w:pPr>
      <w:spacing w:line="480" w:lineRule="auto"/>
      <w:ind w:left="420" w:leftChars="200"/>
      <w:jc w:val="both"/>
      <w:textAlignment w:val="baseline"/>
    </w:pPr>
  </w:style>
  <w:style w:type="paragraph" w:customStyle="1" w:styleId="33">
    <w:name w:val="正文首行缩进 21"/>
    <w:basedOn w:val="1"/>
    <w:autoRedefine/>
    <w:qFormat/>
    <w:uiPriority w:val="0"/>
    <w:pPr>
      <w:ind w:left="420" w:leftChars="200" w:firstLine="420"/>
    </w:pPr>
  </w:style>
  <w:style w:type="paragraph" w:customStyle="1" w:styleId="34">
    <w:name w:val="Body Text First Indent 21"/>
    <w:basedOn w:val="1"/>
    <w:autoRedefine/>
    <w:qFormat/>
    <w:uiPriority w:val="0"/>
    <w:pPr>
      <w:ind w:left="420" w:leftChars="200" w:firstLine="420"/>
    </w:pPr>
  </w:style>
  <w:style w:type="paragraph" w:customStyle="1" w:styleId="35">
    <w:name w:val="BodyTextIndent"/>
    <w:basedOn w:val="1"/>
    <w:autoRedefine/>
    <w:qFormat/>
    <w:uiPriority w:val="0"/>
    <w:pPr>
      <w:widowControl/>
      <w:ind w:left="200" w:leftChars="200"/>
      <w:textAlignment w:val="baseline"/>
    </w:pPr>
    <w:rPr>
      <w:sz w:val="21"/>
      <w:szCs w:val="21"/>
    </w:rPr>
  </w:style>
  <w:style w:type="character" w:customStyle="1" w:styleId="36">
    <w:name w:val="页眉 Char"/>
    <w:basedOn w:val="28"/>
    <w:link w:val="18"/>
    <w:autoRedefine/>
    <w:qFormat/>
    <w:uiPriority w:val="99"/>
    <w:rPr>
      <w:sz w:val="18"/>
      <w:szCs w:val="18"/>
    </w:rPr>
  </w:style>
  <w:style w:type="character" w:customStyle="1" w:styleId="37">
    <w:name w:val="页脚 Char"/>
    <w:basedOn w:val="28"/>
    <w:link w:val="17"/>
    <w:autoRedefine/>
    <w:qFormat/>
    <w:uiPriority w:val="99"/>
    <w:rPr>
      <w:sz w:val="18"/>
      <w:szCs w:val="18"/>
    </w:rPr>
  </w:style>
  <w:style w:type="paragraph" w:customStyle="1" w:styleId="38">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9">
    <w:name w:val="标题 1 Char"/>
    <w:basedOn w:val="28"/>
    <w:link w:val="3"/>
    <w:autoRedefine/>
    <w:qFormat/>
    <w:uiPriority w:val="9"/>
    <w:rPr>
      <w:rFonts w:ascii="黑体" w:hAnsi="黑体" w:eastAsia="黑体"/>
      <w:b/>
      <w:bCs/>
      <w:kern w:val="44"/>
      <w:sz w:val="32"/>
      <w:szCs w:val="44"/>
    </w:rPr>
  </w:style>
  <w:style w:type="character" w:customStyle="1" w:styleId="40">
    <w:name w:val="标题 2 Char"/>
    <w:basedOn w:val="28"/>
    <w:link w:val="4"/>
    <w:autoRedefine/>
    <w:qFormat/>
    <w:uiPriority w:val="9"/>
    <w:rPr>
      <w:rFonts w:ascii="楷体" w:hAnsi="楷体" w:eastAsia="楷体" w:cstheme="majorBidi"/>
      <w:b/>
      <w:bCs/>
      <w:sz w:val="32"/>
      <w:szCs w:val="32"/>
    </w:rPr>
  </w:style>
  <w:style w:type="character" w:customStyle="1" w:styleId="41">
    <w:name w:val="标题 3 Char"/>
    <w:basedOn w:val="28"/>
    <w:link w:val="6"/>
    <w:autoRedefine/>
    <w:qFormat/>
    <w:uiPriority w:val="9"/>
    <w:rPr>
      <w:rFonts w:ascii="仿宋_GB2312" w:hAnsi="仿宋_GB2312" w:eastAsia="仿宋_GB2312"/>
      <w:b/>
      <w:bCs/>
      <w:sz w:val="28"/>
      <w:szCs w:val="32"/>
    </w:rPr>
  </w:style>
  <w:style w:type="character" w:customStyle="1" w:styleId="42">
    <w:name w:val="font01"/>
    <w:basedOn w:val="28"/>
    <w:autoRedefine/>
    <w:qFormat/>
    <w:uiPriority w:val="0"/>
    <w:rPr>
      <w:rFonts w:hint="eastAsia" w:ascii="宋体" w:hAnsi="宋体" w:eastAsia="宋体" w:cs="宋体"/>
      <w:color w:val="000000"/>
      <w:sz w:val="21"/>
      <w:szCs w:val="21"/>
      <w:u w:val="none"/>
    </w:rPr>
  </w:style>
  <w:style w:type="character" w:customStyle="1" w:styleId="43">
    <w:name w:val="批注文字 Char"/>
    <w:basedOn w:val="28"/>
    <w:link w:val="10"/>
    <w:autoRedefine/>
    <w:semiHidden/>
    <w:qFormat/>
    <w:uiPriority w:val="99"/>
    <w:rPr>
      <w:rFonts w:ascii="仿宋_GB2312" w:hAnsi="仿宋_GB2312" w:eastAsia="仿宋_GB2312" w:cstheme="minorBidi"/>
      <w:kern w:val="2"/>
      <w:sz w:val="28"/>
      <w:szCs w:val="22"/>
    </w:rPr>
  </w:style>
  <w:style w:type="character" w:customStyle="1" w:styleId="44">
    <w:name w:val="批注主题 Char"/>
    <w:basedOn w:val="43"/>
    <w:link w:val="24"/>
    <w:autoRedefine/>
    <w:semiHidden/>
    <w:qFormat/>
    <w:uiPriority w:val="99"/>
    <w:rPr>
      <w:rFonts w:ascii="仿宋_GB2312" w:hAnsi="仿宋_GB2312" w:eastAsia="仿宋_GB2312" w:cstheme="minorBidi"/>
      <w:b/>
      <w:bCs/>
      <w:kern w:val="2"/>
      <w:sz w:val="28"/>
      <w:szCs w:val="22"/>
    </w:rPr>
  </w:style>
  <w:style w:type="paragraph" w:customStyle="1" w:styleId="45">
    <w:name w:val="NormalIndent"/>
    <w:basedOn w:val="1"/>
    <w:autoRedefine/>
    <w:qFormat/>
    <w:uiPriority w:val="99"/>
    <w:pPr>
      <w:ind w:firstLine="420"/>
      <w:textAlignment w:val="baseline"/>
    </w:pPr>
    <w:rPr>
      <w:szCs w:val="21"/>
    </w:rPr>
  </w:style>
  <w:style w:type="character" w:customStyle="1" w:styleId="46">
    <w:name w:val="content1"/>
    <w:basedOn w:val="28"/>
    <w:autoRedefine/>
    <w:qFormat/>
    <w:uiPriority w:val="0"/>
    <w:rPr>
      <w:rFonts w:hint="default"/>
      <w:sz w:val="21"/>
    </w:rPr>
  </w:style>
  <w:style w:type="paragraph" w:customStyle="1" w:styleId="47">
    <w:name w:val="Char2"/>
    <w:basedOn w:val="1"/>
    <w:autoRedefine/>
    <w:qFormat/>
    <w:uiPriority w:val="0"/>
    <w:rPr>
      <w:rFonts w:ascii="Courier" w:hAnsi="Courier" w:cs="Courier"/>
      <w:szCs w:val="21"/>
    </w:rPr>
  </w:style>
  <w:style w:type="character" w:customStyle="1" w:styleId="48">
    <w:name w:val="NormalCharacter"/>
    <w:autoRedefine/>
    <w:semiHidden/>
    <w:qFormat/>
    <w:uiPriority w:val="0"/>
  </w:style>
  <w:style w:type="paragraph" w:customStyle="1" w:styleId="49">
    <w:name w:val="Normal Indent1"/>
    <w:basedOn w:val="1"/>
    <w:autoRedefine/>
    <w:qFormat/>
    <w:uiPriority w:val="99"/>
    <w:pPr>
      <w:ind w:firstLine="420"/>
    </w:pPr>
  </w:style>
  <w:style w:type="character" w:customStyle="1" w:styleId="50">
    <w:name w:val="font41"/>
    <w:basedOn w:val="28"/>
    <w:autoRedefine/>
    <w:qFormat/>
    <w:uiPriority w:val="0"/>
    <w:rPr>
      <w:rFonts w:hint="eastAsia" w:ascii="仿宋_GB2312" w:eastAsia="仿宋_GB2312" w:cs="仿宋_GB2312"/>
      <w:b/>
      <w:bCs/>
      <w:color w:val="000000"/>
      <w:sz w:val="24"/>
      <w:szCs w:val="24"/>
      <w:u w:val="none"/>
    </w:rPr>
  </w:style>
  <w:style w:type="character" w:customStyle="1" w:styleId="51">
    <w:name w:val="font31"/>
    <w:basedOn w:val="28"/>
    <w:autoRedefine/>
    <w:qFormat/>
    <w:uiPriority w:val="0"/>
    <w:rPr>
      <w:rFonts w:hint="eastAsia" w:ascii="仿宋_GB2312" w:eastAsia="仿宋_GB2312" w:cs="仿宋_GB2312"/>
      <w:color w:val="000000"/>
      <w:sz w:val="24"/>
      <w:szCs w:val="24"/>
      <w:u w:val="none"/>
    </w:rPr>
  </w:style>
  <w:style w:type="paragraph" w:styleId="52">
    <w:name w:val="List Paragraph"/>
    <w:basedOn w:val="1"/>
    <w:autoRedefine/>
    <w:qFormat/>
    <w:uiPriority w:val="34"/>
    <w:pPr>
      <w:spacing w:line="240" w:lineRule="auto"/>
      <w:ind w:firstLine="420"/>
    </w:pPr>
    <w:rPr>
      <w:rFonts w:ascii="Calibri" w:hAnsi="Calibri" w:eastAsia="宋体" w:cs="Times New Roman"/>
      <w:sz w:val="21"/>
    </w:rPr>
  </w:style>
  <w:style w:type="character" w:customStyle="1" w:styleId="53">
    <w:name w:val="font21"/>
    <w:basedOn w:val="28"/>
    <w:autoRedefine/>
    <w:qFormat/>
    <w:uiPriority w:val="0"/>
    <w:rPr>
      <w:rFonts w:hint="eastAsia" w:ascii="仿宋_GB2312" w:eastAsia="仿宋_GB2312" w:cs="仿宋_GB2312"/>
      <w:b/>
      <w:bCs/>
      <w:color w:val="000000"/>
      <w:sz w:val="24"/>
      <w:szCs w:val="24"/>
      <w:u w:val="none"/>
    </w:rPr>
  </w:style>
  <w:style w:type="character" w:customStyle="1" w:styleId="54">
    <w:name w:val="批注框文本 Char"/>
    <w:basedOn w:val="28"/>
    <w:link w:val="16"/>
    <w:autoRedefine/>
    <w:semiHidden/>
    <w:qFormat/>
    <w:uiPriority w:val="99"/>
    <w:rPr>
      <w:rFonts w:ascii="仿宋_GB2312" w:hAnsi="仿宋_GB2312" w:eastAsia="仿宋_GB2312" w:cstheme="minorBidi"/>
      <w:kern w:val="2"/>
      <w:sz w:val="18"/>
      <w:szCs w:val="18"/>
    </w:rPr>
  </w:style>
  <w:style w:type="paragraph" w:customStyle="1" w:styleId="55">
    <w:name w:val="Body Text First Indent 2"/>
    <w:basedOn w:val="1"/>
    <w:autoRedefine/>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10336</Words>
  <Characters>11514</Characters>
  <Lines>102</Lines>
  <Paragraphs>28</Paragraphs>
  <TotalTime>5</TotalTime>
  <ScaleCrop>false</ScaleCrop>
  <LinksUpToDate>false</LinksUpToDate>
  <CharactersWithSpaces>11618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19996237500</cp:lastModifiedBy>
  <cp:lastPrinted>2021-04-25T06:46:00Z</cp:lastPrinted>
  <dcterms:modified xsi:type="dcterms:W3CDTF">2024-08-13T07:26:31Z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E12DD0A9D7FF4D479F0B7FFA64368239_13</vt:lpwstr>
  </property>
</Properties>
</file>