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480" w:lineRule="auto"/>
        <w:ind w:firstLine="883"/>
        <w:jc w:val="left"/>
        <w:rPr>
          <w:rFonts w:ascii="宋体" w:hAnsi="宋体" w:eastAsia="宋体"/>
          <w:b/>
          <w:bCs/>
          <w:sz w:val="44"/>
          <w:szCs w:val="44"/>
        </w:rPr>
      </w:pPr>
    </w:p>
    <w:p>
      <w:pPr>
        <w:spacing w:line="720" w:lineRule="auto"/>
        <w:ind w:firstLine="0" w:firstLineChars="0"/>
        <w:jc w:val="center"/>
        <w:rPr>
          <w:rFonts w:hint="eastAsia" w:ascii="宋体" w:hAnsi="宋体" w:eastAsia="宋体"/>
          <w:b/>
          <w:bCs/>
          <w:sz w:val="44"/>
          <w:szCs w:val="44"/>
          <w:lang w:eastAsia="zh-CN"/>
        </w:rPr>
      </w:pPr>
      <w:r>
        <w:rPr>
          <w:rFonts w:hint="eastAsia" w:ascii="宋体" w:hAnsi="宋体" w:eastAsia="宋体"/>
          <w:b/>
          <w:bCs/>
          <w:sz w:val="44"/>
          <w:szCs w:val="44"/>
          <w:lang w:eastAsia="zh-CN"/>
        </w:rPr>
        <w:t>202</w:t>
      </w:r>
      <w:r>
        <w:rPr>
          <w:rFonts w:hint="eastAsia" w:ascii="宋体" w:hAnsi="宋体" w:eastAsia="宋体"/>
          <w:b/>
          <w:bCs/>
          <w:sz w:val="44"/>
          <w:szCs w:val="44"/>
          <w:lang w:val="en-US" w:eastAsia="zh-CN"/>
        </w:rPr>
        <w:t>3</w:t>
      </w:r>
      <w:r>
        <w:rPr>
          <w:rFonts w:hint="eastAsia" w:ascii="宋体" w:hAnsi="宋体" w:eastAsia="宋体"/>
          <w:b/>
          <w:bCs/>
          <w:sz w:val="44"/>
          <w:szCs w:val="44"/>
          <w:lang w:eastAsia="zh-CN"/>
        </w:rPr>
        <w:t>年度宁县人民法院</w:t>
      </w:r>
    </w:p>
    <w:p>
      <w:pPr>
        <w:spacing w:line="720" w:lineRule="auto"/>
        <w:ind w:firstLine="0" w:firstLineChars="0"/>
        <w:jc w:val="center"/>
        <w:rPr>
          <w:rFonts w:ascii="宋体" w:hAnsi="宋体" w:eastAsia="宋体"/>
          <w:b/>
          <w:bCs/>
          <w:sz w:val="44"/>
          <w:szCs w:val="44"/>
        </w:rPr>
      </w:pPr>
      <w:r>
        <w:rPr>
          <w:rFonts w:ascii="宋体" w:hAnsi="宋体" w:eastAsia="宋体"/>
          <w:b/>
          <w:bCs/>
          <w:sz w:val="44"/>
          <w:szCs w:val="44"/>
        </w:rPr>
        <w:t>预算执行情况</w:t>
      </w:r>
      <w:r>
        <w:rPr>
          <w:rFonts w:hint="eastAsia" w:ascii="宋体" w:hAnsi="宋体" w:eastAsia="宋体"/>
          <w:b/>
          <w:bCs/>
          <w:sz w:val="44"/>
          <w:szCs w:val="44"/>
        </w:rPr>
        <w:t>绩效</w:t>
      </w:r>
      <w:r>
        <w:rPr>
          <w:rFonts w:ascii="宋体" w:hAnsi="宋体" w:eastAsia="宋体"/>
          <w:b/>
          <w:bCs/>
          <w:sz w:val="44"/>
          <w:szCs w:val="44"/>
        </w:rPr>
        <w:t>自评报告</w:t>
      </w:r>
    </w:p>
    <w:p>
      <w:pPr>
        <w:widowControl/>
        <w:spacing w:line="240" w:lineRule="auto"/>
        <w:ind w:firstLine="0" w:firstLineChars="0"/>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883"/>
        <w:jc w:val="center"/>
        <w:rPr>
          <w:rFonts w:ascii="宋体" w:hAnsi="宋体" w:eastAsia="宋体"/>
          <w:b/>
          <w:bCs/>
          <w:sz w:val="44"/>
          <w:szCs w:val="44"/>
        </w:rPr>
      </w:pPr>
    </w:p>
    <w:p>
      <w:pPr>
        <w:ind w:firstLine="0" w:firstLineChars="0"/>
        <w:jc w:val="center"/>
        <w:rPr>
          <w:rFonts w:hint="eastAsia" w:ascii="宋体" w:hAnsi="宋体" w:eastAsia="宋体"/>
          <w:b/>
          <w:bCs/>
          <w:sz w:val="32"/>
          <w:szCs w:val="32"/>
          <w:lang w:eastAsia="zh-CN"/>
        </w:rPr>
      </w:pPr>
      <w:r>
        <w:rPr>
          <w:rFonts w:hint="eastAsia" w:ascii="宋体" w:hAnsi="宋体" w:eastAsia="宋体"/>
          <w:b/>
          <w:bCs/>
          <w:sz w:val="32"/>
          <w:szCs w:val="32"/>
          <w:lang w:eastAsia="zh-CN"/>
        </w:rPr>
        <w:t>宁县人民法院</w:t>
      </w:r>
    </w:p>
    <w:p>
      <w:pPr>
        <w:ind w:firstLine="0" w:firstLineChars="0"/>
        <w:jc w:val="center"/>
        <w:rPr>
          <w:rFonts w:ascii="宋体" w:hAnsi="宋体" w:eastAsia="宋体"/>
          <w:b/>
          <w:bCs/>
          <w:sz w:val="32"/>
          <w:szCs w:val="32"/>
        </w:rPr>
      </w:pPr>
      <w:r>
        <w:rPr>
          <w:rFonts w:hint="eastAsia" w:ascii="宋体" w:hAnsi="宋体" w:eastAsia="宋体"/>
          <w:b/>
          <w:bCs/>
          <w:sz w:val="32"/>
          <w:szCs w:val="32"/>
        </w:rPr>
        <w:t>202</w:t>
      </w:r>
      <w:r>
        <w:rPr>
          <w:rFonts w:hint="eastAsia" w:ascii="宋体" w:hAnsi="宋体" w:eastAsia="宋体"/>
          <w:b/>
          <w:bCs/>
          <w:sz w:val="32"/>
          <w:szCs w:val="32"/>
          <w:lang w:val="en-US" w:eastAsia="zh-CN"/>
        </w:rPr>
        <w:t>4</w:t>
      </w:r>
      <w:r>
        <w:rPr>
          <w:rFonts w:hint="eastAsia" w:ascii="宋体" w:hAnsi="宋体" w:eastAsia="宋体"/>
          <w:b/>
          <w:bCs/>
          <w:sz w:val="32"/>
          <w:szCs w:val="32"/>
        </w:rPr>
        <w:t>年2月</w:t>
      </w:r>
      <w:r>
        <w:rPr>
          <w:rFonts w:hint="eastAsia" w:ascii="宋体" w:hAnsi="宋体" w:eastAsia="宋体"/>
          <w:b/>
          <w:bCs/>
          <w:sz w:val="32"/>
          <w:szCs w:val="32"/>
          <w:lang w:val="en-US" w:eastAsia="zh-CN"/>
        </w:rPr>
        <w:t>2</w:t>
      </w:r>
      <w:r>
        <w:rPr>
          <w:rFonts w:hint="eastAsia" w:ascii="宋体" w:hAnsi="宋体" w:eastAsia="宋体"/>
          <w:b/>
          <w:bCs/>
          <w:sz w:val="32"/>
          <w:szCs w:val="32"/>
        </w:rPr>
        <w:t>7日</w:t>
      </w:r>
    </w:p>
    <w:p>
      <w:pPr>
        <w:ind w:firstLine="560"/>
        <w:jc w:val="left"/>
      </w:pPr>
    </w:p>
    <w:p>
      <w:pPr>
        <w:pStyle w:val="34"/>
        <w:spacing w:line="360" w:lineRule="auto"/>
        <w:ind w:firstLine="560"/>
        <w:jc w:val="center"/>
        <w:rPr>
          <w:rFonts w:ascii="仿宋_GB2312" w:hAnsi="仿宋_GB2312" w:eastAsia="仿宋_GB2312" w:cstheme="minorBidi"/>
          <w:color w:val="auto"/>
          <w:kern w:val="2"/>
          <w:sz w:val="28"/>
          <w:szCs w:val="22"/>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312" w:charSpace="0"/>
        </w:sectPr>
      </w:pP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7"/>
        <w:tabs>
          <w:tab w:val="right" w:leader="dot" w:pos="8306"/>
          <w:tab w:val="clear" w:pos="8296"/>
        </w:tabs>
        <w:spacing w:line="360" w:lineRule="auto"/>
        <w:ind w:firstLine="560" w:firstLineChars="0"/>
        <w:jc w:val="center"/>
        <w:rPr>
          <w:rFonts w:ascii="仿宋_GB2312" w:hAnsi="宋体" w:eastAsia="仿宋_GB2312" w:cstheme="minorBidi"/>
          <w:b/>
          <w:bCs/>
          <w:kern w:val="2"/>
          <w:sz w:val="28"/>
          <w:szCs w:val="22"/>
          <w:lang w:val="en-US" w:eastAsia="zh-CN" w:bidi="ar-SA"/>
        </w:rPr>
      </w:pPr>
      <w:r>
        <w:fldChar w:fldCharType="begin"/>
      </w:r>
      <w:r>
        <w:instrText xml:space="preserve"> TOC \o "1-2" \h \z \u </w:instrText>
      </w:r>
      <w:r>
        <w:fldChar w:fldCharType="separate"/>
      </w:r>
    </w:p>
    <w:p>
      <w:pPr>
        <w:pStyle w:val="17"/>
        <w:tabs>
          <w:tab w:val="right" w:leader="dot" w:pos="8306"/>
          <w:tab w:val="clear" w:pos="8296"/>
        </w:tabs>
      </w:pPr>
      <w:r>
        <w:fldChar w:fldCharType="begin"/>
      </w:r>
      <w:r>
        <w:instrText xml:space="preserve"> HYPERLINK \l _Toc17443 </w:instrText>
      </w:r>
      <w:r>
        <w:fldChar w:fldCharType="separate"/>
      </w:r>
      <w:r>
        <w:rPr>
          <w:rFonts w:hint="eastAsia"/>
          <w:lang w:val="en-US" w:eastAsia="zh-CN"/>
        </w:rPr>
        <w:t>一、</w:t>
      </w:r>
      <w:r>
        <w:rPr>
          <w:rFonts w:hint="eastAsia"/>
        </w:rPr>
        <w:t>基本情况</w:t>
      </w:r>
      <w:r>
        <w:tab/>
      </w:r>
      <w:r>
        <w:fldChar w:fldCharType="begin"/>
      </w:r>
      <w:r>
        <w:instrText xml:space="preserve"> PAGEREF _Toc17443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_Toc22879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rPr>
        <w:t>部门主要职能</w:t>
      </w:r>
      <w:r>
        <w:tab/>
      </w:r>
      <w:r>
        <w:fldChar w:fldCharType="begin"/>
      </w:r>
      <w:r>
        <w:instrText xml:space="preserve"> PAGEREF _Toc22879 </w:instrText>
      </w:r>
      <w:r>
        <w:fldChar w:fldCharType="separate"/>
      </w:r>
      <w:r>
        <w:t>3</w:t>
      </w:r>
      <w:r>
        <w:fldChar w:fldCharType="end"/>
      </w:r>
      <w:r>
        <w:fldChar w:fldCharType="end"/>
      </w:r>
    </w:p>
    <w:p>
      <w:pPr>
        <w:pStyle w:val="18"/>
        <w:tabs>
          <w:tab w:val="right" w:leader="dot" w:pos="8306"/>
          <w:tab w:val="clear" w:pos="8296"/>
        </w:tabs>
      </w:pPr>
      <w:r>
        <w:fldChar w:fldCharType="begin"/>
      </w:r>
      <w:r>
        <w:instrText xml:space="preserve"> HYPERLINK \l _Toc32081 </w:instrText>
      </w:r>
      <w:r>
        <w:fldChar w:fldCharType="separate"/>
      </w:r>
      <w:r>
        <w:rPr>
          <w:rFonts w:hint="eastAsia"/>
          <w:lang w:eastAsia="zh-CN"/>
        </w:rPr>
        <w:t>（</w:t>
      </w:r>
      <w:r>
        <w:rPr>
          <w:rFonts w:hint="eastAsia"/>
          <w:lang w:val="en-US" w:eastAsia="zh-CN"/>
        </w:rPr>
        <w:t>二</w:t>
      </w:r>
      <w:r>
        <w:rPr>
          <w:rFonts w:hint="eastAsia"/>
          <w:lang w:eastAsia="zh-CN"/>
        </w:rPr>
        <w:t>）内设机构及所属部门概况</w:t>
      </w:r>
      <w:r>
        <w:tab/>
      </w:r>
      <w:r>
        <w:fldChar w:fldCharType="begin"/>
      </w:r>
      <w:r>
        <w:instrText xml:space="preserve"> PAGEREF _Toc32081 </w:instrText>
      </w:r>
      <w:r>
        <w:fldChar w:fldCharType="separate"/>
      </w:r>
      <w:r>
        <w:t>4</w:t>
      </w:r>
      <w:r>
        <w:fldChar w:fldCharType="end"/>
      </w:r>
      <w:r>
        <w:fldChar w:fldCharType="end"/>
      </w:r>
    </w:p>
    <w:p>
      <w:pPr>
        <w:pStyle w:val="17"/>
        <w:tabs>
          <w:tab w:val="right" w:leader="dot" w:pos="8306"/>
          <w:tab w:val="clear" w:pos="8296"/>
        </w:tabs>
      </w:pPr>
      <w:r>
        <w:fldChar w:fldCharType="begin"/>
      </w:r>
      <w:r>
        <w:instrText xml:space="preserve"> HYPERLINK \l _Toc25020 </w:instrText>
      </w:r>
      <w:r>
        <w:fldChar w:fldCharType="separate"/>
      </w:r>
      <w:r>
        <w:rPr>
          <w:rFonts w:hint="eastAsia"/>
          <w:lang w:val="en-US" w:eastAsia="zh-CN"/>
        </w:rPr>
        <w:t>二、绩效自评工作组织开展情况</w:t>
      </w:r>
      <w:r>
        <w:tab/>
      </w:r>
      <w:r>
        <w:fldChar w:fldCharType="begin"/>
      </w:r>
      <w:r>
        <w:instrText xml:space="preserve"> PAGEREF _Toc25020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_Toc4649 </w:instrText>
      </w:r>
      <w:r>
        <w:fldChar w:fldCharType="separate"/>
      </w:r>
      <w:r>
        <w:rPr>
          <w:rFonts w:hint="eastAsia"/>
          <w:lang w:eastAsia="zh-CN"/>
        </w:rPr>
        <w:t>（</w:t>
      </w:r>
      <w:r>
        <w:rPr>
          <w:rFonts w:hint="eastAsia"/>
          <w:lang w:val="en-US" w:eastAsia="zh-CN"/>
        </w:rPr>
        <w:t>一</w:t>
      </w:r>
      <w:r>
        <w:rPr>
          <w:rFonts w:hint="eastAsia"/>
          <w:lang w:eastAsia="zh-CN"/>
        </w:rPr>
        <w:t>）自评工作组织管理情况</w:t>
      </w:r>
      <w:r>
        <w:tab/>
      </w:r>
      <w:r>
        <w:fldChar w:fldCharType="begin"/>
      </w:r>
      <w:r>
        <w:instrText xml:space="preserve"> PAGEREF _Toc4649 </w:instrText>
      </w:r>
      <w:r>
        <w:fldChar w:fldCharType="separate"/>
      </w:r>
      <w:r>
        <w:t>4</w:t>
      </w:r>
      <w:r>
        <w:fldChar w:fldCharType="end"/>
      </w:r>
      <w:r>
        <w:fldChar w:fldCharType="end"/>
      </w:r>
    </w:p>
    <w:p>
      <w:pPr>
        <w:pStyle w:val="18"/>
        <w:tabs>
          <w:tab w:val="right" w:leader="dot" w:pos="8306"/>
          <w:tab w:val="clear" w:pos="8296"/>
        </w:tabs>
      </w:pPr>
      <w:r>
        <w:fldChar w:fldCharType="begin"/>
      </w:r>
      <w:r>
        <w:instrText xml:space="preserve"> HYPERLINK \l _Toc15498 </w:instrText>
      </w:r>
      <w:r>
        <w:fldChar w:fldCharType="separate"/>
      </w:r>
      <w:r>
        <w:rPr>
          <w:rFonts w:hint="eastAsia"/>
          <w:lang w:eastAsia="zh-CN"/>
        </w:rPr>
        <w:t>（</w:t>
      </w:r>
      <w:r>
        <w:rPr>
          <w:rFonts w:hint="eastAsia"/>
          <w:lang w:val="en-US" w:eastAsia="zh-CN"/>
        </w:rPr>
        <w:t>二</w:t>
      </w:r>
      <w:r>
        <w:rPr>
          <w:rFonts w:hint="eastAsia"/>
          <w:lang w:eastAsia="zh-CN"/>
        </w:rPr>
        <w:t>）自评对象和范围</w:t>
      </w:r>
      <w:r>
        <w:tab/>
      </w:r>
      <w:r>
        <w:fldChar w:fldCharType="begin"/>
      </w:r>
      <w:r>
        <w:instrText xml:space="preserve"> PAGEREF _Toc15498 </w:instrText>
      </w:r>
      <w:r>
        <w:fldChar w:fldCharType="separate"/>
      </w:r>
      <w:r>
        <w:t>5</w:t>
      </w:r>
      <w:r>
        <w:fldChar w:fldCharType="end"/>
      </w:r>
      <w:r>
        <w:fldChar w:fldCharType="end"/>
      </w:r>
    </w:p>
    <w:p>
      <w:pPr>
        <w:pStyle w:val="18"/>
        <w:tabs>
          <w:tab w:val="right" w:leader="dot" w:pos="8306"/>
          <w:tab w:val="clear" w:pos="8296"/>
        </w:tabs>
      </w:pPr>
      <w:r>
        <w:fldChar w:fldCharType="begin"/>
      </w:r>
      <w:r>
        <w:instrText xml:space="preserve"> HYPERLINK \l _Toc19552 </w:instrText>
      </w:r>
      <w:r>
        <w:fldChar w:fldCharType="separate"/>
      </w:r>
      <w:r>
        <w:rPr>
          <w:rFonts w:hint="eastAsia"/>
          <w:lang w:eastAsia="zh-CN"/>
        </w:rPr>
        <w:t>（</w:t>
      </w:r>
      <w:r>
        <w:rPr>
          <w:rFonts w:hint="eastAsia"/>
          <w:lang w:val="en-US" w:eastAsia="zh-CN"/>
        </w:rPr>
        <w:t>三</w:t>
      </w:r>
      <w:r>
        <w:rPr>
          <w:rFonts w:hint="eastAsia"/>
          <w:lang w:eastAsia="zh-CN"/>
        </w:rPr>
        <w:t>）自评工作程序</w:t>
      </w:r>
      <w:r>
        <w:tab/>
      </w:r>
      <w:r>
        <w:fldChar w:fldCharType="begin"/>
      </w:r>
      <w:r>
        <w:instrText xml:space="preserve"> PAGEREF _Toc19552 </w:instrText>
      </w:r>
      <w:r>
        <w:fldChar w:fldCharType="separate"/>
      </w:r>
      <w:r>
        <w:t>5</w:t>
      </w:r>
      <w:r>
        <w:fldChar w:fldCharType="end"/>
      </w:r>
      <w:r>
        <w:fldChar w:fldCharType="end"/>
      </w:r>
    </w:p>
    <w:p>
      <w:pPr>
        <w:pStyle w:val="17"/>
        <w:tabs>
          <w:tab w:val="right" w:leader="dot" w:pos="8306"/>
          <w:tab w:val="clear" w:pos="8296"/>
        </w:tabs>
      </w:pPr>
      <w:r>
        <w:fldChar w:fldCharType="begin"/>
      </w:r>
      <w:r>
        <w:instrText xml:space="preserve"> HYPERLINK \l _Toc27171 </w:instrText>
      </w:r>
      <w:r>
        <w:fldChar w:fldCharType="separate"/>
      </w:r>
      <w:r>
        <w:rPr>
          <w:rFonts w:hint="eastAsia"/>
        </w:rPr>
        <w:t>三、部门整体支出绩效自评情况分析</w:t>
      </w:r>
      <w:r>
        <w:tab/>
      </w:r>
      <w:r>
        <w:fldChar w:fldCharType="begin"/>
      </w:r>
      <w:r>
        <w:instrText xml:space="preserve"> PAGEREF _Toc27171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_Toc31351 </w:instrText>
      </w:r>
      <w:r>
        <w:fldChar w:fldCharType="separate"/>
      </w:r>
      <w:r>
        <w:rPr>
          <w:rFonts w:hint="eastAsia"/>
        </w:rPr>
        <w:t>（一）部门决算情况</w:t>
      </w:r>
      <w:r>
        <w:tab/>
      </w:r>
      <w:r>
        <w:fldChar w:fldCharType="begin"/>
      </w:r>
      <w:r>
        <w:instrText xml:space="preserve"> PAGEREF _Toc31351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_Toc22605 </w:instrText>
      </w:r>
      <w:r>
        <w:fldChar w:fldCharType="separate"/>
      </w:r>
      <w:r>
        <w:rPr>
          <w:rFonts w:hint="eastAsia"/>
        </w:rPr>
        <w:t>（二）总体绩效目标完成情况分析</w:t>
      </w:r>
      <w:r>
        <w:tab/>
      </w:r>
      <w:r>
        <w:fldChar w:fldCharType="begin"/>
      </w:r>
      <w:r>
        <w:instrText xml:space="preserve"> PAGEREF _Toc22605 </w:instrText>
      </w:r>
      <w:r>
        <w:fldChar w:fldCharType="separate"/>
      </w:r>
      <w:r>
        <w:t>6</w:t>
      </w:r>
      <w:r>
        <w:fldChar w:fldCharType="end"/>
      </w:r>
      <w:r>
        <w:fldChar w:fldCharType="end"/>
      </w:r>
    </w:p>
    <w:p>
      <w:pPr>
        <w:pStyle w:val="18"/>
        <w:tabs>
          <w:tab w:val="right" w:leader="dot" w:pos="8306"/>
          <w:tab w:val="clear" w:pos="8296"/>
        </w:tabs>
      </w:pPr>
      <w:r>
        <w:fldChar w:fldCharType="begin"/>
      </w:r>
      <w:r>
        <w:instrText xml:space="preserve"> HYPERLINK \l _Toc28484 </w:instrText>
      </w:r>
      <w:r>
        <w:fldChar w:fldCharType="separate"/>
      </w:r>
      <w:r>
        <w:rPr>
          <w:rFonts w:hint="eastAsia"/>
        </w:rPr>
        <w:t>（三）各项指标完成情况分析</w:t>
      </w:r>
      <w:r>
        <w:tab/>
      </w:r>
      <w:r>
        <w:fldChar w:fldCharType="begin"/>
      </w:r>
      <w:r>
        <w:instrText xml:space="preserve"> PAGEREF _Toc28484 </w:instrText>
      </w:r>
      <w:r>
        <w:fldChar w:fldCharType="separate"/>
      </w:r>
      <w:r>
        <w:t>7</w:t>
      </w:r>
      <w:r>
        <w:fldChar w:fldCharType="end"/>
      </w:r>
      <w:r>
        <w:fldChar w:fldCharType="end"/>
      </w:r>
    </w:p>
    <w:p>
      <w:pPr>
        <w:pStyle w:val="18"/>
        <w:tabs>
          <w:tab w:val="right" w:leader="dot" w:pos="8306"/>
          <w:tab w:val="clear" w:pos="8296"/>
        </w:tabs>
      </w:pPr>
      <w:r>
        <w:fldChar w:fldCharType="begin"/>
      </w:r>
      <w:r>
        <w:instrText xml:space="preserve"> HYPERLINK \l _Toc16933 </w:instrText>
      </w:r>
      <w:r>
        <w:fldChar w:fldCharType="separate"/>
      </w:r>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r>
        <w:tab/>
      </w:r>
      <w:r>
        <w:fldChar w:fldCharType="begin"/>
      </w:r>
      <w:r>
        <w:instrText xml:space="preserve"> PAGEREF _Toc16933 </w:instrText>
      </w:r>
      <w:r>
        <w:fldChar w:fldCharType="separate"/>
      </w:r>
      <w:r>
        <w:t>12</w:t>
      </w:r>
      <w:r>
        <w:fldChar w:fldCharType="end"/>
      </w:r>
      <w:r>
        <w:fldChar w:fldCharType="end"/>
      </w:r>
    </w:p>
    <w:p>
      <w:pPr>
        <w:pStyle w:val="17"/>
        <w:tabs>
          <w:tab w:val="right" w:leader="dot" w:pos="8306"/>
          <w:tab w:val="clear" w:pos="8296"/>
        </w:tabs>
      </w:pPr>
      <w:r>
        <w:fldChar w:fldCharType="begin"/>
      </w:r>
      <w:r>
        <w:instrText xml:space="preserve"> HYPERLINK \l _Toc18080 </w:instrText>
      </w:r>
      <w:r>
        <w:fldChar w:fldCharType="separate"/>
      </w:r>
      <w:r>
        <w:rPr>
          <w:rFonts w:hint="eastAsia" w:ascii="仿宋_GB2312" w:hAnsi="仿宋_GB2312" w:eastAsia="仿宋_GB2312" w:cstheme="minorBidi"/>
          <w:bCs w:val="0"/>
          <w:kern w:val="2"/>
          <w:szCs w:val="22"/>
          <w:lang w:val="en-US" w:eastAsia="zh-CN" w:bidi="ar-SA"/>
        </w:rPr>
        <w:t>项目支出预算执行率较低，年末结转结余资金较多，下一步我院将督促提高资金执行率。</w:t>
      </w:r>
      <w:r>
        <w:tab/>
      </w:r>
      <w:r>
        <w:fldChar w:fldCharType="begin"/>
      </w:r>
      <w:r>
        <w:instrText xml:space="preserve"> PAGEREF _Toc18080 </w:instrText>
      </w:r>
      <w:r>
        <w:fldChar w:fldCharType="separate"/>
      </w:r>
      <w:r>
        <w:t>12</w:t>
      </w:r>
      <w:r>
        <w:fldChar w:fldCharType="end"/>
      </w:r>
      <w:r>
        <w:fldChar w:fldCharType="end"/>
      </w:r>
    </w:p>
    <w:p>
      <w:pPr>
        <w:pStyle w:val="17"/>
        <w:tabs>
          <w:tab w:val="right" w:leader="dot" w:pos="8306"/>
          <w:tab w:val="clear" w:pos="8296"/>
        </w:tabs>
      </w:pPr>
      <w:r>
        <w:fldChar w:fldCharType="begin"/>
      </w:r>
      <w:r>
        <w:instrText xml:space="preserve"> HYPERLINK \l _Toc13450 </w:instrText>
      </w:r>
      <w:r>
        <w:fldChar w:fldCharType="separate"/>
      </w:r>
      <w:r>
        <w:rPr>
          <w:rFonts w:hint="eastAsia"/>
          <w:lang w:val="en-US" w:eastAsia="zh-CN"/>
        </w:rPr>
        <w:t>四、部门预算项目支出绩效自评情况分析</w:t>
      </w:r>
      <w:r>
        <w:tab/>
      </w:r>
      <w:r>
        <w:fldChar w:fldCharType="begin"/>
      </w:r>
      <w:r>
        <w:instrText xml:space="preserve"> PAGEREF _Toc13450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_Toc24750 </w:instrText>
      </w:r>
      <w:r>
        <w:fldChar w:fldCharType="separate"/>
      </w:r>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r>
        <w:tab/>
      </w:r>
      <w:r>
        <w:fldChar w:fldCharType="begin"/>
      </w:r>
      <w:r>
        <w:instrText xml:space="preserve"> PAGEREF _Toc24750 </w:instrText>
      </w:r>
      <w:r>
        <w:fldChar w:fldCharType="separate"/>
      </w:r>
      <w:r>
        <w:t>12</w:t>
      </w:r>
      <w:r>
        <w:fldChar w:fldCharType="end"/>
      </w:r>
      <w:r>
        <w:fldChar w:fldCharType="end"/>
      </w:r>
    </w:p>
    <w:p>
      <w:pPr>
        <w:pStyle w:val="18"/>
        <w:tabs>
          <w:tab w:val="right" w:leader="dot" w:pos="8306"/>
          <w:tab w:val="clear" w:pos="8296"/>
        </w:tabs>
      </w:pPr>
      <w:r>
        <w:fldChar w:fldCharType="begin"/>
      </w:r>
      <w:r>
        <w:instrText xml:space="preserve"> HYPERLINK \l _Toc709 </w:instrText>
      </w:r>
      <w:r>
        <w:fldChar w:fldCharType="separate"/>
      </w:r>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r>
        <w:tab/>
      </w:r>
      <w:r>
        <w:fldChar w:fldCharType="begin"/>
      </w:r>
      <w:r>
        <w:instrText xml:space="preserve"> PAGEREF _Toc709 </w:instrText>
      </w:r>
      <w:r>
        <w:fldChar w:fldCharType="separate"/>
      </w:r>
      <w:r>
        <w:t>18</w:t>
      </w:r>
      <w:r>
        <w:fldChar w:fldCharType="end"/>
      </w:r>
      <w:r>
        <w:fldChar w:fldCharType="end"/>
      </w:r>
    </w:p>
    <w:p>
      <w:pPr>
        <w:pStyle w:val="17"/>
        <w:tabs>
          <w:tab w:val="right" w:leader="dot" w:pos="8306"/>
          <w:tab w:val="clear" w:pos="8296"/>
        </w:tabs>
      </w:pPr>
      <w:r>
        <w:fldChar w:fldCharType="begin"/>
      </w:r>
      <w:r>
        <w:instrText xml:space="preserve"> HYPERLINK \l _Toc20584 </w:instrText>
      </w:r>
      <w:r>
        <w:fldChar w:fldCharType="separate"/>
      </w:r>
      <w:r>
        <w:rPr>
          <w:rFonts w:hint="eastAsia"/>
          <w:lang w:val="en-US" w:eastAsia="zh-CN"/>
        </w:rPr>
        <w:t>五、绩效自评结果拟应用和公开情况</w:t>
      </w:r>
      <w:r>
        <w:tab/>
      </w:r>
      <w:r>
        <w:fldChar w:fldCharType="begin"/>
      </w:r>
      <w:r>
        <w:instrText xml:space="preserve"> PAGEREF _Toc20584 </w:instrText>
      </w:r>
      <w:r>
        <w:fldChar w:fldCharType="separate"/>
      </w:r>
      <w:r>
        <w:t>22</w:t>
      </w:r>
      <w:r>
        <w:fldChar w:fldCharType="end"/>
      </w:r>
      <w:r>
        <w:fldChar w:fldCharType="end"/>
      </w:r>
    </w:p>
    <w:p>
      <w:pPr>
        <w:pStyle w:val="17"/>
        <w:tabs>
          <w:tab w:val="right" w:leader="dot" w:pos="8306"/>
          <w:tab w:val="clear" w:pos="8296"/>
        </w:tabs>
      </w:pPr>
      <w:r>
        <w:fldChar w:fldCharType="begin"/>
      </w:r>
      <w:r>
        <w:instrText xml:space="preserve"> HYPERLINK \l _Toc5499 </w:instrText>
      </w:r>
      <w:r>
        <w:fldChar w:fldCharType="separate"/>
      </w:r>
      <w:r>
        <w:rPr>
          <w:rFonts w:hint="eastAsia"/>
          <w:lang w:val="en-US" w:eastAsia="zh-CN"/>
        </w:rPr>
        <w:t>六、其他需要说明的问题</w:t>
      </w:r>
      <w:r>
        <w:tab/>
      </w:r>
      <w:r>
        <w:fldChar w:fldCharType="begin"/>
      </w:r>
      <w:r>
        <w:instrText xml:space="preserve"> PAGEREF _Toc5499 </w:instrText>
      </w:r>
      <w:r>
        <w:fldChar w:fldCharType="separate"/>
      </w:r>
      <w:r>
        <w:t>22</w:t>
      </w:r>
      <w:r>
        <w:fldChar w:fldCharType="end"/>
      </w:r>
      <w:r>
        <w:fldChar w:fldCharType="end"/>
      </w:r>
    </w:p>
    <w:p>
      <w:pPr>
        <w:pStyle w:val="34"/>
        <w:tabs>
          <w:tab w:val="right" w:leader="dot" w:pos="8306"/>
        </w:tabs>
        <w:spacing w:line="360" w:lineRule="auto"/>
        <w:ind w:firstLine="560" w:firstLineChars="0"/>
        <w:jc w:val="center"/>
      </w:pPr>
      <w:r>
        <w:fldChar w:fldCharType="end"/>
      </w:r>
      <w:bookmarkStart w:id="79" w:name="_GoBack"/>
      <w:bookmarkEnd w:id="79"/>
    </w:p>
    <w:p>
      <w:pPr>
        <w:widowControl/>
        <w:spacing w:line="240" w:lineRule="auto"/>
        <w:ind w:firstLine="0" w:firstLineChars="0"/>
        <w:jc w:val="center"/>
        <w:rPr>
          <w:rFonts w:hint="eastAsia" w:ascii="宋体" w:hAnsi="宋体" w:eastAsia="宋体" w:cs="Arial"/>
          <w:b/>
          <w:bCs/>
          <w:sz w:val="44"/>
          <w:szCs w:val="44"/>
          <w:lang w:eastAsia="zh-CN"/>
        </w:rPr>
        <w:sectPr>
          <w:footerReference r:id="rId9" w:type="default"/>
          <w:pgSz w:w="11906" w:h="16838"/>
          <w:pgMar w:top="1440" w:right="1800" w:bottom="1440" w:left="1800" w:header="851" w:footer="992" w:gutter="0"/>
          <w:cols w:space="425" w:num="1"/>
          <w:docGrid w:type="lines" w:linePitch="312" w:charSpace="0"/>
        </w:sectPr>
      </w:pPr>
      <w:bookmarkStart w:id="0" w:name="_Toc4040"/>
      <w:bookmarkStart w:id="1" w:name="_Toc13158"/>
      <w:bookmarkStart w:id="2" w:name="_Toc22477"/>
      <w:bookmarkStart w:id="3" w:name="_Toc28671"/>
      <w:bookmarkStart w:id="4" w:name="_Toc18188"/>
    </w:p>
    <w:p>
      <w:pPr>
        <w:widowControl/>
        <w:spacing w:line="240" w:lineRule="auto"/>
        <w:ind w:firstLine="0" w:firstLineChars="0"/>
        <w:jc w:val="center"/>
        <w:rPr>
          <w:rFonts w:hint="eastAsia" w:ascii="宋体" w:hAnsi="宋体" w:eastAsia="宋体" w:cs="Arial"/>
          <w:b/>
          <w:bCs/>
          <w:sz w:val="44"/>
          <w:szCs w:val="44"/>
          <w:lang w:eastAsia="zh-CN"/>
        </w:rPr>
      </w:pPr>
      <w:r>
        <w:rPr>
          <w:rFonts w:hint="eastAsia" w:ascii="宋体" w:hAnsi="宋体" w:eastAsia="宋体" w:cs="Arial"/>
          <w:b/>
          <w:bCs/>
          <w:sz w:val="44"/>
          <w:szCs w:val="44"/>
          <w:lang w:eastAsia="zh-CN"/>
        </w:rPr>
        <w:t>宁县人民法院2023年度</w:t>
      </w:r>
    </w:p>
    <w:p>
      <w:pPr>
        <w:widowControl/>
        <w:spacing w:line="240" w:lineRule="auto"/>
        <w:ind w:firstLine="0" w:firstLineChars="0"/>
        <w:jc w:val="center"/>
        <w:rPr>
          <w:rFonts w:ascii="宋体" w:hAnsi="宋体" w:eastAsia="宋体" w:cs="Arial"/>
          <w:b/>
          <w:bCs/>
          <w:sz w:val="44"/>
          <w:szCs w:val="44"/>
        </w:rPr>
      </w:pPr>
      <w:r>
        <w:rPr>
          <w:rFonts w:hint="eastAsia" w:ascii="宋体" w:hAnsi="宋体" w:eastAsia="宋体" w:cs="Arial"/>
          <w:b/>
          <w:bCs/>
          <w:sz w:val="44"/>
          <w:szCs w:val="44"/>
        </w:rPr>
        <w:t>预算执行情况自评报告</w:t>
      </w:r>
      <w:bookmarkEnd w:id="0"/>
      <w:bookmarkEnd w:id="1"/>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jc w:val="both"/>
        <w:textAlignment w:val="auto"/>
      </w:pPr>
      <w:bookmarkStart w:id="5" w:name="_Toc17443"/>
      <w:r>
        <w:rPr>
          <w:rFonts w:hint="eastAsia"/>
          <w:lang w:val="en-US" w:eastAsia="zh-CN"/>
        </w:rPr>
        <w:t>一、</w:t>
      </w:r>
      <w:r>
        <w:rPr>
          <w:rFonts w:hint="eastAsia"/>
        </w:rPr>
        <w:t>基本情况</w:t>
      </w:r>
      <w:bookmarkEnd w:id="2"/>
      <w:bookmarkEnd w:id="3"/>
      <w:bookmarkEnd w:id="4"/>
      <w:bookmarkEnd w:id="5"/>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pPr>
      <w:bookmarkStart w:id="6" w:name="_Toc18868"/>
      <w:bookmarkStart w:id="7" w:name="_Toc24636"/>
      <w:bookmarkStart w:id="8" w:name="_Toc819"/>
      <w:bookmarkStart w:id="9" w:name="_Toc22879"/>
      <w:r>
        <w:rPr>
          <w:rFonts w:hint="eastAsia"/>
          <w:lang w:eastAsia="zh-CN"/>
        </w:rPr>
        <w:t>（</w:t>
      </w:r>
      <w:r>
        <w:rPr>
          <w:rFonts w:hint="eastAsia"/>
          <w:lang w:val="en-US" w:eastAsia="zh-CN"/>
        </w:rPr>
        <w:t>一</w:t>
      </w:r>
      <w:r>
        <w:rPr>
          <w:rFonts w:hint="eastAsia"/>
          <w:lang w:eastAsia="zh-CN"/>
        </w:rPr>
        <w:t>）</w:t>
      </w:r>
      <w:r>
        <w:rPr>
          <w:rFonts w:hint="eastAsia"/>
        </w:rPr>
        <w:t>部门主要职能</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bookmarkStart w:id="10" w:name="_Toc20782"/>
      <w:bookmarkStart w:id="11" w:name="_Toc7151"/>
      <w:bookmarkStart w:id="12" w:name="_Toc25335"/>
      <w:r>
        <w:rPr>
          <w:rFonts w:hint="eastAsia"/>
          <w:lang w:val="en-US" w:eastAsia="zh-CN"/>
        </w:rPr>
        <w:t>宁县</w:t>
      </w:r>
      <w:r>
        <w:rPr>
          <w:rFonts w:hint="eastAsia"/>
        </w:rPr>
        <w:t>人民法院是国家审判机关，依法独立行使审判权，对</w:t>
      </w:r>
      <w:r>
        <w:rPr>
          <w:rFonts w:hint="eastAsia"/>
          <w:lang w:val="en-US" w:eastAsia="zh-CN"/>
        </w:rPr>
        <w:t>市</w:t>
      </w:r>
      <w:r>
        <w:rPr>
          <w:rFonts w:hint="eastAsia"/>
        </w:rPr>
        <w:t>级地方人民代表大会及其常务委员会负责并报告工作</w:t>
      </w:r>
      <w:r>
        <w:rPr>
          <w:rFonts w:hint="eastAsia"/>
          <w:lang w:eastAsia="zh-CN"/>
        </w:rPr>
        <w:t>。</w:t>
      </w:r>
      <w:r>
        <w:rPr>
          <w:rFonts w:hint="eastAsia"/>
        </w:rPr>
        <w:t>其主要职责是：</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1、审理按法律规定有管辖权的第一审刑事公诉和自诉案件；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2、审理按法律规定有管辖权的第一审民商事案件；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3、审理按法律规定有管辖权的第一审行政诉讼案件，审查由行政机关提出的非诉行政执行申请；</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4、审理由上级人民法院指定本院管辖的案件；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5、审理由上一级人民法院指令再审、发回重审和由本院提起再审的案件；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6、受理当事人因不服本院已发生法律效力的判决书、裁定书、调解书所提起的申诉，并予以审查处理；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7、依法行使司法执行权，执行当事人提出申请的、由本院作出一审已发生法律效力的各类案件；</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8、调查研究审判工作中的法律政策及疑难问题，总结审判经验；针对案件审理中发现的问题提出司法建议；</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9、负责对法官和审判辅助人员的管理、教育、培训工作；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10、在审判工作中宣传法律，教育公民自觉遵守宪法和法律，参与社会治安综合治理；</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11、指导人民调解委员会的工作；</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rPr>
      </w:pPr>
      <w:r>
        <w:rPr>
          <w:rFonts w:hint="eastAsia"/>
        </w:rPr>
        <w:t>12、处理法律规定应由基层人民法院处理的其他工作。</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13" w:name="_Toc32081"/>
      <w:r>
        <w:rPr>
          <w:rFonts w:hint="eastAsia"/>
          <w:lang w:eastAsia="zh-CN"/>
        </w:rPr>
        <w:t>（</w:t>
      </w:r>
      <w:r>
        <w:rPr>
          <w:rFonts w:hint="eastAsia"/>
          <w:lang w:val="en-US" w:eastAsia="zh-CN"/>
        </w:rPr>
        <w:t>二</w:t>
      </w:r>
      <w:r>
        <w:rPr>
          <w:rFonts w:hint="eastAsia"/>
          <w:lang w:eastAsia="zh-CN"/>
        </w:rPr>
        <w:t>）内设机构及所属部门概况</w:t>
      </w:r>
      <w:bookmarkEnd w:id="10"/>
      <w:bookmarkEnd w:id="11"/>
      <w:bookmarkEnd w:id="12"/>
      <w:bookmarkEnd w:id="13"/>
    </w:p>
    <w:p>
      <w:pPr>
        <w:bidi w:val="0"/>
        <w:rPr>
          <w:rFonts w:hint="eastAsia"/>
          <w:b/>
          <w:bCs/>
          <w:lang w:val="en-US" w:eastAsia="zh-CN"/>
        </w:rPr>
      </w:pPr>
      <w:bookmarkStart w:id="14" w:name="_Toc19050"/>
      <w:bookmarkStart w:id="15" w:name="_Toc28217"/>
      <w:bookmarkStart w:id="16" w:name="_Toc13794"/>
      <w:bookmarkStart w:id="17" w:name="_Toc18193"/>
      <w:bookmarkStart w:id="18" w:name="_Toc4574"/>
      <w:r>
        <w:rPr>
          <w:rFonts w:hint="eastAsia"/>
          <w:b/>
          <w:bCs/>
          <w:lang w:val="en-US" w:eastAsia="zh-CN"/>
        </w:rPr>
        <w:t>1.内设机构</w:t>
      </w:r>
      <w:bookmarkEnd w:id="14"/>
      <w:bookmarkEnd w:id="15"/>
    </w:p>
    <w:p>
      <w:pPr>
        <w:spacing w:line="222" w:lineRule="auto"/>
        <w:rPr>
          <w:rFonts w:ascii="仿宋" w:hAnsi="仿宋" w:eastAsia="仿宋" w:cs="仿宋"/>
          <w:sz w:val="31"/>
          <w:szCs w:val="31"/>
        </w:rPr>
      </w:pPr>
      <w:r>
        <w:rPr>
          <w:rFonts w:hint="eastAsia"/>
        </w:rPr>
        <w:t>宁县人民法院内设14个机构，包括立案庭(诉讼服务中心)、刑事审判庭、民事审判庭、行政审判庭(综合审判庭)、执行庭(局)、审判管理办公室(研究室)、综合办公室(司法警察大队)、政治部(机关党委),另有早胜法庭、平子法庭、湘乐法庭、南义法庭、焦村法庭和盛法庭六个派出机构。</w:t>
      </w:r>
    </w:p>
    <w:p>
      <w:pPr>
        <w:bidi w:val="0"/>
        <w:rPr>
          <w:rFonts w:hint="default"/>
          <w:b/>
          <w:bCs/>
          <w:lang w:val="en-US" w:eastAsia="zh-CN"/>
        </w:rPr>
      </w:pPr>
      <w:bookmarkStart w:id="19" w:name="_Toc4011"/>
      <w:r>
        <w:rPr>
          <w:rFonts w:hint="eastAsia"/>
          <w:b/>
          <w:bCs/>
          <w:lang w:val="en-US" w:eastAsia="zh-CN"/>
        </w:rPr>
        <w:t>2.人员基本情况</w:t>
      </w:r>
      <w:bookmarkEnd w:id="19"/>
    </w:p>
    <w:p>
      <w:pPr>
        <w:spacing w:line="222" w:lineRule="auto"/>
        <w:rPr>
          <w:rFonts w:hint="eastAsia"/>
        </w:rPr>
      </w:pPr>
      <w:r>
        <w:rPr>
          <w:rFonts w:hint="eastAsia"/>
        </w:rPr>
        <w:t>宁县法院202</w:t>
      </w:r>
      <w:r>
        <w:rPr>
          <w:rFonts w:hint="eastAsia"/>
          <w:lang w:val="en-US" w:eastAsia="zh-CN"/>
        </w:rPr>
        <w:t>3</w:t>
      </w:r>
      <w:r>
        <w:rPr>
          <w:rFonts w:hint="eastAsia"/>
        </w:rPr>
        <w:t>年年底实有</w:t>
      </w:r>
      <w:r>
        <w:rPr>
          <w:rFonts w:hint="eastAsia"/>
          <w:lang w:val="en-US" w:eastAsia="zh-CN"/>
        </w:rPr>
        <w:t>93</w:t>
      </w:r>
      <w:r>
        <w:rPr>
          <w:rFonts w:hint="eastAsia"/>
        </w:rPr>
        <w:t>人，</w:t>
      </w:r>
      <w:r>
        <w:rPr>
          <w:rFonts w:hint="eastAsia"/>
          <w:lang w:val="en-US" w:eastAsia="zh-CN"/>
        </w:rPr>
        <w:t>行政人员89</w:t>
      </w:r>
      <w:r>
        <w:rPr>
          <w:rFonts w:hint="eastAsia"/>
        </w:rPr>
        <w:t>，非参公事业人员</w:t>
      </w:r>
      <w:r>
        <w:rPr>
          <w:rFonts w:hint="eastAsia"/>
          <w:lang w:val="en-US" w:eastAsia="zh-CN"/>
        </w:rPr>
        <w:t>4人</w:t>
      </w:r>
      <w:r>
        <w:rPr>
          <w:rFonts w:hint="eastAsia"/>
        </w:rPr>
        <w:t>，;事业编干警</w:t>
      </w:r>
      <w:r>
        <w:rPr>
          <w:rFonts w:hint="eastAsia"/>
          <w:lang w:val="en-US" w:eastAsia="zh-CN"/>
        </w:rPr>
        <w:t>6</w:t>
      </w:r>
      <w:r>
        <w:rPr>
          <w:rFonts w:hint="eastAsia"/>
        </w:rPr>
        <w:t>人；省聘书记员3</w:t>
      </w:r>
      <w:r>
        <w:rPr>
          <w:rFonts w:hint="eastAsia"/>
          <w:lang w:val="en-US" w:eastAsia="zh-CN"/>
        </w:rPr>
        <w:t>2</w:t>
      </w:r>
      <w:r>
        <w:rPr>
          <w:rFonts w:hint="eastAsia"/>
        </w:rPr>
        <w:t>人</w:t>
      </w:r>
      <w:r>
        <w:rPr>
          <w:rFonts w:hint="eastAsia"/>
          <w:lang w:eastAsia="zh-CN"/>
        </w:rPr>
        <w:t>，</w:t>
      </w:r>
      <w:r>
        <w:rPr>
          <w:rFonts w:hint="eastAsia"/>
          <w:lang w:val="en-US" w:eastAsia="zh-CN"/>
        </w:rPr>
        <w:t>年末遗属10人</w:t>
      </w:r>
      <w:r>
        <w:rPr>
          <w:rFonts w:hint="eastAsia"/>
        </w:rPr>
        <w:t>。</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643" w:firstLineChars="200"/>
        <w:jc w:val="both"/>
        <w:textAlignment w:val="auto"/>
        <w:rPr>
          <w:rFonts w:hint="eastAsia"/>
          <w:lang w:val="en-US" w:eastAsia="zh-CN"/>
        </w:rPr>
      </w:pPr>
      <w:bookmarkStart w:id="20" w:name="_Toc25020"/>
      <w:r>
        <w:rPr>
          <w:rFonts w:hint="eastAsia"/>
          <w:lang w:val="en-US" w:eastAsia="zh-CN"/>
        </w:rPr>
        <w:t>二、绩效自评工作组织开展情况</w:t>
      </w:r>
      <w:bookmarkEnd w:id="16"/>
      <w:bookmarkEnd w:id="17"/>
      <w:bookmarkEnd w:id="18"/>
      <w:bookmarkEnd w:id="20"/>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1" w:name="_Toc4649"/>
      <w:bookmarkStart w:id="22" w:name="_Toc4177"/>
      <w:bookmarkStart w:id="23" w:name="_Toc31965"/>
      <w:bookmarkStart w:id="24" w:name="_Toc11147"/>
      <w:r>
        <w:rPr>
          <w:rFonts w:hint="eastAsia"/>
          <w:lang w:eastAsia="zh-CN"/>
        </w:rPr>
        <w:t>（</w:t>
      </w:r>
      <w:r>
        <w:rPr>
          <w:rFonts w:hint="eastAsia"/>
          <w:lang w:val="en-US" w:eastAsia="zh-CN"/>
        </w:rPr>
        <w:t>一</w:t>
      </w:r>
      <w:r>
        <w:rPr>
          <w:rFonts w:hint="eastAsia"/>
          <w:lang w:eastAsia="zh-CN"/>
        </w:rPr>
        <w:t>）自评工作组织管理情况</w:t>
      </w:r>
      <w:bookmarkEnd w:id="21"/>
    </w:p>
    <w:p>
      <w:pPr>
        <w:pageBreakBefore w:val="0"/>
        <w:widowControl w:val="0"/>
        <w:kinsoku/>
        <w:wordWrap/>
        <w:overflowPunct/>
        <w:topLinePunct w:val="0"/>
        <w:autoSpaceDE/>
        <w:autoSpaceDN/>
        <w:bidi w:val="0"/>
        <w:adjustRightInd/>
        <w:snapToGrid/>
        <w:ind w:firstLine="560" w:firstLineChars="200"/>
        <w:jc w:val="both"/>
        <w:textAlignment w:val="auto"/>
        <w:outlineLvl w:val="9"/>
      </w:pPr>
      <w:r>
        <w:rPr>
          <w:rFonts w:hint="eastAsia"/>
        </w:rPr>
        <w:t>我院十分重视此次绩效评价工作，要求财务部门严格按照省上有关文件精神，科学分析，精准评价，确保绩效评价客观公正。工作启动后，严格按照《</w:t>
      </w:r>
      <w:r>
        <w:t>关于全面实施预算绩效管理的意见》（中发〔2018〕34号）</w:t>
      </w:r>
      <w:r>
        <w:rPr>
          <w:rFonts w:hint="eastAsia"/>
        </w:rPr>
        <w:t>、中共甘肃省委甘肃省人民政府《关于全面实施预算绩效管理的实施意见》（甘发〔2018〕32号）、</w:t>
      </w:r>
      <w:r>
        <w:rPr>
          <w:rFonts w:hint="default"/>
          <w:lang w:eastAsia="zh-CN"/>
        </w:rPr>
        <w:t>《甘肃省省级预算绩效管理办法》《甘肃省省级项目支出绩效单位自评工作规程》（甘财绩</w:t>
      </w:r>
      <w:r>
        <w:rPr>
          <w:rFonts w:hint="default"/>
        </w:rPr>
        <w:t>〔20</w:t>
      </w:r>
      <w:r>
        <w:rPr>
          <w:rFonts w:hint="default"/>
          <w:lang w:val="en-US" w:eastAsia="zh-CN"/>
        </w:rPr>
        <w:t>20</w:t>
      </w:r>
      <w:r>
        <w:rPr>
          <w:rFonts w:hint="default"/>
        </w:rPr>
        <w:t>〕</w:t>
      </w:r>
      <w:r>
        <w:rPr>
          <w:rFonts w:hint="default"/>
          <w:lang w:val="en-US" w:eastAsia="zh-CN"/>
        </w:rPr>
        <w:t>5号</w:t>
      </w:r>
      <w:r>
        <w:rPr>
          <w:rFonts w:hint="default"/>
          <w:lang w:eastAsia="zh-CN"/>
        </w:rPr>
        <w:t>）</w:t>
      </w:r>
      <w:r>
        <w:rPr>
          <w:rFonts w:hint="eastAsia"/>
        </w:rPr>
        <w:t>等文件的要求，联合各相关业务部门共同完成此次自评工作。自评工作遵循科学公正、统筹兼顾、激励约束和公开透明的原则，以我院</w:t>
      </w:r>
      <w:r>
        <w:rPr>
          <w:rFonts w:hint="eastAsia"/>
          <w:lang w:eastAsia="zh-CN"/>
        </w:rPr>
        <w:t>2023年</w:t>
      </w:r>
      <w:r>
        <w:rPr>
          <w:rFonts w:hint="eastAsia"/>
        </w:rPr>
        <w:t>初设定的绩效目标及相关法律法规、政策要求、行业规划、部门职责等为依据，运用定量和定性相结合的评价方法，对我院</w:t>
      </w:r>
      <w:r>
        <w:rPr>
          <w:rFonts w:hint="eastAsia"/>
          <w:lang w:eastAsia="zh-CN"/>
        </w:rPr>
        <w:t>2023年度</w:t>
      </w:r>
      <w:r>
        <w:rPr>
          <w:rFonts w:hint="eastAsia"/>
        </w:rPr>
        <w:t>省级预算执行情况的经济性、效率性、效益性进行客观公正的分析评价。</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25" w:name="_Toc26980"/>
      <w:bookmarkStart w:id="26" w:name="_Toc29448"/>
      <w:bookmarkStart w:id="27" w:name="_Toc13356"/>
      <w:bookmarkStart w:id="28" w:name="_Toc28216"/>
      <w:bookmarkStart w:id="29" w:name="_Toc15498"/>
      <w:r>
        <w:rPr>
          <w:rFonts w:hint="eastAsia"/>
          <w:lang w:eastAsia="zh-CN"/>
        </w:rPr>
        <w:t>（</w:t>
      </w:r>
      <w:r>
        <w:rPr>
          <w:rFonts w:hint="eastAsia"/>
          <w:lang w:val="en-US" w:eastAsia="zh-CN"/>
        </w:rPr>
        <w:t>二</w:t>
      </w:r>
      <w:r>
        <w:rPr>
          <w:rFonts w:hint="eastAsia"/>
          <w:lang w:eastAsia="zh-CN"/>
        </w:rPr>
        <w:t>）自评对象和范围</w:t>
      </w:r>
      <w:bookmarkEnd w:id="25"/>
      <w:bookmarkEnd w:id="26"/>
      <w:bookmarkEnd w:id="27"/>
      <w:bookmarkEnd w:id="28"/>
      <w:bookmarkEnd w:id="29"/>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outlineLvl w:val="9"/>
        <w:rPr>
          <w:highlight w:val="none"/>
        </w:rPr>
      </w:pPr>
      <w:r>
        <w:rPr>
          <w:rFonts w:hint="eastAsia"/>
        </w:rPr>
        <w:t>本次预算绩效自评价，按照省级部门项目支出、省对市县转移支付、部门整体支出三类评价对</w:t>
      </w:r>
      <w:r>
        <w:rPr>
          <w:rFonts w:hint="eastAsia"/>
          <w:highlight w:val="none"/>
        </w:rPr>
        <w:t>象全覆盖的原则，结合我院</w:t>
      </w:r>
      <w:r>
        <w:rPr>
          <w:highlight w:val="none"/>
        </w:rPr>
        <w:t>实际情况，自评所有对象为</w:t>
      </w:r>
      <w:r>
        <w:rPr>
          <w:rFonts w:hint="eastAsia"/>
          <w:highlight w:val="none"/>
        </w:rPr>
        <w:t>业务费</w:t>
      </w:r>
      <w:r>
        <w:rPr>
          <w:highlight w:val="none"/>
        </w:rPr>
        <w:t>项目自评</w:t>
      </w:r>
      <w:r>
        <w:rPr>
          <w:rFonts w:hint="eastAsia"/>
          <w:highlight w:val="none"/>
        </w:rPr>
        <w:t>、</w:t>
      </w:r>
      <w:r>
        <w:rPr>
          <w:rFonts w:hint="eastAsia" w:hAnsi="宋体"/>
          <w:szCs w:val="28"/>
          <w:highlight w:val="none"/>
        </w:rPr>
        <w:t>中央政法转移支付资金</w:t>
      </w:r>
      <w:r>
        <w:rPr>
          <w:rFonts w:hint="eastAsia" w:hAnsi="宋体"/>
          <w:szCs w:val="28"/>
          <w:highlight w:val="none"/>
          <w:lang w:eastAsia="zh-CN"/>
        </w:rPr>
        <w:t>项目</w:t>
      </w:r>
      <w:r>
        <w:rPr>
          <w:rFonts w:hint="eastAsia" w:hAnsi="宋体"/>
          <w:szCs w:val="28"/>
          <w:highlight w:val="none"/>
        </w:rPr>
        <w:t>自评和部门整体支出自评。</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firstLine="643" w:firstLineChars="200"/>
        <w:jc w:val="both"/>
        <w:textAlignment w:val="auto"/>
        <w:rPr>
          <w:rFonts w:hint="eastAsia"/>
          <w:lang w:eastAsia="zh-CN"/>
        </w:rPr>
      </w:pPr>
      <w:bookmarkStart w:id="30" w:name="_Toc18694"/>
      <w:bookmarkStart w:id="31" w:name="_Toc25203"/>
      <w:bookmarkStart w:id="32" w:name="_Toc22785"/>
      <w:bookmarkStart w:id="33" w:name="_Toc25429"/>
      <w:bookmarkStart w:id="34" w:name="_Toc19552"/>
      <w:r>
        <w:rPr>
          <w:rFonts w:hint="eastAsia"/>
          <w:lang w:eastAsia="zh-CN"/>
        </w:rPr>
        <w:t>（</w:t>
      </w:r>
      <w:r>
        <w:rPr>
          <w:rFonts w:hint="eastAsia"/>
          <w:lang w:val="en-US" w:eastAsia="zh-CN"/>
        </w:rPr>
        <w:t>三</w:t>
      </w:r>
      <w:r>
        <w:rPr>
          <w:rFonts w:hint="eastAsia"/>
          <w:lang w:eastAsia="zh-CN"/>
        </w:rPr>
        <w:t>）自评工作程序</w:t>
      </w:r>
      <w:bookmarkEnd w:id="30"/>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本次绩效自评工作主要包括以下工作程序：</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highlight w:val="none"/>
        </w:rPr>
      </w:pPr>
      <w:r>
        <w:rPr>
          <w:rFonts w:hint="eastAsia"/>
          <w:lang w:val="en-US" w:eastAsia="zh-CN"/>
        </w:rPr>
        <w:t>1.</w:t>
      </w:r>
      <w:r>
        <w:rPr>
          <w:rFonts w:hint="eastAsia"/>
        </w:rPr>
        <w:t>根据我院整体</w:t>
      </w:r>
      <w:r>
        <w:t>支出和</w:t>
      </w:r>
      <w:r>
        <w:rPr>
          <w:rFonts w:hint="eastAsia"/>
        </w:rPr>
        <w:t>项目支出绩效目标的设定情况，</w:t>
      </w:r>
      <w:r>
        <w:rPr>
          <w:rFonts w:hint="eastAsia"/>
          <w:highlight w:val="none"/>
          <w:lang w:val="en-US" w:eastAsia="zh-CN"/>
        </w:rPr>
        <w:t>收集</w:t>
      </w:r>
      <w:r>
        <w:rPr>
          <w:rFonts w:hint="eastAsia"/>
          <w:highlight w:val="none"/>
        </w:rPr>
        <w:t>各业务</w:t>
      </w:r>
      <w:r>
        <w:rPr>
          <w:rFonts w:hint="eastAsia"/>
          <w:highlight w:val="none"/>
          <w:lang w:val="en-US" w:eastAsia="zh-CN"/>
        </w:rPr>
        <w:t>部门</w:t>
      </w:r>
      <w:r>
        <w:rPr>
          <w:highlight w:val="none"/>
        </w:rPr>
        <w:t>绩效目标</w:t>
      </w:r>
      <w:r>
        <w:rPr>
          <w:rFonts w:hint="eastAsia"/>
          <w:highlight w:val="none"/>
        </w:rPr>
        <w:t>实现程度</w:t>
      </w:r>
      <w:r>
        <w:rPr>
          <w:highlight w:val="none"/>
        </w:rPr>
        <w:t>、预算执行进度</w:t>
      </w:r>
      <w:r>
        <w:rPr>
          <w:rFonts w:hint="eastAsia"/>
          <w:highlight w:val="none"/>
        </w:rPr>
        <w:t>等绩效评价</w:t>
      </w:r>
      <w:r>
        <w:rPr>
          <w:highlight w:val="none"/>
        </w:rPr>
        <w:t>基础</w:t>
      </w:r>
      <w:r>
        <w:rPr>
          <w:rFonts w:hint="eastAsia"/>
          <w:highlight w:val="none"/>
        </w:rPr>
        <w:t>资料。</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eastAsia="仿宋_GB2312"/>
          <w:lang w:eastAsia="zh-CN"/>
        </w:rPr>
      </w:pPr>
      <w:r>
        <w:t>2.</w:t>
      </w:r>
      <w:r>
        <w:rPr>
          <w:rFonts w:hint="eastAsia"/>
        </w:rPr>
        <w:t>整理分析相关资料，</w:t>
      </w:r>
      <w:r>
        <w:rPr>
          <w:rFonts w:hint="eastAsia"/>
          <w:lang w:eastAsia="zh-CN"/>
        </w:rPr>
        <w:t>根据部门职责，以预算执行、部门履职目标机效果为重点，</w:t>
      </w:r>
      <w:r>
        <w:rPr>
          <w:rFonts w:hint="eastAsia"/>
        </w:rPr>
        <w:t>统计财政资金预算执行情况和各项</w:t>
      </w:r>
      <w:r>
        <w:t>绩效目标完成</w:t>
      </w:r>
      <w:r>
        <w:rPr>
          <w:rFonts w:hint="eastAsia"/>
        </w:rPr>
        <w:t>情况，对年初</w:t>
      </w:r>
      <w:r>
        <w:t>设定的</w:t>
      </w:r>
      <w:r>
        <w:rPr>
          <w:rFonts w:hint="eastAsia"/>
        </w:rPr>
        <w:t>绩效指标及各项指标完成情况进行对比分析，填写《</w:t>
      </w:r>
      <w:r>
        <w:rPr>
          <w:rFonts w:hint="eastAsia"/>
          <w:lang w:eastAsia="zh-CN"/>
        </w:rPr>
        <w:t>2023年度</w:t>
      </w:r>
      <w:r>
        <w:rPr>
          <w:rFonts w:hint="eastAsia"/>
        </w:rPr>
        <w:t>部门预算执行情况绩效自评报表》</w:t>
      </w:r>
      <w:r>
        <w:rPr>
          <w:rFonts w:hint="eastAsia"/>
          <w:lang w:eastAsia="zh-CN"/>
        </w:rPr>
        <w:t>，自评表内容完整、分值合理、数据真实、结果客观。</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t>3.</w:t>
      </w:r>
      <w:r>
        <w:rPr>
          <w:rFonts w:hint="eastAsia"/>
        </w:rPr>
        <w:t>总结评价结论，归纳问题，分析原因，提出改进</w:t>
      </w:r>
      <w:r>
        <w:t>措施</w:t>
      </w:r>
      <w:r>
        <w:rPr>
          <w:rFonts w:hint="eastAsia"/>
        </w:rPr>
        <w:t>，完成《</w:t>
      </w:r>
      <w:r>
        <w:rPr>
          <w:rFonts w:hint="eastAsia"/>
          <w:lang w:eastAsia="zh-CN"/>
        </w:rPr>
        <w:t>2023年度</w:t>
      </w:r>
      <w:r>
        <w:rPr>
          <w:rFonts w:hint="eastAsia"/>
        </w:rPr>
        <w:t>预算执行情况自评报告》撰写。</w:t>
      </w:r>
    </w:p>
    <w:p>
      <w:pPr>
        <w:keepNext w:val="0"/>
        <w:keepLines w:val="0"/>
        <w:pageBreakBefore w:val="0"/>
        <w:widowControl w:val="0"/>
        <w:kinsoku/>
        <w:wordWrap/>
        <w:overflowPunct/>
        <w:topLinePunct w:val="0"/>
        <w:autoSpaceDE/>
        <w:autoSpaceDN/>
        <w:bidi w:val="0"/>
        <w:adjustRightInd/>
        <w:snapToGrid/>
        <w:ind w:firstLine="560" w:firstLineChars="200"/>
        <w:jc w:val="both"/>
        <w:textAlignment w:val="auto"/>
      </w:pPr>
      <w:r>
        <w:rPr>
          <w:rFonts w:hint="eastAsia"/>
        </w:rPr>
        <w:t>4.自评表和自评报告完成之后，进行内部审核，对自评表的真实性、完整性、合理性和客观性进行初步审核，并对发现的问题及时反馈和修改，修改完善后报送审核备案。</w:t>
      </w:r>
    </w:p>
    <w:bookmarkEnd w:id="22"/>
    <w:bookmarkEnd w:id="23"/>
    <w:bookmarkEnd w:id="24"/>
    <w:p>
      <w:pPr>
        <w:pStyle w:val="2"/>
        <w:keepNext/>
        <w:keepLines/>
        <w:pageBreakBefore w:val="0"/>
        <w:widowControl w:val="0"/>
        <w:kinsoku/>
        <w:wordWrap/>
        <w:overflowPunct/>
        <w:topLinePunct w:val="0"/>
        <w:autoSpaceDE/>
        <w:autoSpaceDN/>
        <w:bidi w:val="0"/>
        <w:adjustRightInd/>
        <w:snapToGrid/>
        <w:spacing w:before="0" w:after="0"/>
        <w:textAlignment w:val="auto"/>
      </w:pPr>
      <w:bookmarkStart w:id="35" w:name="_Toc31556"/>
      <w:bookmarkStart w:id="36" w:name="_Toc17042"/>
      <w:bookmarkStart w:id="37" w:name="_Toc26000"/>
      <w:bookmarkStart w:id="38" w:name="_Toc27171"/>
      <w:r>
        <w:rPr>
          <w:rFonts w:hint="eastAsia"/>
        </w:rPr>
        <w:t>三、部门整体支出绩效自评情况分析</w:t>
      </w:r>
      <w:bookmarkEnd w:id="35"/>
      <w:bookmarkEnd w:id="36"/>
      <w:bookmarkEnd w:id="37"/>
      <w:bookmarkEnd w:id="38"/>
      <w:r>
        <w:tab/>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lang w:eastAsia="zh-CN"/>
        </w:rPr>
      </w:pPr>
      <w:bookmarkStart w:id="39" w:name="_Toc3483"/>
      <w:bookmarkStart w:id="40" w:name="_Toc8171"/>
      <w:bookmarkStart w:id="41" w:name="_Toc32623"/>
      <w:bookmarkStart w:id="42" w:name="_Toc31351"/>
      <w:r>
        <w:rPr>
          <w:rFonts w:hint="eastAsia"/>
        </w:rPr>
        <w:t>（一）部门决算情况</w:t>
      </w:r>
      <w:bookmarkEnd w:id="39"/>
      <w:bookmarkEnd w:id="40"/>
      <w:bookmarkEnd w:id="41"/>
      <w:bookmarkEnd w:id="42"/>
    </w:p>
    <w:p>
      <w:pPr>
        <w:keepNext w:val="0"/>
        <w:keepLines w:val="0"/>
        <w:pageBreakBefore w:val="0"/>
        <w:widowControl w:val="0"/>
        <w:kinsoku/>
        <w:wordWrap/>
        <w:overflowPunct/>
        <w:topLinePunct w:val="0"/>
        <w:autoSpaceDE/>
        <w:autoSpaceDN/>
        <w:bidi w:val="0"/>
        <w:adjustRightInd/>
        <w:snapToGrid/>
        <w:ind w:firstLine="560"/>
        <w:textAlignment w:val="auto"/>
        <w:rPr>
          <w:rFonts w:hint="default"/>
          <w:lang w:val="en-US" w:eastAsia="zh-CN"/>
        </w:rPr>
      </w:pPr>
      <w:r>
        <w:rPr>
          <w:rFonts w:hint="eastAsia"/>
          <w:lang w:val="en-US" w:eastAsia="zh-CN"/>
        </w:rPr>
        <w:t>2023年度宁县人民法院年初预算2834.59万元</w:t>
      </w:r>
      <w:r>
        <w:rPr>
          <w:rFonts w:hint="eastAsia"/>
          <w:lang w:eastAsia="zh-CN"/>
        </w:rPr>
        <w:t>，</w:t>
      </w:r>
      <w:r>
        <w:rPr>
          <w:rFonts w:hint="eastAsia"/>
        </w:rPr>
        <w:t>全年预算</w:t>
      </w:r>
      <w:r>
        <w:rPr>
          <w:rFonts w:hint="eastAsia"/>
          <w:lang w:eastAsia="zh-CN"/>
        </w:rPr>
        <w:t>数</w:t>
      </w:r>
      <w:r>
        <w:rPr>
          <w:rFonts w:hint="eastAsia"/>
          <w:lang w:val="en-US" w:eastAsia="zh-CN"/>
        </w:rPr>
        <w:t>3613.65万元，实际支出数3550.65万元，</w:t>
      </w:r>
      <w:r>
        <w:rPr>
          <w:rFonts w:hint="eastAsia"/>
        </w:rPr>
        <w:t>部门整体支出预算执行率为</w:t>
      </w:r>
      <w:r>
        <w:rPr>
          <w:rFonts w:hint="eastAsia"/>
          <w:lang w:val="en-US" w:eastAsia="zh-CN"/>
        </w:rPr>
        <w:t>98.25%。</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3" w:name="_Toc22782"/>
      <w:bookmarkStart w:id="44" w:name="_Toc21423"/>
      <w:bookmarkStart w:id="45" w:name="_Toc10769"/>
      <w:bookmarkStart w:id="46" w:name="_Toc22605"/>
      <w:r>
        <w:rPr>
          <w:rFonts w:hint="eastAsia"/>
        </w:rPr>
        <w:t>（二）总体绩效目标完成情况分析</w:t>
      </w:r>
      <w:bookmarkEnd w:id="43"/>
      <w:bookmarkEnd w:id="44"/>
      <w:bookmarkEnd w:id="45"/>
      <w:bookmarkEnd w:id="46"/>
    </w:p>
    <w:p>
      <w:pPr>
        <w:keepNext w:val="0"/>
        <w:keepLines w:val="0"/>
        <w:pageBreakBefore w:val="0"/>
        <w:widowControl w:val="0"/>
        <w:kinsoku/>
        <w:wordWrap/>
        <w:overflowPunct/>
        <w:topLinePunct w:val="0"/>
        <w:autoSpaceDE/>
        <w:autoSpaceDN/>
        <w:bidi w:val="0"/>
        <w:adjustRightInd/>
        <w:snapToGrid/>
        <w:ind w:firstLine="560"/>
        <w:textAlignment w:val="auto"/>
        <w:rPr>
          <w:rFonts w:hint="eastAsia"/>
          <w:lang w:val="en-US" w:eastAsia="zh-CN"/>
        </w:rPr>
      </w:pPr>
      <w:r>
        <w:rPr>
          <w:rFonts w:hint="eastAsia"/>
          <w:lang w:val="en-US" w:eastAsia="zh-CN"/>
        </w:rPr>
        <w:t>经综合评价与分析，宁县人民法院2023年度部门整体支出绩效评价最终得分为98.68分，评价结果为“优”。最终评分结果如下表所示：</w:t>
      </w:r>
    </w:p>
    <w:p>
      <w:pPr>
        <w:jc w:val="center"/>
        <w:rPr>
          <w:rFonts w:ascii="宋体" w:hAnsi="宋体"/>
          <w:highlight w:val="none"/>
        </w:rPr>
      </w:pPr>
      <w:r>
        <w:rPr>
          <w:rFonts w:hint="eastAsia" w:ascii="宋体" w:hAnsi="宋体" w:cs="宋体"/>
          <w:b/>
          <w:bCs/>
          <w:kern w:val="0"/>
          <w:sz w:val="24"/>
          <w:highlight w:val="none"/>
          <w:lang w:eastAsia="zh-CN"/>
        </w:rPr>
        <w:t>2023年度</w:t>
      </w:r>
      <w:r>
        <w:rPr>
          <w:rFonts w:hint="eastAsia" w:ascii="宋体" w:hAnsi="宋体" w:cs="宋体"/>
          <w:b/>
          <w:bCs/>
          <w:kern w:val="0"/>
          <w:sz w:val="24"/>
          <w:highlight w:val="none"/>
        </w:rPr>
        <w:t>部门整体支出绩效评价指标得分情况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9.82</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98.2%</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部门管理</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19.86</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99.3%</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履职效果</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60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能力建设</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default" w:ascii="宋体" w:hAnsi="宋体" w:eastAsia="宋体" w:cs="宋体"/>
                <w:b/>
                <w:color w:val="000000"/>
                <w:kern w:val="0"/>
                <w:sz w:val="22"/>
                <w:szCs w:val="22"/>
                <w:highlight w:val="none"/>
                <w:lang w:val="en-US" w:eastAsia="zh-CN"/>
              </w:rPr>
              <w:t>98.68</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default" w:ascii="宋体" w:hAnsi="宋体" w:eastAsia="宋体" w:cs="宋体"/>
                <w:b/>
                <w:color w:val="000000"/>
                <w:kern w:val="0"/>
                <w:sz w:val="22"/>
                <w:szCs w:val="22"/>
                <w:highlight w:val="none"/>
                <w:lang w:val="en-US" w:eastAsia="zh-CN"/>
              </w:rPr>
              <w:t>98.68</w:t>
            </w:r>
            <w:r>
              <w:rPr>
                <w:rFonts w:hint="eastAsia" w:ascii="宋体" w:hAnsi="宋体" w:eastAsia="宋体" w:cs="宋体"/>
                <w:b/>
                <w:bCs/>
                <w:i w:val="0"/>
                <w:iCs w:val="0"/>
                <w:color w:val="000000"/>
                <w:kern w:val="0"/>
                <w:sz w:val="22"/>
                <w:szCs w:val="22"/>
                <w:u w:val="none"/>
                <w:lang w:val="en-US" w:eastAsia="zh-CN" w:bidi="ar"/>
              </w:rPr>
              <w:t>%</w:t>
            </w:r>
          </w:p>
        </w:tc>
      </w:tr>
    </w:tbl>
    <w:p>
      <w:pPr>
        <w:pageBreakBefore w:val="0"/>
        <w:kinsoku/>
        <w:wordWrap/>
        <w:overflowPunct/>
        <w:topLinePunct w:val="0"/>
        <w:autoSpaceDE/>
        <w:autoSpaceDN/>
        <w:bidi w:val="0"/>
        <w:adjustRightInd/>
        <w:snapToGrid/>
        <w:ind w:left="0" w:leftChars="0" w:firstLine="560" w:firstLineChars="200"/>
        <w:textAlignment w:val="auto"/>
        <w:outlineLvl w:val="9"/>
        <w:rPr>
          <w:rFonts w:hint="eastAsia" w:eastAsia="仿宋_GB2312"/>
          <w:b/>
          <w:bCs/>
          <w:lang w:eastAsia="zh-CN"/>
        </w:rPr>
      </w:pPr>
      <w:r>
        <w:rPr>
          <w:rFonts w:hint="eastAsia"/>
          <w:highlight w:val="none"/>
          <w:lang w:val="en-US" w:eastAsia="zh-CN"/>
        </w:rPr>
        <w:t>2023年主要工作成果及总体绩效目标完成情况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2" w:firstLineChars="200"/>
        <w:jc w:val="both"/>
        <w:textAlignment w:val="auto"/>
        <w:outlineLvl w:val="9"/>
        <w:rPr>
          <w:rFonts w:hint="default"/>
          <w:b/>
          <w:bCs/>
          <w:lang w:val="en-US" w:eastAsia="zh-CN"/>
        </w:rPr>
      </w:pPr>
      <w:r>
        <w:rPr>
          <w:rFonts w:hint="eastAsia"/>
          <w:b/>
          <w:bCs/>
          <w:lang w:val="en-US" w:eastAsia="zh-CN"/>
        </w:rPr>
        <w:t>1.总体绩效目标</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560" w:firstLineChars="200"/>
        <w:jc w:val="both"/>
        <w:textAlignment w:val="auto"/>
        <w:outlineLvl w:val="9"/>
        <w:rPr>
          <w:rFonts w:hint="eastAsia"/>
          <w:b w:val="0"/>
          <w:bCs w:val="0"/>
          <w:lang w:eastAsia="zh-CN"/>
        </w:rPr>
      </w:pPr>
      <w:r>
        <w:rPr>
          <w:rFonts w:hint="eastAsia"/>
          <w:b w:val="0"/>
          <w:bCs w:val="0"/>
          <w:lang w:eastAsia="zh-CN"/>
        </w:rPr>
        <w:t>（</w:t>
      </w:r>
      <w:r>
        <w:rPr>
          <w:rFonts w:hint="eastAsia"/>
          <w:b w:val="0"/>
          <w:bCs w:val="0"/>
          <w:lang w:val="en-US" w:eastAsia="zh-CN"/>
        </w:rPr>
        <w:t>1</w:t>
      </w:r>
      <w:r>
        <w:rPr>
          <w:rFonts w:hint="eastAsia"/>
          <w:b w:val="0"/>
          <w:bCs w:val="0"/>
          <w:lang w:eastAsia="zh-CN"/>
        </w:rPr>
        <w:t>）提高审判办案质效，使刑事案件办结率达到</w:t>
      </w:r>
      <w:r>
        <w:rPr>
          <w:rFonts w:hint="eastAsia"/>
          <w:b w:val="0"/>
          <w:bCs w:val="0"/>
          <w:lang w:val="en-US" w:eastAsia="zh-CN"/>
        </w:rPr>
        <w:t>80</w:t>
      </w:r>
      <w:r>
        <w:rPr>
          <w:rFonts w:hint="eastAsia"/>
          <w:b w:val="0"/>
          <w:bCs w:val="0"/>
          <w:lang w:eastAsia="zh-CN"/>
        </w:rPr>
        <w:t>%以上。</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b w:val="0"/>
          <w:bCs w:val="0"/>
          <w:lang w:val="en-US" w:eastAsia="zh-CN"/>
        </w:rPr>
      </w:pPr>
      <w:r>
        <w:rPr>
          <w:rFonts w:hint="eastAsia"/>
          <w:b w:val="0"/>
          <w:bCs w:val="0"/>
          <w:lang w:eastAsia="zh-CN"/>
        </w:rPr>
        <w:t>（</w:t>
      </w:r>
      <w:r>
        <w:rPr>
          <w:rFonts w:hint="eastAsia"/>
          <w:b w:val="0"/>
          <w:bCs w:val="0"/>
          <w:lang w:val="en-US" w:eastAsia="zh-CN"/>
        </w:rPr>
        <w:t>2</w:t>
      </w:r>
      <w:r>
        <w:rPr>
          <w:rFonts w:hint="eastAsia"/>
          <w:b w:val="0"/>
          <w:bCs w:val="0"/>
          <w:lang w:eastAsia="zh-CN"/>
        </w:rPr>
        <w:t>）加强队伍素质能力建设，本年度计划开展相关业务培训活动，进一步提高干警业务能力，确保我院工作人员技能水平的提升。</w:t>
      </w:r>
    </w:p>
    <w:p>
      <w:pPr>
        <w:pStyle w:val="30"/>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outlineLvl w:val="9"/>
        <w:rPr>
          <w:rFonts w:hint="eastAsia" w:ascii="仿宋_GB2312" w:hAnsi="仿宋_GB2312" w:eastAsia="仿宋_GB2312" w:cstheme="minorBidi"/>
          <w:b w:val="0"/>
          <w:bCs w:val="0"/>
          <w:kern w:val="2"/>
          <w:sz w:val="28"/>
          <w:szCs w:val="22"/>
          <w:lang w:val="en-US" w:eastAsia="zh-CN" w:bidi="ar-SA"/>
        </w:rPr>
      </w:pPr>
      <w:r>
        <w:rPr>
          <w:rFonts w:hint="eastAsia" w:cstheme="minorBidi"/>
          <w:b w:val="0"/>
          <w:bCs w:val="0"/>
          <w:kern w:val="2"/>
          <w:sz w:val="28"/>
          <w:szCs w:val="22"/>
          <w:lang w:val="en-US" w:eastAsia="zh-CN" w:bidi="ar-SA"/>
        </w:rPr>
        <w:t>（3）</w:t>
      </w:r>
      <w:r>
        <w:rPr>
          <w:rFonts w:hint="eastAsia" w:ascii="仿宋_GB2312" w:hAnsi="仿宋_GB2312" w:eastAsia="仿宋_GB2312" w:cstheme="minorBidi"/>
          <w:b w:val="0"/>
          <w:bCs w:val="0"/>
          <w:kern w:val="2"/>
          <w:sz w:val="28"/>
          <w:szCs w:val="22"/>
          <w:lang w:val="en-US" w:eastAsia="zh-CN" w:bidi="ar-SA"/>
        </w:rPr>
        <w:t>保障我院装备购买等活动支出，保障法院日常运转，履行相关职能。</w:t>
      </w:r>
    </w:p>
    <w:p>
      <w:pPr>
        <w:pageBreakBefore w:val="0"/>
        <w:kinsoku/>
        <w:wordWrap/>
        <w:overflowPunct/>
        <w:topLinePunct w:val="0"/>
        <w:autoSpaceDE/>
        <w:autoSpaceDN/>
        <w:bidi w:val="0"/>
        <w:adjustRightInd/>
        <w:snapToGrid/>
        <w:ind w:firstLine="562"/>
        <w:textAlignment w:val="auto"/>
        <w:outlineLvl w:val="9"/>
        <w:rPr>
          <w:rFonts w:hint="eastAsia"/>
          <w:b/>
          <w:bCs/>
        </w:rPr>
      </w:pPr>
      <w:r>
        <w:rPr>
          <w:rFonts w:hint="eastAsia"/>
          <w:b/>
          <w:bCs/>
          <w:lang w:val="en-US" w:eastAsia="zh-CN"/>
        </w:rPr>
        <w:t>2.</w:t>
      </w:r>
      <w:r>
        <w:rPr>
          <w:rFonts w:hint="eastAsia"/>
          <w:b/>
          <w:bCs/>
        </w:rPr>
        <w:t>实际完成情况</w:t>
      </w:r>
    </w:p>
    <w:p>
      <w:pPr>
        <w:keepNext w:val="0"/>
        <w:keepLines w:val="0"/>
        <w:pageBreakBefore w:val="0"/>
        <w:widowControl w:val="0"/>
        <w:kinsoku/>
        <w:wordWrap/>
        <w:overflowPunct/>
        <w:topLinePunct w:val="0"/>
        <w:autoSpaceDE/>
        <w:autoSpaceDN/>
        <w:bidi w:val="0"/>
        <w:adjustRightInd/>
        <w:snapToGrid/>
        <w:ind w:left="0" w:leftChars="0" w:firstLine="562"/>
        <w:textAlignment w:val="auto"/>
        <w:outlineLvl w:val="9"/>
        <w:rPr>
          <w:rFonts w:hint="eastAsia"/>
          <w:lang w:eastAsia="zh-CN"/>
        </w:rPr>
      </w:pPr>
      <w:r>
        <w:rPr>
          <w:rFonts w:hint="eastAsia"/>
          <w:lang w:eastAsia="zh-CN"/>
        </w:rPr>
        <w:t>（</w:t>
      </w:r>
      <w:r>
        <w:rPr>
          <w:rFonts w:hint="eastAsia"/>
          <w:lang w:val="en-US" w:eastAsia="zh-CN"/>
        </w:rPr>
        <w:t>1</w:t>
      </w:r>
      <w:r>
        <w:rPr>
          <w:rFonts w:hint="eastAsia"/>
          <w:lang w:eastAsia="zh-CN"/>
        </w:rPr>
        <w:t>）我院本年度受理案件工作、审理执行案件工作、审判民商事案件工作、审判刑事案件案件、审判行政案件工作均已完成，有效保障了审判服务。</w:t>
      </w:r>
      <w:r>
        <w:rPr>
          <w:rFonts w:hint="eastAsia"/>
          <w:lang w:val="en-US" w:eastAsia="zh-CN"/>
        </w:rPr>
        <w:t>刑事案件办结率达到98.54%。</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lang w:eastAsia="zh-CN"/>
        </w:rPr>
      </w:pPr>
      <w:r>
        <w:rPr>
          <w:rFonts w:hint="eastAsia"/>
          <w:lang w:eastAsia="zh-CN"/>
        </w:rPr>
        <w:t>（</w:t>
      </w:r>
      <w:r>
        <w:rPr>
          <w:rFonts w:hint="eastAsia"/>
          <w:lang w:val="en-US" w:eastAsia="zh-CN"/>
        </w:rPr>
        <w:t>2</w:t>
      </w:r>
      <w:r>
        <w:rPr>
          <w:rFonts w:hint="eastAsia"/>
          <w:lang w:eastAsia="zh-CN"/>
        </w:rPr>
        <w:t>）我院抓实教育培训，切实提升司法能力，加强能力建设，实施能力提升系列工程，培育复合型司法人才。</w:t>
      </w:r>
    </w:p>
    <w:p>
      <w:pPr>
        <w:pStyle w:val="30"/>
        <w:keepNext w:val="0"/>
        <w:keepLines w:val="0"/>
        <w:pageBreakBefore w:val="0"/>
        <w:widowControl w:val="0"/>
        <w:kinsoku/>
        <w:wordWrap/>
        <w:overflowPunct/>
        <w:topLinePunct w:val="0"/>
        <w:autoSpaceDE/>
        <w:autoSpaceDN/>
        <w:bidi w:val="0"/>
        <w:adjustRightInd/>
        <w:snapToGrid/>
        <w:ind w:left="0" w:leftChars="0"/>
        <w:textAlignment w:val="auto"/>
        <w:outlineLvl w:val="9"/>
        <w:rPr>
          <w:rFonts w:hint="eastAsia" w:eastAsia="仿宋_GB2312"/>
          <w:lang w:eastAsia="zh-CN"/>
        </w:rPr>
      </w:pPr>
      <w:r>
        <w:rPr>
          <w:rFonts w:hint="eastAsia"/>
          <w:lang w:eastAsia="zh-CN"/>
        </w:rPr>
        <w:t>（</w:t>
      </w:r>
      <w:r>
        <w:rPr>
          <w:rFonts w:hint="eastAsia"/>
          <w:lang w:val="en-US" w:eastAsia="zh-CN"/>
        </w:rPr>
        <w:t>3</w:t>
      </w:r>
      <w:r>
        <w:rPr>
          <w:rFonts w:hint="eastAsia"/>
          <w:lang w:eastAsia="zh-CN"/>
        </w:rPr>
        <w:t>）完成装备购置工作，采购执法执勤用车</w:t>
      </w:r>
      <w:r>
        <w:rPr>
          <w:rFonts w:hint="eastAsia"/>
          <w:lang w:val="en-US" w:eastAsia="zh-CN"/>
        </w:rPr>
        <w:t>2辆</w:t>
      </w:r>
      <w:r>
        <w:rPr>
          <w:rFonts w:hint="eastAsia"/>
          <w:lang w:eastAsia="zh-CN"/>
        </w:rPr>
        <w:t>。</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47" w:name="_Toc18553"/>
      <w:bookmarkStart w:id="48" w:name="_Toc7799"/>
      <w:bookmarkStart w:id="49" w:name="_Toc17819"/>
      <w:bookmarkStart w:id="50" w:name="_Toc28484"/>
      <w:r>
        <w:rPr>
          <w:rFonts w:hint="eastAsia"/>
        </w:rPr>
        <w:t>（三）各项指标完成情况分析</w:t>
      </w:r>
      <w:bookmarkEnd w:id="47"/>
      <w:bookmarkEnd w:id="48"/>
      <w:bookmarkEnd w:id="49"/>
      <w:bookmarkEnd w:id="50"/>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eastAsia="仿宋_GB2312"/>
          <w:lang w:val="en-US" w:eastAsia="zh-CN"/>
        </w:rPr>
      </w:pPr>
      <w:r>
        <w:t>1</w:t>
      </w:r>
      <w:r>
        <w:rPr>
          <w:rFonts w:hint="eastAsia"/>
          <w:lang w:eastAsia="zh-CN"/>
        </w:rPr>
        <w:t>.</w:t>
      </w:r>
      <w:r>
        <w:rPr>
          <w:rFonts w:hint="eastAsia"/>
          <w:lang w:val="en-US" w:eastAsia="zh-CN"/>
        </w:rPr>
        <w:t>部门整体支出</w:t>
      </w:r>
      <w:r>
        <w:t>预算执行率</w:t>
      </w:r>
      <w:r>
        <w:rPr>
          <w:rFonts w:hint="eastAsia"/>
          <w:lang w:val="en-US" w:eastAsia="zh-CN"/>
        </w:rPr>
        <w:t>完成情况分析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rPr>
      </w:pPr>
      <w:r>
        <w:rPr>
          <w:rFonts w:hint="eastAsia" w:hAnsi="宋体"/>
          <w:szCs w:val="28"/>
          <w:lang w:eastAsia="zh-CN"/>
        </w:rPr>
        <w:t>根据《宁县人民法院</w:t>
      </w:r>
      <w:r>
        <w:rPr>
          <w:rFonts w:hint="eastAsia" w:hAnsi="宋体"/>
          <w:szCs w:val="28"/>
          <w:lang w:val="en-US" w:eastAsia="zh-CN"/>
        </w:rPr>
        <w:t>2023年度决算报表</w:t>
      </w:r>
      <w:r>
        <w:rPr>
          <w:rFonts w:hint="eastAsia" w:hAnsi="宋体"/>
          <w:szCs w:val="28"/>
          <w:lang w:eastAsia="zh-CN"/>
        </w:rPr>
        <w:t>》及相关资料，</w:t>
      </w:r>
      <w:r>
        <w:rPr>
          <w:rFonts w:hint="eastAsia" w:hAnsi="宋体"/>
          <w:szCs w:val="28"/>
        </w:rPr>
        <w:t>我院</w:t>
      </w:r>
      <w:r>
        <w:rPr>
          <w:rFonts w:hint="eastAsia" w:hAnsi="宋体"/>
          <w:szCs w:val="28"/>
          <w:lang w:eastAsia="zh-CN"/>
        </w:rPr>
        <w:t>2023年</w:t>
      </w:r>
      <w:r>
        <w:rPr>
          <w:rFonts w:hint="eastAsia"/>
          <w:lang w:val="en-US" w:eastAsia="zh-CN"/>
        </w:rPr>
        <w:t>年初预算2834.59万元</w:t>
      </w:r>
      <w:r>
        <w:rPr>
          <w:rFonts w:hint="eastAsia"/>
          <w:lang w:eastAsia="zh-CN"/>
        </w:rPr>
        <w:t>，</w:t>
      </w:r>
      <w:r>
        <w:rPr>
          <w:rFonts w:hint="eastAsia"/>
        </w:rPr>
        <w:t>全年预算</w:t>
      </w:r>
      <w:r>
        <w:rPr>
          <w:rFonts w:hint="eastAsia"/>
          <w:lang w:eastAsia="zh-CN"/>
        </w:rPr>
        <w:t>数</w:t>
      </w:r>
      <w:r>
        <w:rPr>
          <w:rFonts w:hint="eastAsia"/>
          <w:lang w:val="en-US" w:eastAsia="zh-CN"/>
        </w:rPr>
        <w:t>3613.65万元，实际支出数3550.65万元，</w:t>
      </w:r>
      <w:r>
        <w:rPr>
          <w:rFonts w:hint="eastAsia"/>
        </w:rPr>
        <w:t>部门整体支出预算执行率为</w:t>
      </w:r>
      <w:r>
        <w:rPr>
          <w:rFonts w:hint="eastAsia"/>
          <w:lang w:val="en-US" w:eastAsia="zh-CN"/>
        </w:rPr>
        <w:t>98.25%。</w:t>
      </w:r>
      <w:r>
        <w:rPr>
          <w:rFonts w:hint="eastAsia"/>
          <w:color w:val="000000" w:themeColor="text1"/>
          <w:szCs w:val="28"/>
          <w14:textFill>
            <w14:solidFill>
              <w14:schemeClr w14:val="tx1"/>
            </w14:solidFill>
          </w14:textFill>
        </w:rPr>
        <w:t>该指标分值10分，自评得分为</w:t>
      </w:r>
      <w:r>
        <w:rPr>
          <w:rFonts w:hint="eastAsia"/>
          <w:color w:val="000000" w:themeColor="text1"/>
          <w:szCs w:val="28"/>
          <w:lang w:val="en-US" w:eastAsia="zh-CN"/>
          <w14:textFill>
            <w14:solidFill>
              <w14:schemeClr w14:val="tx1"/>
            </w14:solidFill>
          </w14:textFill>
        </w:rPr>
        <w:t>9.82</w:t>
      </w:r>
      <w:r>
        <w:rPr>
          <w:rFonts w:hint="eastAsia"/>
          <w:color w:val="000000" w:themeColor="text1"/>
          <w:szCs w:val="28"/>
          <w14:textFill>
            <w14:solidFill>
              <w14:schemeClr w14:val="tx1"/>
            </w14:solidFill>
          </w14:textFill>
        </w:rPr>
        <w:t>分，得分率为</w:t>
      </w:r>
      <w:r>
        <w:rPr>
          <w:rFonts w:hint="eastAsia"/>
          <w:lang w:val="en-US" w:eastAsia="zh-CN"/>
        </w:rPr>
        <w:t>98.20%</w:t>
      </w:r>
      <w:r>
        <w:rPr>
          <w:rFonts w:hint="eastAsia"/>
          <w:color w:val="000000" w:themeColor="text1"/>
          <w:szCs w:val="28"/>
          <w14:textFill>
            <w14:solidFill>
              <w14:schemeClr w14:val="tx1"/>
            </w14:solidFill>
          </w14:textFill>
        </w:rPr>
        <w:t>。</w:t>
      </w:r>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r>
        <w:t>2</w:t>
      </w:r>
      <w:r>
        <w:rPr>
          <w:rFonts w:hint="eastAsia"/>
          <w:lang w:eastAsia="zh-CN"/>
        </w:rPr>
        <w:t>.</w:t>
      </w:r>
      <w:r>
        <w:t>部门管理</w:t>
      </w:r>
      <w:r>
        <w:rPr>
          <w:rFonts w:hint="eastAsia"/>
          <w:lang w:val="en-US" w:eastAsia="zh-CN"/>
        </w:rPr>
        <w:t>目标完成情况分析</w:t>
      </w:r>
    </w:p>
    <w:p>
      <w:pPr>
        <w:rPr>
          <w:rFonts w:hint="eastAsia"/>
          <w:lang w:val="en-US" w:eastAsia="zh-CN"/>
        </w:rPr>
      </w:pPr>
      <w:r>
        <w:rPr>
          <w:rFonts w:hint="eastAsia"/>
          <w:highlight w:val="none"/>
        </w:rPr>
        <w:t>部门管理指标包括资金投入、财务管理、采购管理、资产管理、人员管理、重点工作管理六个二级指标，下设10个三级指标。指标分值2</w:t>
      </w:r>
      <w:r>
        <w:rPr>
          <w:rFonts w:hint="eastAsia"/>
          <w:highlight w:val="none"/>
          <w:lang w:val="en-US" w:eastAsia="zh-CN"/>
        </w:rPr>
        <w:t>0</w:t>
      </w:r>
      <w:r>
        <w:rPr>
          <w:rFonts w:hint="eastAsia"/>
          <w:highlight w:val="none"/>
        </w:rPr>
        <w:t>分，自评</w:t>
      </w:r>
      <w:r>
        <w:rPr>
          <w:highlight w:val="none"/>
        </w:rPr>
        <w:t>得</w:t>
      </w:r>
      <w:r>
        <w:rPr>
          <w:rFonts w:hint="eastAsia"/>
          <w:highlight w:val="none"/>
        </w:rPr>
        <w:t>分</w:t>
      </w:r>
      <w:r>
        <w:rPr>
          <w:rFonts w:hint="eastAsia"/>
          <w:highlight w:val="none"/>
          <w:lang w:val="en-US" w:eastAsia="zh-CN"/>
        </w:rPr>
        <w:t>19.86</w:t>
      </w:r>
      <w:r>
        <w:rPr>
          <w:rFonts w:hint="eastAsia"/>
          <w:highlight w:val="none"/>
        </w:rPr>
        <w:t>分，得分率</w:t>
      </w:r>
      <w:r>
        <w:rPr>
          <w:rFonts w:hint="eastAsia"/>
          <w:highlight w:val="none"/>
          <w:lang w:val="en-US" w:eastAsia="zh-CN"/>
        </w:rPr>
        <w:t>99.3%</w:t>
      </w:r>
      <w:r>
        <w:rPr>
          <w:rFonts w:hint="eastAsia"/>
          <w:highlight w:val="none"/>
        </w:rPr>
        <w:t>。</w:t>
      </w:r>
      <w:r>
        <w:rPr>
          <w:rFonts w:hint="eastAsia"/>
          <w:lang w:val="en-US" w:eastAsia="zh-CN"/>
        </w:rPr>
        <w:t>具体如下表：</w:t>
      </w:r>
    </w:p>
    <w:tbl>
      <w:tblPr>
        <w:tblStyle w:val="24"/>
        <w:tblW w:w="906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资金投入</w:t>
            </w:r>
          </w:p>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基本支出预算执行率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项目支出预算执行率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92.95%</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1.86</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92.95%</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“三公经费”控制率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&lt;=100%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85.06%</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结转结余变动率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财务管理制度健全性</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r>
              <w:rPr>
                <w:rFonts w:hint="eastAsia" w:ascii="宋体" w:hAnsi="宋体" w:eastAsia="宋体" w:cs="宋体"/>
                <w:i w:val="0"/>
                <w:iCs w:val="0"/>
                <w:color w:val="000000"/>
                <w:kern w:val="0"/>
                <w:sz w:val="24"/>
                <w:szCs w:val="24"/>
                <w:u w:val="none"/>
                <w:lang w:val="en-US" w:eastAsia="zh-CN" w:bidi="ar"/>
              </w:rPr>
              <w:t>财务管理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资金使用规范性</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r>
              <w:rPr>
                <w:rFonts w:hint="eastAsia" w:ascii="宋体" w:hAnsi="宋体" w:eastAsia="宋体" w:cs="宋体"/>
                <w:i w:val="0"/>
                <w:iCs w:val="0"/>
                <w:color w:val="000000"/>
                <w:kern w:val="0"/>
                <w:sz w:val="24"/>
                <w:szCs w:val="24"/>
                <w:u w:val="none"/>
                <w:lang w:val="en-US" w:eastAsia="zh-CN" w:bidi="ar"/>
              </w:rPr>
              <w:t>采购管理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政府采购规范性</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资产管理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资产管理规范性</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规范</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人员管理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在职人员控制率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&lt;=100%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95.7%</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重点工作管理</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重点工作管理制度健全性</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健全</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2</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19.86</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99.3%</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基本支出预算执行率</w:t>
      </w:r>
      <w:r>
        <w:rPr>
          <w:rFonts w:hint="eastAsia" w:hAnsi="宋体"/>
          <w:b/>
          <w:bCs/>
          <w:szCs w:val="28"/>
          <w:highlight w:val="none"/>
          <w:lang w:eastAsia="zh-CN"/>
        </w:rPr>
        <w:t>：</w:t>
      </w:r>
      <w:r>
        <w:rPr>
          <w:rFonts w:hint="eastAsia" w:hAnsi="宋体"/>
          <w:szCs w:val="28"/>
          <w:highlight w:val="none"/>
          <w:lang w:eastAsia="zh-CN"/>
        </w:rPr>
        <w:t>2023年度</w:t>
      </w:r>
      <w:r>
        <w:rPr>
          <w:rFonts w:hint="eastAsia" w:hAnsi="宋体"/>
          <w:szCs w:val="28"/>
          <w:highlight w:val="none"/>
        </w:rPr>
        <w:t>我院基本支出全年预算</w:t>
      </w:r>
      <w:r>
        <w:rPr>
          <w:rFonts w:hint="eastAsia" w:hAnsi="宋体"/>
          <w:szCs w:val="28"/>
          <w:highlight w:val="none"/>
          <w:lang w:val="en-US" w:eastAsia="zh-CN"/>
        </w:rPr>
        <w:t>数和</w:t>
      </w:r>
      <w:r>
        <w:rPr>
          <w:rFonts w:hint="eastAsia" w:hAnsi="宋体"/>
          <w:szCs w:val="28"/>
          <w:highlight w:val="none"/>
        </w:rPr>
        <w:t>实际支出数</w:t>
      </w:r>
      <w:r>
        <w:rPr>
          <w:rFonts w:hint="eastAsia" w:hAnsi="宋体"/>
          <w:szCs w:val="28"/>
          <w:highlight w:val="none"/>
          <w:lang w:val="en-US" w:eastAsia="zh-CN"/>
        </w:rPr>
        <w:t>均为2252.74</w:t>
      </w:r>
      <w:r>
        <w:rPr>
          <w:rFonts w:hint="eastAsia" w:hAnsi="宋体"/>
          <w:szCs w:val="28"/>
          <w:highlight w:val="none"/>
        </w:rPr>
        <w:t>万元，基本支出预算执行率为</w:t>
      </w:r>
      <w:r>
        <w:rPr>
          <w:rFonts w:hint="eastAsia" w:hAnsi="宋体"/>
          <w:szCs w:val="28"/>
          <w:highlight w:val="none"/>
          <w:lang w:val="en-US" w:eastAsia="zh-CN"/>
        </w:rPr>
        <w:t>100</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highlight w:val="none"/>
        </w:rPr>
        <w:t>项目支出预算执行率：</w:t>
      </w:r>
      <w:r>
        <w:rPr>
          <w:rFonts w:hint="eastAsia" w:hAnsi="宋体"/>
          <w:szCs w:val="28"/>
          <w:highlight w:val="none"/>
          <w:lang w:eastAsia="zh-CN"/>
        </w:rPr>
        <w:t>2023年度</w:t>
      </w:r>
      <w:r>
        <w:rPr>
          <w:rFonts w:hint="eastAsia" w:hAnsi="宋体"/>
          <w:szCs w:val="28"/>
          <w:highlight w:val="none"/>
        </w:rPr>
        <w:t>项目支出支出全年预算</w:t>
      </w:r>
      <w:r>
        <w:rPr>
          <w:rFonts w:hint="eastAsia" w:hAnsi="宋体"/>
          <w:szCs w:val="28"/>
          <w:highlight w:val="none"/>
          <w:lang w:val="en-US" w:eastAsia="zh-CN"/>
        </w:rPr>
        <w:t>数894万元，</w:t>
      </w:r>
      <w:r>
        <w:rPr>
          <w:rFonts w:hint="eastAsia" w:hAnsi="宋体"/>
          <w:szCs w:val="28"/>
          <w:highlight w:val="none"/>
        </w:rPr>
        <w:t>实际支出数</w:t>
      </w:r>
      <w:r>
        <w:rPr>
          <w:rFonts w:hint="eastAsia" w:hAnsi="宋体"/>
          <w:szCs w:val="28"/>
          <w:highlight w:val="none"/>
          <w:lang w:val="en-US" w:eastAsia="zh-CN"/>
        </w:rPr>
        <w:t>831万元</w:t>
      </w:r>
      <w:r>
        <w:rPr>
          <w:rFonts w:hint="eastAsia" w:hAnsi="宋体"/>
          <w:szCs w:val="28"/>
          <w:highlight w:val="none"/>
        </w:rPr>
        <w:t>万元，预算执行率为</w:t>
      </w:r>
      <w:r>
        <w:rPr>
          <w:rFonts w:hint="eastAsia" w:hAnsi="宋体"/>
          <w:szCs w:val="28"/>
          <w:highlight w:val="none"/>
          <w:lang w:val="en-US" w:eastAsia="zh-CN"/>
        </w:rPr>
        <w:t>92.95%</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1.86分，得</w:t>
      </w:r>
      <w:r>
        <w:rPr>
          <w:rFonts w:hint="eastAsia" w:hAnsi="宋体"/>
          <w:szCs w:val="28"/>
          <w:highlight w:val="none"/>
        </w:rPr>
        <w:t>分率为</w:t>
      </w:r>
      <w:r>
        <w:rPr>
          <w:rFonts w:hint="eastAsia" w:hAnsi="宋体"/>
          <w:szCs w:val="28"/>
          <w:highlight w:val="none"/>
          <w:lang w:val="en-US" w:eastAsia="zh-CN"/>
        </w:rPr>
        <w:t>92.95%</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highlight w:val="none"/>
        </w:rPr>
      </w:pPr>
      <w:r>
        <w:rPr>
          <w:rFonts w:hint="eastAsia" w:hAnsi="宋体"/>
          <w:b/>
          <w:bCs/>
          <w:szCs w:val="28"/>
          <w:highlight w:val="none"/>
        </w:rPr>
        <w:t>“三公经费”控制率：</w:t>
      </w:r>
      <w:r>
        <w:rPr>
          <w:rFonts w:hint="eastAsia" w:hAnsi="宋体"/>
          <w:b w:val="0"/>
          <w:bCs w:val="0"/>
          <w:szCs w:val="28"/>
          <w:highlight w:val="none"/>
          <w:lang w:val="en-US" w:eastAsia="zh-CN"/>
        </w:rPr>
        <w:t>2023年</w:t>
      </w:r>
      <w:r>
        <w:rPr>
          <w:rFonts w:hint="eastAsia" w:hAnsi="宋体"/>
          <w:szCs w:val="28"/>
          <w:highlight w:val="none"/>
        </w:rPr>
        <w:t>“三公经费”</w:t>
      </w:r>
      <w:r>
        <w:rPr>
          <w:rFonts w:hint="eastAsia" w:hAnsi="宋体"/>
          <w:szCs w:val="28"/>
          <w:highlight w:val="none"/>
          <w:lang w:val="en-US" w:eastAsia="zh-CN"/>
        </w:rPr>
        <w:t>全年预算数94.56万元，实际支出数80.43万元，</w:t>
      </w:r>
      <w:r>
        <w:rPr>
          <w:rFonts w:hint="eastAsia" w:hAnsi="宋体"/>
          <w:szCs w:val="28"/>
          <w:highlight w:val="none"/>
        </w:rPr>
        <w:t>“三公经费”控制率为</w:t>
      </w:r>
      <w:r>
        <w:rPr>
          <w:rFonts w:hint="eastAsia" w:hAnsi="宋体"/>
          <w:szCs w:val="28"/>
          <w:highlight w:val="none"/>
          <w:lang w:val="en-US" w:eastAsia="zh-CN"/>
        </w:rPr>
        <w:t>85.06%</w:t>
      </w:r>
      <w:r>
        <w:rPr>
          <w:rFonts w:hint="eastAsia" w:hAnsi="宋体"/>
          <w:szCs w:val="28"/>
          <w:highlight w:val="none"/>
          <w:lang w:eastAsia="zh-CN"/>
        </w:rPr>
        <w:t>。</w:t>
      </w:r>
      <w:r>
        <w:rPr>
          <w:rFonts w:hint="eastAsia" w:hAnsi="宋体"/>
          <w:szCs w:val="28"/>
          <w:highlight w:val="none"/>
        </w:rPr>
        <w:t>该指标分值</w:t>
      </w:r>
      <w:r>
        <w:rPr>
          <w:rFonts w:hint="eastAsia" w:hAnsi="宋体"/>
          <w:szCs w:val="28"/>
          <w:highlight w:val="none"/>
          <w:lang w:val="en-US" w:eastAsia="zh-CN"/>
        </w:rPr>
        <w:t>2</w:t>
      </w:r>
      <w:r>
        <w:rPr>
          <w:rFonts w:hint="eastAsia" w:hAnsi="宋体"/>
          <w:szCs w:val="28"/>
          <w:highlight w:val="none"/>
        </w:rPr>
        <w:t>分，自评得分</w:t>
      </w:r>
      <w:r>
        <w:rPr>
          <w:rFonts w:hint="eastAsia" w:hAnsi="宋体"/>
          <w:szCs w:val="28"/>
          <w:highlight w:val="none"/>
          <w:lang w:val="en-US" w:eastAsia="zh-CN"/>
        </w:rPr>
        <w:t>2</w:t>
      </w:r>
      <w:r>
        <w:rPr>
          <w:rFonts w:hint="eastAsia" w:hAnsi="宋体"/>
          <w:szCs w:val="28"/>
          <w:highlight w:val="none"/>
        </w:rPr>
        <w:t>分，得分率为</w:t>
      </w:r>
      <w:r>
        <w:rPr>
          <w:rFonts w:hint="eastAsia" w:hAnsi="宋体"/>
          <w:szCs w:val="28"/>
          <w:highlight w:val="none"/>
          <w:lang w:val="en-US" w:eastAsia="zh-CN"/>
        </w:rPr>
        <w:t>100</w:t>
      </w:r>
      <w:r>
        <w:rPr>
          <w:rFonts w:hint="eastAsia" w:hAnsi="宋体"/>
          <w:szCs w:val="28"/>
          <w:highlight w:val="none"/>
        </w:rPr>
        <w:t>%。</w:t>
      </w:r>
    </w:p>
    <w:p>
      <w:pPr>
        <w:keepNext w:val="0"/>
        <w:keepLines w:val="0"/>
        <w:pageBreakBefore w:val="0"/>
        <w:widowControl w:val="0"/>
        <w:kinsoku/>
        <w:wordWrap/>
        <w:overflowPunct/>
        <w:topLinePunct w:val="0"/>
        <w:autoSpaceDE/>
        <w:autoSpaceDN/>
        <w:bidi w:val="0"/>
        <w:adjustRightInd/>
        <w:snapToGrid/>
        <w:ind w:firstLine="562"/>
        <w:textAlignment w:val="auto"/>
      </w:pPr>
      <w:r>
        <w:rPr>
          <w:rFonts w:hint="eastAsia" w:hAnsi="宋体"/>
          <w:b/>
          <w:bCs/>
          <w:szCs w:val="28"/>
        </w:rPr>
        <w:t>结转结余变动率：</w:t>
      </w:r>
      <w:r>
        <w:rPr>
          <w:rFonts w:hint="eastAsia" w:hAnsi="宋体"/>
          <w:szCs w:val="28"/>
          <w:highlight w:val="none"/>
          <w:lang w:eastAsia="zh-CN"/>
        </w:rPr>
        <w:t>我院</w:t>
      </w:r>
      <w:r>
        <w:rPr>
          <w:rFonts w:hint="eastAsia" w:hAnsi="宋体"/>
          <w:szCs w:val="28"/>
          <w:highlight w:val="none"/>
        </w:rPr>
        <w:t>202</w:t>
      </w:r>
      <w:r>
        <w:rPr>
          <w:rFonts w:hint="eastAsia" w:hAnsi="宋体"/>
          <w:szCs w:val="28"/>
          <w:highlight w:val="none"/>
          <w:lang w:val="en-US" w:eastAsia="zh-CN"/>
        </w:rPr>
        <w:t>2</w:t>
      </w:r>
      <w:r>
        <w:rPr>
          <w:rFonts w:hint="eastAsia" w:hAnsi="宋体"/>
          <w:szCs w:val="28"/>
        </w:rPr>
        <w:t>年</w:t>
      </w:r>
      <w:r>
        <w:rPr>
          <w:rFonts w:hint="eastAsia" w:hAnsi="宋体"/>
          <w:szCs w:val="28"/>
          <w:lang w:val="en-US" w:eastAsia="zh-CN"/>
        </w:rPr>
        <w:t>结转结余100万元</w:t>
      </w:r>
      <w:r>
        <w:rPr>
          <w:rFonts w:hint="eastAsia" w:hAnsi="宋体"/>
          <w:szCs w:val="28"/>
          <w:lang w:eastAsia="zh-CN"/>
        </w:rPr>
        <w:t>，</w:t>
      </w:r>
      <w:r>
        <w:rPr>
          <w:rFonts w:hint="eastAsia" w:hAnsi="宋体"/>
          <w:szCs w:val="28"/>
          <w:lang w:val="en-US" w:eastAsia="zh-CN"/>
        </w:rPr>
        <w:t>2023年结转结余63万元，</w:t>
      </w:r>
      <w:r>
        <w:rPr>
          <w:rFonts w:hint="eastAsia" w:hAnsi="宋体"/>
          <w:szCs w:val="28"/>
        </w:rPr>
        <w:t>结转结余资金变动率为</w:t>
      </w:r>
      <w:r>
        <w:rPr>
          <w:rFonts w:hint="eastAsia" w:hAnsi="宋体"/>
          <w:szCs w:val="28"/>
          <w:lang w:val="en-US" w:eastAsia="zh-CN"/>
        </w:rPr>
        <w:t>-37%</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highlight w:val="none"/>
        </w:rPr>
      </w:pPr>
      <w:r>
        <w:rPr>
          <w:rFonts w:hint="eastAsia" w:hAnsi="宋体"/>
          <w:b/>
          <w:bCs/>
          <w:szCs w:val="28"/>
        </w:rPr>
        <w:t>财务管理制度健全性：</w:t>
      </w:r>
      <w:r>
        <w:rPr>
          <w:rFonts w:hint="eastAsia" w:hAnsi="宋体"/>
          <w:szCs w:val="28"/>
          <w:lang w:eastAsia="zh-CN"/>
        </w:rPr>
        <w:t>我院</w:t>
      </w:r>
      <w:r>
        <w:rPr>
          <w:rFonts w:hint="eastAsia" w:hAnsi="宋体"/>
          <w:szCs w:val="28"/>
          <w:lang w:val="en-US" w:eastAsia="zh-CN"/>
        </w:rPr>
        <w:t>根据制定了的相关财务制度，</w:t>
      </w:r>
      <w:r>
        <w:rPr>
          <w:rFonts w:hint="eastAsia" w:hAnsi="宋体"/>
          <w:szCs w:val="28"/>
        </w:rPr>
        <w:t>经费收支管理</w:t>
      </w:r>
      <w:r>
        <w:rPr>
          <w:rFonts w:hint="eastAsia" w:hAnsi="宋体"/>
          <w:szCs w:val="28"/>
          <w:lang w:eastAsia="zh-CN"/>
        </w:rPr>
        <w:t>以及</w:t>
      </w:r>
      <w:r>
        <w:rPr>
          <w:rFonts w:hint="eastAsia" w:hAnsi="宋体"/>
          <w:szCs w:val="28"/>
        </w:rPr>
        <w:t>票据管理</w:t>
      </w:r>
      <w:r>
        <w:rPr>
          <w:rFonts w:hint="eastAsia" w:hAnsi="宋体"/>
          <w:szCs w:val="28"/>
          <w:lang w:eastAsia="zh-CN"/>
        </w:rPr>
        <w:t>等事项</w:t>
      </w:r>
      <w:r>
        <w:rPr>
          <w:rFonts w:hint="eastAsia" w:hAnsi="宋体"/>
          <w:szCs w:val="28"/>
          <w:lang w:val="en-US" w:eastAsia="zh-CN"/>
        </w:rPr>
        <w:t>有完备的审批流程和管控手续，</w:t>
      </w:r>
      <w:r>
        <w:rPr>
          <w:rFonts w:hint="eastAsia" w:hAnsi="宋体"/>
          <w:szCs w:val="28"/>
        </w:rPr>
        <w:t>在预算执行、事项支出、会计核算以及重大事项支出程序等方面不存在不规范现象，财务管理制度内容完备，具备可操作性。该指标分值</w:t>
      </w:r>
      <w:r>
        <w:rPr>
          <w:rFonts w:hint="eastAsia" w:hAnsi="宋体"/>
          <w:szCs w:val="28"/>
          <w:lang w:val="en-US" w:eastAsia="zh-CN"/>
        </w:rPr>
        <w:t>2</w:t>
      </w:r>
      <w:r>
        <w:rPr>
          <w:rFonts w:hint="eastAsia" w:hAnsi="宋体"/>
          <w:szCs w:val="28"/>
        </w:rPr>
        <w:t>分，自评得分</w:t>
      </w:r>
      <w:r>
        <w:rPr>
          <w:rFonts w:hint="eastAsia" w:hAnsi="宋体"/>
          <w:szCs w:val="28"/>
          <w:highlight w:val="none"/>
          <w:lang w:val="en-US" w:eastAsia="zh-CN"/>
        </w:rPr>
        <w:t>2</w:t>
      </w:r>
      <w:r>
        <w:rPr>
          <w:rFonts w:hint="eastAsia" w:hAnsi="宋体"/>
          <w:szCs w:val="28"/>
          <w:highlight w:val="none"/>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highlight w:val="none"/>
        </w:rPr>
        <w:t>资金使用规范性：</w:t>
      </w:r>
      <w:r>
        <w:rPr>
          <w:rFonts w:hint="eastAsia" w:hAnsi="宋体"/>
          <w:szCs w:val="28"/>
          <w:highlight w:val="none"/>
        </w:rPr>
        <w:t>我院资金支出总体上审批程序合规、手续齐全，支出内容</w:t>
      </w:r>
      <w:r>
        <w:rPr>
          <w:rFonts w:hint="eastAsia" w:hAnsi="宋体"/>
          <w:szCs w:val="28"/>
        </w:rPr>
        <w:t>符合省财政预算批复规定的用途，严格使用公务卡报销，有效提高了财务资金使用的合理性和规范性,防止了国有资金流失</w:t>
      </w:r>
      <w:r>
        <w:rPr>
          <w:rFonts w:hint="eastAsia" w:hAnsi="宋体"/>
          <w:szCs w:val="28"/>
          <w:lang w:eastAsia="zh-CN"/>
        </w:rPr>
        <w:t>。</w:t>
      </w:r>
      <w:r>
        <w:rPr>
          <w:rFonts w:hint="eastAsia" w:hAnsi="宋体"/>
          <w:szCs w:val="28"/>
        </w:rPr>
        <w:t>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政府采购规范性：</w:t>
      </w:r>
      <w:r>
        <w:rPr>
          <w:rFonts w:hint="eastAsia" w:hAnsi="宋体"/>
          <w:szCs w:val="28"/>
        </w:rPr>
        <w:t>我院采购实际执行情况与采购计划安排无差异。采购事项严格执行相关标准，采购业务符合政府采购相关规定。指标分值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资产管理规范性：</w:t>
      </w:r>
      <w:r>
        <w:rPr>
          <w:rFonts w:hint="eastAsia" w:hAnsi="宋体"/>
          <w:szCs w:val="28"/>
          <w:lang w:eastAsia="zh-CN"/>
        </w:rPr>
        <w:t>2023年</w:t>
      </w:r>
      <w:r>
        <w:rPr>
          <w:rFonts w:hint="eastAsia" w:hAnsi="宋体"/>
          <w:szCs w:val="28"/>
        </w:rPr>
        <w:t>我院账务和资产卡片数据相符，资产卡片与实物相符，各类资产保存完整、使用合规、配置合理、处置规范，资产处置收入能够及时足额上缴财政</w:t>
      </w:r>
      <w:r>
        <w:rPr>
          <w:rFonts w:hint="eastAsia" w:hAnsi="宋体"/>
          <w:szCs w:val="28"/>
          <w:lang w:eastAsia="zh-CN"/>
        </w:rPr>
        <w:t>，</w:t>
      </w:r>
      <w:r>
        <w:rPr>
          <w:rFonts w:hint="eastAsia" w:hAnsi="宋体"/>
          <w:szCs w:val="28"/>
        </w:rPr>
        <w:t>资产管理符合相关要求。该指标分值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keepNext w:val="0"/>
        <w:keepLines w:val="0"/>
        <w:pageBreakBefore w:val="0"/>
        <w:widowControl w:val="0"/>
        <w:kinsoku/>
        <w:wordWrap/>
        <w:overflowPunct/>
        <w:topLinePunct w:val="0"/>
        <w:autoSpaceDE/>
        <w:autoSpaceDN/>
        <w:bidi w:val="0"/>
        <w:adjustRightInd/>
        <w:snapToGrid/>
        <w:ind w:firstLine="562"/>
        <w:textAlignment w:val="auto"/>
        <w:rPr>
          <w:rFonts w:hAnsi="宋体"/>
          <w:szCs w:val="28"/>
        </w:rPr>
      </w:pPr>
      <w:r>
        <w:rPr>
          <w:rFonts w:hint="eastAsia" w:hAnsi="宋体"/>
          <w:b/>
          <w:bCs/>
          <w:szCs w:val="28"/>
        </w:rPr>
        <w:t>在职人员控制率：</w:t>
      </w:r>
      <w:r>
        <w:rPr>
          <w:rFonts w:hint="eastAsia" w:hAnsi="宋体"/>
          <w:szCs w:val="28"/>
        </w:rPr>
        <w:t>我院人员管理规范，</w:t>
      </w:r>
      <w:r>
        <w:rPr>
          <w:rFonts w:hint="eastAsia" w:hAnsi="宋体"/>
          <w:szCs w:val="28"/>
          <w:lang w:eastAsia="zh-CN"/>
        </w:rPr>
        <w:t>部门</w:t>
      </w:r>
      <w:r>
        <w:rPr>
          <w:rFonts w:hint="eastAsia" w:hAnsi="宋体"/>
          <w:szCs w:val="28"/>
        </w:rPr>
        <w:t>整体的财政供养人员规模得到有效控制</w:t>
      </w:r>
      <w:r>
        <w:rPr>
          <w:rFonts w:hint="eastAsia" w:hAnsi="宋体"/>
          <w:szCs w:val="28"/>
          <w:lang w:eastAsia="zh-CN"/>
        </w:rPr>
        <w:t>，</w:t>
      </w:r>
      <w:r>
        <w:rPr>
          <w:rFonts w:hint="eastAsia" w:hAnsi="宋体"/>
          <w:szCs w:val="28"/>
          <w:lang w:val="en-US" w:eastAsia="zh-CN"/>
        </w:rPr>
        <w:t>控制率95.7%，达到目标值。</w:t>
      </w:r>
      <w:r>
        <w:rPr>
          <w:rFonts w:hint="eastAsia" w:hAnsi="宋体"/>
          <w:szCs w:val="28"/>
        </w:rPr>
        <w:t>该指标分值</w:t>
      </w:r>
      <w:r>
        <w:rPr>
          <w:rFonts w:hint="eastAsia" w:hAnsi="宋体"/>
          <w:szCs w:val="28"/>
          <w:lang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w:t>
      </w:r>
      <w:r>
        <w:rPr>
          <w:rFonts w:hint="eastAsia" w:hAnsi="宋体"/>
          <w:szCs w:val="28"/>
          <w:lang w:val="en-US" w:eastAsia="zh-CN"/>
        </w:rPr>
        <w:t>100.00%</w:t>
      </w:r>
      <w:r>
        <w:rPr>
          <w:rFonts w:hint="eastAsia" w:hAnsi="宋体"/>
          <w:szCs w:val="28"/>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szCs w:val="28"/>
        </w:rPr>
      </w:pPr>
      <w:r>
        <w:rPr>
          <w:rFonts w:hint="eastAsia" w:hAnsi="宋体"/>
          <w:b/>
          <w:bCs/>
          <w:szCs w:val="28"/>
        </w:rPr>
        <w:t>重点工作管理制度健全性：</w:t>
      </w:r>
      <w:r>
        <w:rPr>
          <w:rFonts w:hint="eastAsia" w:hAnsi="宋体"/>
          <w:szCs w:val="28"/>
        </w:rPr>
        <w:t>我院针对重点工作，修订并完善了相关案件审判制度，制度合法、合规、完整，并且能够有效执行和指导重点工作的有效推进和实施。指标分值</w:t>
      </w:r>
      <w:r>
        <w:rPr>
          <w:rFonts w:hint="eastAsia" w:hAnsi="宋体"/>
          <w:szCs w:val="28"/>
          <w:lang w:val="en-US" w:eastAsia="zh-CN"/>
        </w:rPr>
        <w:t>2</w:t>
      </w:r>
      <w:r>
        <w:rPr>
          <w:rFonts w:hint="eastAsia" w:hAnsi="宋体"/>
          <w:szCs w:val="28"/>
        </w:rPr>
        <w:t>分，自评得分</w:t>
      </w:r>
      <w:r>
        <w:rPr>
          <w:rFonts w:hint="eastAsia" w:hAnsi="宋体"/>
          <w:szCs w:val="28"/>
          <w:lang w:val="en-US" w:eastAsia="zh-CN"/>
        </w:rPr>
        <w:t>2</w:t>
      </w:r>
      <w:r>
        <w:rPr>
          <w:rFonts w:hint="eastAsia" w:hAnsi="宋体"/>
          <w:szCs w:val="28"/>
        </w:rPr>
        <w:t>分，得分率为100%。</w:t>
      </w:r>
    </w:p>
    <w:p>
      <w:pPr>
        <w:pStyle w:val="4"/>
        <w:keepNext/>
        <w:keepLines/>
        <w:pageBreakBefore w:val="0"/>
        <w:widowControl w:val="0"/>
        <w:kinsoku/>
        <w:wordWrap/>
        <w:overflowPunct/>
        <w:topLinePunct w:val="0"/>
        <w:autoSpaceDE/>
        <w:autoSpaceDN/>
        <w:bidi w:val="0"/>
        <w:adjustRightInd/>
        <w:snapToGrid/>
        <w:ind w:firstLine="562"/>
        <w:textAlignment w:val="auto"/>
        <w:rPr>
          <w:rFonts w:hint="default"/>
          <w:lang w:val="en-US" w:eastAsia="zh-CN"/>
        </w:rPr>
      </w:pPr>
      <w:bookmarkStart w:id="51" w:name="_Toc40046032"/>
      <w:r>
        <w:rPr>
          <w:rFonts w:hint="eastAsia"/>
          <w:lang w:val="en-US" w:eastAsia="zh-CN"/>
        </w:rPr>
        <w:t>3.</w:t>
      </w:r>
      <w:r>
        <w:rPr>
          <w:rFonts w:hint="eastAsia"/>
        </w:rPr>
        <w:t>履职效果</w:t>
      </w:r>
      <w:bookmarkEnd w:id="51"/>
      <w:r>
        <w:rPr>
          <w:rFonts w:hint="eastAsia"/>
          <w:lang w:val="en-US" w:eastAsia="zh-CN"/>
        </w:rPr>
        <w:t>目标完成情况分析</w:t>
      </w:r>
    </w:p>
    <w:p>
      <w:pPr>
        <w:rPr>
          <w:rFonts w:hint="eastAsia"/>
          <w:b/>
          <w:bCs/>
          <w:lang w:eastAsia="zh-CN"/>
        </w:rPr>
      </w:pPr>
      <w:r>
        <w:rPr>
          <w:rFonts w:hint="eastAsia"/>
          <w:highlight w:val="none"/>
        </w:rPr>
        <w:t>履职效果指标包括部门履职</w:t>
      </w:r>
      <w:r>
        <w:rPr>
          <w:rFonts w:hint="eastAsia"/>
          <w:highlight w:val="none"/>
          <w:lang w:val="en-US" w:eastAsia="zh-CN"/>
        </w:rPr>
        <w:t>目标</w:t>
      </w:r>
      <w:r>
        <w:rPr>
          <w:rFonts w:hint="eastAsia"/>
          <w:highlight w:val="none"/>
        </w:rPr>
        <w:t>、</w:t>
      </w:r>
      <w:r>
        <w:rPr>
          <w:rFonts w:hint="eastAsia"/>
          <w:highlight w:val="none"/>
          <w:lang w:val="en-US" w:eastAsia="zh-CN"/>
        </w:rPr>
        <w:t>部门效果、服务对象满意度及</w:t>
      </w:r>
      <w:r>
        <w:rPr>
          <w:rFonts w:hint="eastAsia"/>
          <w:highlight w:val="none"/>
        </w:rPr>
        <w:t>社会影响</w:t>
      </w:r>
      <w:r>
        <w:rPr>
          <w:rFonts w:hint="eastAsia"/>
          <w:highlight w:val="none"/>
          <w:lang w:val="en-US" w:eastAsia="zh-CN"/>
        </w:rPr>
        <w:t>4</w:t>
      </w:r>
      <w:r>
        <w:rPr>
          <w:rFonts w:hint="eastAsia"/>
          <w:highlight w:val="none"/>
        </w:rPr>
        <w:t>个二级指标，下设</w:t>
      </w:r>
      <w:r>
        <w:rPr>
          <w:rFonts w:hint="eastAsia"/>
          <w:highlight w:val="none"/>
          <w:lang w:val="en-US" w:eastAsia="zh-CN"/>
        </w:rPr>
        <w:t>7</w:t>
      </w:r>
      <w:r>
        <w:rPr>
          <w:rFonts w:hint="eastAsia"/>
          <w:highlight w:val="none"/>
        </w:rPr>
        <w:t>个三级指标。履职效果指标分值</w:t>
      </w:r>
      <w:r>
        <w:rPr>
          <w:rFonts w:hint="eastAsia"/>
          <w:highlight w:val="none"/>
          <w:lang w:val="en-US" w:eastAsia="zh-CN"/>
        </w:rPr>
        <w:t>60</w:t>
      </w:r>
      <w:r>
        <w:rPr>
          <w:rFonts w:hint="eastAsia"/>
          <w:highlight w:val="none"/>
        </w:rPr>
        <w:t>分，自评</w:t>
      </w:r>
      <w:r>
        <w:rPr>
          <w:highlight w:val="none"/>
        </w:rPr>
        <w:t>得</w:t>
      </w:r>
      <w:r>
        <w:rPr>
          <w:rFonts w:hint="eastAsia"/>
          <w:highlight w:val="none"/>
        </w:rPr>
        <w:t>分</w:t>
      </w:r>
      <w:r>
        <w:rPr>
          <w:rFonts w:hint="eastAsia"/>
          <w:highlight w:val="none"/>
          <w:lang w:val="en-US" w:eastAsia="zh-CN"/>
        </w:rPr>
        <w:t>60</w:t>
      </w:r>
      <w:r>
        <w:rPr>
          <w:rFonts w:hint="eastAsia"/>
          <w:highlight w:val="none"/>
        </w:rPr>
        <w:t>分，</w:t>
      </w:r>
      <w:r>
        <w:rPr>
          <w:highlight w:val="none"/>
        </w:rPr>
        <w:t>得分率</w:t>
      </w:r>
      <w:r>
        <w:rPr>
          <w:rFonts w:hint="eastAsia"/>
          <w:highlight w:val="none"/>
          <w:lang w:val="en-US" w:eastAsia="zh-CN"/>
        </w:rPr>
        <w:t>100.00</w:t>
      </w:r>
      <w:r>
        <w:rPr>
          <w:highlight w:val="none"/>
        </w:rPr>
        <w:t>%</w:t>
      </w:r>
      <w:r>
        <w:rPr>
          <w:rFonts w:hint="eastAsia"/>
          <w:highlight w:val="none"/>
        </w:rPr>
        <w:t>。</w:t>
      </w:r>
      <w:r>
        <w:rPr>
          <w:rFonts w:hint="eastAsia"/>
          <w:b/>
          <w:bCs/>
          <w:lang w:eastAsia="zh-CN"/>
        </w:rPr>
        <w:tab/>
      </w:r>
    </w:p>
    <w:tbl>
      <w:tblPr>
        <w:tblStyle w:val="24"/>
        <w:tblW w:w="906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部门履职目标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刑事案件办结率（%）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&gt;=80%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98.54%</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登记立案率（%）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&gt;=100%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案件受理准确率（%）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&gt;=100%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trPr>
        <w:tc>
          <w:tcPr>
            <w:tcW w:w="124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部门效果目标</w:t>
            </w:r>
          </w:p>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首次执行案件实际执行到位率（%）</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&gt;=30%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trPr>
        <w:tc>
          <w:tcPr>
            <w:tcW w:w="1248" w:type="dxa"/>
            <w:vMerge w:val="restart"/>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r>
              <w:rPr>
                <w:rFonts w:hint="eastAsia" w:ascii="宋体" w:hAnsi="宋体" w:eastAsia="宋体" w:cs="宋体"/>
                <w:color w:val="000000"/>
                <w:kern w:val="0"/>
                <w:sz w:val="24"/>
                <w:szCs w:val="28"/>
                <w:highlight w:val="none"/>
                <w:lang w:val="en-US" w:eastAsia="zh-CN" w:bidi="ar-SA"/>
              </w:rPr>
              <w:t>服务对象满意度</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司法工作人员满意度（%）</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&gt;=100%</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98%</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5</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trPr>
        <w:tc>
          <w:tcPr>
            <w:tcW w:w="1248" w:type="dxa"/>
            <w:vMerge w:val="continu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诉讼双方满意度（%）</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&gt;=92%</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94%</w:t>
            </w:r>
          </w:p>
        </w:tc>
        <w:tc>
          <w:tcPr>
            <w:tcW w:w="850"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5</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trPr>
        <w:tc>
          <w:tcPr>
            <w:tcW w:w="1248" w:type="dxa"/>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color w:val="000000"/>
                <w:kern w:val="0"/>
                <w:sz w:val="24"/>
                <w:szCs w:val="28"/>
                <w:highlight w:val="none"/>
                <w:lang w:val="en-US" w:eastAsia="zh-CN" w:bidi="ar-SA"/>
              </w:rPr>
            </w:pPr>
            <w:r>
              <w:rPr>
                <w:rFonts w:hint="eastAsia" w:ascii="宋体" w:hAnsi="宋体" w:eastAsia="宋体" w:cs="宋体"/>
                <w:color w:val="000000"/>
                <w:kern w:val="0"/>
                <w:sz w:val="24"/>
                <w:szCs w:val="28"/>
                <w:highlight w:val="none"/>
                <w:lang w:val="en-US" w:eastAsia="zh-CN" w:bidi="ar-SA"/>
              </w:rPr>
              <w:t>社会影响</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获奖项目总数（个）</w:t>
            </w:r>
          </w:p>
        </w:tc>
        <w:tc>
          <w:tcPr>
            <w:tcW w:w="142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&gt;=0个</w:t>
            </w:r>
          </w:p>
        </w:tc>
        <w:tc>
          <w:tcPr>
            <w:tcW w:w="1484"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1个</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88" w:type="dxa"/>
            <w:vAlign w:val="center"/>
          </w:tcPr>
          <w:p>
            <w:pPr>
              <w:keepNext w:val="0"/>
              <w:keepLines w:val="0"/>
              <w:widowControl/>
              <w:suppressLineNumbers w:val="0"/>
              <w:ind w:firstLine="44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60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highlight w:val="none"/>
          <w:lang w:val="en-US" w:eastAsia="zh-CN"/>
        </w:rPr>
        <w:t>刑事案件办结率</w:t>
      </w:r>
      <w:r>
        <w:rPr>
          <w:rFonts w:hint="eastAsia"/>
          <w:b/>
          <w:bCs/>
          <w:highlight w:val="none"/>
        </w:rPr>
        <w:t>：</w:t>
      </w:r>
      <w:r>
        <w:rPr>
          <w:rFonts w:hint="eastAsia"/>
          <w:highlight w:val="none"/>
        </w:rPr>
        <w:t>我院本年度</w:t>
      </w:r>
      <w:r>
        <w:rPr>
          <w:rFonts w:hint="eastAsia"/>
          <w:highlight w:val="none"/>
          <w:lang w:val="en-US" w:eastAsia="zh-CN"/>
        </w:rPr>
        <w:t>刑事</w:t>
      </w:r>
      <w:r>
        <w:rPr>
          <w:rFonts w:hint="eastAsia"/>
          <w:highlight w:val="none"/>
        </w:rPr>
        <w:t>案件</w:t>
      </w:r>
      <w:r>
        <w:rPr>
          <w:rFonts w:hint="eastAsia"/>
          <w:highlight w:val="none"/>
          <w:lang w:val="en-US" w:eastAsia="zh-CN"/>
        </w:rPr>
        <w:t>立案数274件</w:t>
      </w:r>
      <w:r>
        <w:rPr>
          <w:highlight w:val="none"/>
        </w:rPr>
        <w:t>，</w:t>
      </w:r>
      <w:r>
        <w:rPr>
          <w:rFonts w:hint="eastAsia"/>
          <w:highlight w:val="none"/>
          <w:lang w:val="en-US" w:eastAsia="zh-CN"/>
        </w:rPr>
        <w:t>结案数270件，</w:t>
      </w:r>
      <w:r>
        <w:rPr>
          <w:rFonts w:hint="eastAsia"/>
          <w:b w:val="0"/>
          <w:bCs w:val="0"/>
          <w:highlight w:val="none"/>
          <w:lang w:val="en-US" w:eastAsia="zh-CN"/>
        </w:rPr>
        <w:t>刑事案件办结率98.54%，</w:t>
      </w:r>
      <w:r>
        <w:rPr>
          <w:highlight w:val="none"/>
        </w:rPr>
        <w:t>有效保障了审判服务</w:t>
      </w:r>
      <w:r>
        <w:rPr>
          <w:rFonts w:hint="eastAsia"/>
          <w:highlight w:val="none"/>
          <w:lang w:eastAsia="zh-CN"/>
        </w:rPr>
        <w:t>，</w:t>
      </w:r>
      <w:r>
        <w:rPr>
          <w:rFonts w:hint="eastAsia"/>
          <w:highlight w:val="none"/>
          <w:lang w:val="en-US" w:eastAsia="zh-CN"/>
        </w:rPr>
        <w:t>达到目标值</w:t>
      </w:r>
      <w:r>
        <w:rPr>
          <w:highlight w:val="none"/>
        </w:rPr>
        <w:t>。</w:t>
      </w:r>
      <w:r>
        <w:rPr>
          <w:rFonts w:hint="eastAsia"/>
          <w:highlight w:val="none"/>
        </w:rPr>
        <w:t>该指标分值</w:t>
      </w:r>
      <w:r>
        <w:rPr>
          <w:rFonts w:hint="eastAsia"/>
          <w:highlight w:val="none"/>
          <w:lang w:val="en-US" w:eastAsia="zh-CN"/>
        </w:rPr>
        <w:t>10</w:t>
      </w:r>
      <w:r>
        <w:rPr>
          <w:rFonts w:hint="eastAsia"/>
          <w:highlight w:val="none"/>
        </w:rPr>
        <w:t>分，</w:t>
      </w:r>
      <w:r>
        <w:rPr>
          <w:rFonts w:hint="eastAsia"/>
        </w:rPr>
        <w:t>自评得分</w:t>
      </w:r>
      <w:r>
        <w:rPr>
          <w:rFonts w:hint="eastAsia"/>
          <w:highlight w:val="none"/>
          <w:lang w:val="en-US" w:eastAsia="zh-CN"/>
        </w:rPr>
        <w:t>10</w:t>
      </w:r>
      <w:r>
        <w:rPr>
          <w:rFonts w:hint="eastAsia"/>
        </w:rPr>
        <w:t>分，得分率为</w:t>
      </w:r>
      <w:r>
        <w:rPr>
          <w:rFonts w:hint="eastAsia"/>
          <w:lang w:val="en-US" w:eastAsia="zh-CN"/>
        </w:rPr>
        <w:t>100.00</w:t>
      </w:r>
      <w:r>
        <w:t>%</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b/>
          <w:bCs/>
          <w:lang w:val="en-US" w:eastAsia="zh-CN"/>
        </w:rPr>
      </w:pPr>
      <w:r>
        <w:rPr>
          <w:rFonts w:hint="eastAsia"/>
          <w:b/>
          <w:bCs/>
          <w:lang w:val="en-US" w:eastAsia="zh-CN"/>
        </w:rPr>
        <w:t>登记立案率：</w:t>
      </w:r>
      <w:r>
        <w:rPr>
          <w:rFonts w:hint="eastAsia"/>
          <w:b w:val="0"/>
          <w:bCs w:val="0"/>
          <w:lang w:val="en-US" w:eastAsia="zh-CN"/>
        </w:rPr>
        <w:t>我院2023年登记立案3991</w:t>
      </w:r>
      <w:r>
        <w:rPr>
          <w:rFonts w:hint="eastAsia"/>
          <w:lang w:val="en-US" w:eastAsia="zh-CN"/>
        </w:rPr>
        <w:t>件，立</w:t>
      </w:r>
      <w:r>
        <w:rPr>
          <w:rFonts w:hint="eastAsia"/>
          <w:lang w:eastAsia="zh-CN"/>
        </w:rPr>
        <w:t>案率100%。</w:t>
      </w:r>
      <w:r>
        <w:rPr>
          <w:rFonts w:hint="eastAsia"/>
          <w:lang w:val="en-US" w:eastAsia="zh-CN"/>
        </w:rPr>
        <w:t>达到目标值</w:t>
      </w:r>
      <w:r>
        <w:t>。</w:t>
      </w:r>
      <w:r>
        <w:rPr>
          <w:rFonts w:hint="eastAsia"/>
        </w:rPr>
        <w:t>该指标分值</w:t>
      </w:r>
      <w:r>
        <w:rPr>
          <w:rFonts w:hint="eastAsia"/>
          <w:highlight w:val="none"/>
          <w:lang w:val="en-US" w:eastAsia="zh-CN"/>
        </w:rPr>
        <w:t>10</w:t>
      </w:r>
      <w:r>
        <w:rPr>
          <w:rFonts w:hint="eastAsia"/>
        </w:rPr>
        <w:t>分，自评得分</w:t>
      </w:r>
      <w:r>
        <w:rPr>
          <w:rFonts w:hint="eastAsia"/>
          <w:highlight w:val="none"/>
          <w:lang w:val="en-US" w:eastAsia="zh-CN"/>
        </w:rPr>
        <w:t>10</w:t>
      </w:r>
      <w:r>
        <w:rPr>
          <w:rFonts w:hint="eastAsia"/>
        </w:rPr>
        <w:t>分，得分率为</w:t>
      </w:r>
      <w:r>
        <w:t>100%</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案件受理准确率：</w:t>
      </w:r>
      <w:r>
        <w:rPr>
          <w:rFonts w:hint="eastAsia"/>
          <w:b w:val="0"/>
          <w:bCs w:val="0"/>
          <w:lang w:val="en-US" w:eastAsia="zh-CN"/>
        </w:rPr>
        <w:t>我院2023年案件受理准确率100.00%，</w:t>
      </w:r>
      <w:r>
        <w:rPr>
          <w:rFonts w:hint="eastAsia"/>
          <w:lang w:val="en-US" w:eastAsia="zh-CN"/>
        </w:rPr>
        <w:t>达到目标值</w:t>
      </w:r>
      <w:r>
        <w:t>。</w:t>
      </w:r>
      <w:r>
        <w:rPr>
          <w:rFonts w:hint="eastAsia"/>
        </w:rPr>
        <w:t>该指标分值</w:t>
      </w:r>
      <w:r>
        <w:rPr>
          <w:rFonts w:hint="eastAsia"/>
          <w:highlight w:val="none"/>
          <w:lang w:val="en-US" w:eastAsia="zh-CN"/>
        </w:rPr>
        <w:t>10</w:t>
      </w:r>
      <w:r>
        <w:rPr>
          <w:rFonts w:hint="eastAsia"/>
        </w:rPr>
        <w:t>分，自评得分</w:t>
      </w:r>
      <w:r>
        <w:rPr>
          <w:rFonts w:hint="eastAsia"/>
          <w:highlight w:val="none"/>
          <w:lang w:val="en-US" w:eastAsia="zh-CN"/>
        </w:rPr>
        <w:t>10</w:t>
      </w:r>
      <w:r>
        <w:rPr>
          <w:rFonts w:hint="eastAsia"/>
        </w:rPr>
        <w:t>分，得分率为</w:t>
      </w:r>
      <w:r>
        <w:t>100%</w:t>
      </w:r>
      <w:r>
        <w:rPr>
          <w:rFonts w:hint="eastAsia"/>
        </w:rPr>
        <w:t>。</w:t>
      </w:r>
    </w:p>
    <w:p>
      <w:pPr>
        <w:pStyle w:val="23"/>
        <w:keepNext w:val="0"/>
        <w:keepLines w:val="0"/>
        <w:pageBreakBefore w:val="0"/>
        <w:widowControl w:val="0"/>
        <w:kinsoku/>
        <w:wordWrap/>
        <w:overflowPunct/>
        <w:topLinePunct w:val="0"/>
        <w:autoSpaceDE/>
        <w:autoSpaceDN/>
        <w:bidi w:val="0"/>
        <w:adjustRightInd/>
        <w:snapToGrid/>
        <w:spacing w:after="0"/>
        <w:ind w:left="0" w:leftChars="0" w:firstLine="562" w:firstLineChars="200"/>
        <w:jc w:val="both"/>
        <w:textAlignment w:val="auto"/>
        <w:rPr>
          <w:rFonts w:hint="eastAsia"/>
        </w:rPr>
      </w:pPr>
      <w:r>
        <w:rPr>
          <w:rFonts w:hint="eastAsia"/>
          <w:b/>
          <w:bCs/>
          <w:lang w:val="en-US" w:eastAsia="zh-CN"/>
        </w:rPr>
        <w:t>首次执行案件实际执行到位率：</w:t>
      </w:r>
      <w:r>
        <w:rPr>
          <w:rFonts w:hint="eastAsia"/>
          <w:b w:val="0"/>
          <w:bCs w:val="0"/>
          <w:lang w:val="en-US" w:eastAsia="zh-CN"/>
        </w:rPr>
        <w:t>我院2023年首次执行案件实际执行到位率31%，</w:t>
      </w:r>
      <w:r>
        <w:rPr>
          <w:rFonts w:hint="eastAsia"/>
          <w:lang w:val="en-US" w:eastAsia="zh-CN"/>
        </w:rPr>
        <w:t>达到目标值</w:t>
      </w:r>
      <w:r>
        <w:t>。</w:t>
      </w:r>
      <w:r>
        <w:rPr>
          <w:rFonts w:hint="eastAsia"/>
        </w:rPr>
        <w:t>该指标分值</w:t>
      </w:r>
      <w:r>
        <w:rPr>
          <w:rFonts w:hint="eastAsia"/>
          <w:highlight w:val="none"/>
          <w:lang w:val="en-US" w:eastAsia="zh-CN"/>
        </w:rPr>
        <w:t>10</w:t>
      </w:r>
      <w:r>
        <w:rPr>
          <w:rFonts w:hint="eastAsia"/>
        </w:rPr>
        <w:t>分，自评得分</w:t>
      </w:r>
      <w:r>
        <w:rPr>
          <w:rFonts w:hint="eastAsia"/>
          <w:highlight w:val="none"/>
          <w:lang w:val="en-US" w:eastAsia="zh-CN"/>
        </w:rPr>
        <w:t>10</w:t>
      </w:r>
      <w:r>
        <w:rPr>
          <w:rFonts w:hint="eastAsia"/>
        </w:rPr>
        <w:t>分，得分率为</w:t>
      </w:r>
      <w:r>
        <w:t>100%</w:t>
      </w:r>
      <w:r>
        <w:rPr>
          <w:rFonts w:hint="eastAsi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cs="仿宋_GB2312"/>
          <w:b/>
          <w:bCs/>
          <w:sz w:val="28"/>
          <w:szCs w:val="28"/>
          <w:lang w:val="en-US" w:eastAsia="zh-CN"/>
        </w:rPr>
        <w:t>司法工作人员满意度</w:t>
      </w:r>
      <w:r>
        <w:rPr>
          <w:rFonts w:hint="eastAsia" w:ascii="仿宋_GB2312" w:hAnsi="仿宋_GB2312" w:eastAsia="仿宋_GB2312" w:cs="仿宋_GB2312"/>
          <w:b/>
          <w:bCs/>
          <w:sz w:val="28"/>
          <w:szCs w:val="28"/>
        </w:rPr>
        <w:t>：</w:t>
      </w:r>
      <w:r>
        <w:rPr>
          <w:rFonts w:hint="eastAsia"/>
        </w:rPr>
        <w:t>我院依法审理各类案件，妥善化解矛盾纠纷和行政争议，维护了法院审判工作的有序开展，积极保障人民群众生命财产安全，</w:t>
      </w:r>
      <w:r>
        <w:rPr>
          <w:rFonts w:hint="eastAsia"/>
          <w:lang w:val="en-US" w:eastAsia="zh-CN"/>
        </w:rPr>
        <w:t>当事人满意度98%，达到目标值。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诉讼双方满意度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color w:val="auto"/>
          <w:sz w:val="28"/>
          <w:szCs w:val="28"/>
          <w:lang w:val="en-US" w:eastAsia="zh-CN"/>
        </w:rPr>
        <w:t>诉讼双方满意度达到</w:t>
      </w:r>
      <w:r>
        <w:rPr>
          <w:rFonts w:hint="eastAsia" w:cs="仿宋_GB2312"/>
          <w:color w:val="auto"/>
          <w:sz w:val="28"/>
          <w:szCs w:val="28"/>
          <w:lang w:val="en-US" w:eastAsia="zh-CN"/>
        </w:rPr>
        <w:t>100</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年度目标值为大于等于</w:t>
      </w:r>
      <w:r>
        <w:rPr>
          <w:rFonts w:hint="eastAsia" w:cs="仿宋_GB2312"/>
          <w:sz w:val="28"/>
          <w:szCs w:val="28"/>
          <w:lang w:val="en-US" w:eastAsia="zh-CN"/>
        </w:rPr>
        <w:t>94%，</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spacing w:line="360" w:lineRule="auto"/>
        <w:ind w:left="0" w:leftChars="0" w:firstLine="562" w:firstLineChars="200"/>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获奖项目总数：</w:t>
      </w:r>
      <w:r>
        <w:rPr>
          <w:rFonts w:hint="eastAsia" w:ascii="仿宋_GB2312" w:hAnsi="仿宋_GB2312" w:eastAsia="仿宋_GB2312"/>
          <w:sz w:val="28"/>
          <w:shd w:val="clear" w:color="auto" w:fill="FFFFFF"/>
        </w:rPr>
        <w:t>202</w:t>
      </w:r>
      <w:r>
        <w:rPr>
          <w:rFonts w:hint="eastAsia"/>
          <w:sz w:val="28"/>
          <w:shd w:val="clear" w:color="auto" w:fill="FFFFFF"/>
          <w:lang w:val="en-US" w:eastAsia="zh-CN"/>
        </w:rPr>
        <w:t>3</w:t>
      </w:r>
      <w:r>
        <w:rPr>
          <w:rFonts w:hint="eastAsia" w:ascii="仿宋_GB2312" w:hAnsi="仿宋_GB2312" w:eastAsia="仿宋_GB2312"/>
          <w:sz w:val="28"/>
          <w:shd w:val="clear" w:color="auto" w:fill="FFFFFF"/>
        </w:rPr>
        <w:t>年度，单位获奖</w:t>
      </w:r>
      <w:r>
        <w:rPr>
          <w:rFonts w:hint="eastAsia"/>
          <w:sz w:val="28"/>
          <w:shd w:val="clear" w:color="auto" w:fill="FFFFFF"/>
          <w:lang w:val="en-US" w:eastAsia="zh-CN"/>
        </w:rPr>
        <w:t>1项</w:t>
      </w:r>
      <w:r>
        <w:rPr>
          <w:rFonts w:hint="eastAsia" w:ascii="仿宋_GB2312" w:hAnsi="仿宋_GB2312" w:eastAsia="仿宋_GB2312"/>
          <w:sz w:val="28"/>
          <w:shd w:val="clear" w:color="auto" w:fill="FFFFFF"/>
        </w:rPr>
        <w:t>，</w:t>
      </w:r>
      <w:r>
        <w:rPr>
          <w:rFonts w:hint="eastAsia" w:ascii="仿宋_GB2312" w:hAnsi="仿宋_GB2312" w:eastAsia="仿宋_GB2312" w:cs="仿宋_GB2312"/>
          <w:szCs w:val="28"/>
        </w:rPr>
        <w:t>该指标分值</w:t>
      </w:r>
      <w:r>
        <w:rPr>
          <w:rFonts w:hint="eastAsia" w:cs="仿宋_GB2312"/>
          <w:szCs w:val="28"/>
          <w:lang w:val="en-US" w:eastAsia="zh-CN"/>
        </w:rPr>
        <w:t>10</w:t>
      </w:r>
      <w:r>
        <w:rPr>
          <w:rFonts w:hint="eastAsia" w:ascii="仿宋_GB2312" w:hAnsi="仿宋_GB2312" w:eastAsia="仿宋_GB2312" w:cs="仿宋_GB2312"/>
          <w:szCs w:val="28"/>
        </w:rPr>
        <w:t>分，自评得分</w:t>
      </w:r>
      <w:r>
        <w:rPr>
          <w:rFonts w:hint="eastAsia" w:cs="仿宋_GB2312"/>
          <w:szCs w:val="28"/>
          <w:lang w:val="en-US" w:eastAsia="zh-CN"/>
        </w:rPr>
        <w:t>10</w:t>
      </w:r>
      <w:r>
        <w:rPr>
          <w:rFonts w:hint="eastAsia" w:ascii="仿宋_GB2312" w:hAnsi="仿宋_GB2312" w:eastAsia="仿宋_GB2312" w:cs="仿宋_GB2312"/>
          <w:szCs w:val="28"/>
        </w:rPr>
        <w:t>分，得分率为</w:t>
      </w:r>
      <w:r>
        <w:rPr>
          <w:rFonts w:hint="eastAsia" w:cs="仿宋_GB2312"/>
          <w:szCs w:val="28"/>
          <w:lang w:val="en-US" w:eastAsia="zh-CN"/>
        </w:rPr>
        <w:t>100.00</w:t>
      </w:r>
      <w:r>
        <w:rPr>
          <w:rFonts w:hint="eastAsia" w:ascii="仿宋_GB2312" w:hAnsi="仿宋_GB2312" w:eastAsia="仿宋_GB2312" w:cs="仿宋_GB2312"/>
          <w:szCs w:val="28"/>
        </w:rPr>
        <w:t>%</w:t>
      </w:r>
      <w:r>
        <w:rPr>
          <w:rFonts w:hint="eastAsia" w:ascii="仿宋_GB2312" w:hAnsi="宋体" w:eastAsia="仿宋_GB2312" w:cstheme="minorBidi"/>
          <w:b w:val="0"/>
          <w:bCs w:val="0"/>
          <w:kern w:val="2"/>
          <w:sz w:val="28"/>
          <w:szCs w:val="28"/>
          <w:lang w:val="en-US" w:eastAsia="zh-CN" w:bidi="ar-SA"/>
        </w:rPr>
        <w:t>。</w:t>
      </w:r>
    </w:p>
    <w:p>
      <w:pPr>
        <w:pStyle w:val="4"/>
        <w:keepNext/>
        <w:keepLines/>
        <w:pageBreakBefore w:val="0"/>
        <w:widowControl w:val="0"/>
        <w:kinsoku/>
        <w:wordWrap/>
        <w:overflowPunct/>
        <w:topLinePunct w:val="0"/>
        <w:autoSpaceDE/>
        <w:autoSpaceDN/>
        <w:bidi w:val="0"/>
        <w:adjustRightInd/>
        <w:snapToGrid/>
        <w:ind w:firstLine="562"/>
        <w:textAlignment w:val="auto"/>
        <w:rPr>
          <w:rFonts w:hint="eastAsia"/>
          <w:lang w:val="en-US" w:eastAsia="zh-CN"/>
        </w:rPr>
      </w:pPr>
      <w:r>
        <w:rPr>
          <w:rFonts w:hint="eastAsia"/>
          <w:lang w:val="en-US" w:eastAsia="zh-CN"/>
        </w:rPr>
        <w:t>4.能力建设</w:t>
      </w:r>
    </w:p>
    <w:p>
      <w:pPr>
        <w:keepNext w:val="0"/>
        <w:keepLines w:val="0"/>
        <w:pageBreakBefore w:val="0"/>
        <w:widowControl w:val="0"/>
        <w:kinsoku/>
        <w:wordWrap/>
        <w:overflowPunct/>
        <w:topLinePunct w:val="0"/>
        <w:autoSpaceDE/>
        <w:autoSpaceDN/>
        <w:bidi w:val="0"/>
        <w:adjustRightInd/>
        <w:snapToGrid/>
        <w:ind w:left="0" w:leftChars="0" w:firstLine="560" w:firstLineChars="200"/>
        <w:jc w:val="both"/>
        <w:textAlignment w:val="auto"/>
      </w:pPr>
      <w:r>
        <w:rPr>
          <w:rFonts w:hint="eastAsia"/>
        </w:rPr>
        <w:t>能力建设指标</w:t>
      </w:r>
      <w:r>
        <w:rPr>
          <w:rFonts w:hint="eastAsia"/>
          <w:highlight w:val="none"/>
        </w:rPr>
        <w:t>包括长效管理、</w:t>
      </w:r>
      <w:r>
        <w:rPr>
          <w:rFonts w:hint="eastAsia"/>
          <w:highlight w:val="none"/>
          <w:lang w:val="en-US" w:eastAsia="zh-CN"/>
        </w:rPr>
        <w:t>人力资源建设、档案管理3</w:t>
      </w:r>
      <w:r>
        <w:rPr>
          <w:rFonts w:hint="eastAsia"/>
          <w:highlight w:val="none"/>
        </w:rPr>
        <w:t>个二级指标，下设</w:t>
      </w:r>
      <w:r>
        <w:rPr>
          <w:rFonts w:hint="eastAsia"/>
          <w:highlight w:val="none"/>
          <w:lang w:val="en-US" w:eastAsia="zh-CN"/>
        </w:rPr>
        <w:t>3</w:t>
      </w:r>
      <w:r>
        <w:rPr>
          <w:rFonts w:hint="eastAsia"/>
          <w:highlight w:val="none"/>
        </w:rPr>
        <w:t>个三级指标。</w:t>
      </w:r>
      <w:r>
        <w:rPr>
          <w:rFonts w:hint="eastAsia"/>
        </w:rPr>
        <w:t>能力建设</w:t>
      </w:r>
      <w:r>
        <w:rPr>
          <w:rFonts w:hint="eastAsia"/>
          <w:highlight w:val="none"/>
        </w:rPr>
        <w:t>指标</w:t>
      </w:r>
      <w:r>
        <w:rPr>
          <w:rFonts w:hint="eastAsia"/>
        </w:rPr>
        <w:t>分值</w:t>
      </w:r>
      <w:r>
        <w:rPr>
          <w:rFonts w:hint="eastAsia"/>
          <w:lang w:val="en-US" w:eastAsia="zh-CN"/>
        </w:rPr>
        <w:t>10</w:t>
      </w:r>
      <w:r>
        <w:t>分，自评得分</w:t>
      </w:r>
      <w:r>
        <w:rPr>
          <w:rFonts w:hint="eastAsia"/>
          <w:lang w:val="en-US" w:eastAsia="zh-CN"/>
        </w:rPr>
        <w:t>10</w:t>
      </w:r>
      <w:r>
        <w:t>分，得分率100%。</w:t>
      </w:r>
    </w:p>
    <w:tbl>
      <w:tblPr>
        <w:tblStyle w:val="24"/>
        <w:tblW w:w="906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长效管理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中期规划建设完备程度</w:t>
            </w:r>
          </w:p>
        </w:tc>
        <w:tc>
          <w:tcPr>
            <w:tcW w:w="97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firstLine="440" w:firstLineChars="20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00"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3.34</w:t>
            </w:r>
          </w:p>
        </w:tc>
        <w:tc>
          <w:tcPr>
            <w:tcW w:w="1188" w:type="dxa"/>
            <w:vAlign w:val="center"/>
          </w:tcPr>
          <w:p>
            <w:pPr>
              <w:keepNext w:val="0"/>
              <w:keepLines w:val="0"/>
              <w:widowControl/>
              <w:suppressLineNumbers w:val="0"/>
              <w:ind w:firstLine="440" w:firstLineChars="200"/>
              <w:jc w:val="center"/>
              <w:textAlignment w:val="center"/>
              <w:rPr>
                <w:rFonts w:hint="default"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3.34</w:t>
            </w:r>
          </w:p>
        </w:tc>
        <w:tc>
          <w:tcPr>
            <w:tcW w:w="1046" w:type="dxa"/>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人力资源建设</w:t>
            </w:r>
          </w:p>
        </w:tc>
        <w:tc>
          <w:tcPr>
            <w:tcW w:w="2062" w:type="dxa"/>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人员培训机制完备性</w:t>
            </w:r>
          </w:p>
        </w:tc>
        <w:tc>
          <w:tcPr>
            <w:tcW w:w="97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firstLine="440" w:firstLineChars="20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00"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1188" w:type="dxa"/>
            <w:vAlign w:val="center"/>
          </w:tcPr>
          <w:p>
            <w:pPr>
              <w:keepNext w:val="0"/>
              <w:keepLines w:val="0"/>
              <w:widowControl/>
              <w:suppressLineNumbers w:val="0"/>
              <w:ind w:firstLine="440" w:firstLineChars="20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pPr>
              <w:keepNext w:val="0"/>
              <w:keepLines w:val="0"/>
              <w:widowControl/>
              <w:suppressLineNumbers w:val="0"/>
              <w:ind w:left="0" w:leftChars="0"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w:t>
            </w:r>
          </w:p>
        </w:tc>
        <w:tc>
          <w:tcPr>
            <w:tcW w:w="2062" w:type="dxa"/>
            <w:vAlign w:val="center"/>
          </w:tcPr>
          <w:p>
            <w:pPr>
              <w:keepNext w:val="0"/>
              <w:keepLines w:val="0"/>
              <w:widowControl/>
              <w:suppressLineNumbers w:val="0"/>
              <w:ind w:left="0" w:leftChars="0" w:firstLine="0" w:firstLineChars="0"/>
              <w:jc w:val="left"/>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档案管理完备性</w:t>
            </w:r>
          </w:p>
        </w:tc>
        <w:tc>
          <w:tcPr>
            <w:tcW w:w="975"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完备</w:t>
            </w:r>
          </w:p>
        </w:tc>
        <w:tc>
          <w:tcPr>
            <w:tcW w:w="1150" w:type="dxa"/>
            <w:vAlign w:val="center"/>
          </w:tcPr>
          <w:p>
            <w:pPr>
              <w:keepNext w:val="0"/>
              <w:keepLines w:val="0"/>
              <w:widowControl/>
              <w:suppressLineNumbers w:val="0"/>
              <w:ind w:firstLine="440" w:firstLineChars="20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w:t>
            </w:r>
          </w:p>
        </w:tc>
        <w:tc>
          <w:tcPr>
            <w:tcW w:w="800" w:type="dxa"/>
            <w:vAlign w:val="center"/>
          </w:tcPr>
          <w:p>
            <w:pPr>
              <w:keepNext w:val="0"/>
              <w:keepLines w:val="0"/>
              <w:widowControl/>
              <w:suppressLineNumbers w:val="0"/>
              <w:ind w:left="0" w:leftChars="0" w:firstLine="0" w:firstLineChars="0"/>
              <w:jc w:val="both"/>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3.33</w:t>
            </w:r>
          </w:p>
        </w:tc>
        <w:tc>
          <w:tcPr>
            <w:tcW w:w="1188" w:type="dxa"/>
            <w:vAlign w:val="center"/>
          </w:tcPr>
          <w:p>
            <w:pPr>
              <w:keepNext w:val="0"/>
              <w:keepLines w:val="0"/>
              <w:widowControl/>
              <w:suppressLineNumbers w:val="0"/>
              <w:ind w:firstLine="440" w:firstLineChars="20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3.33</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中期规划建设完备程度：</w:t>
      </w:r>
      <w:r>
        <w:rPr>
          <w:rFonts w:hint="eastAsia" w:ascii="仿宋_GB2312" w:hAnsi="宋体" w:eastAsia="仿宋_GB2312" w:cstheme="minorBidi"/>
          <w:b w:val="0"/>
          <w:bCs w:val="0"/>
          <w:kern w:val="2"/>
          <w:sz w:val="28"/>
          <w:szCs w:val="28"/>
          <w:lang w:val="en-US" w:eastAsia="zh-CN" w:bidi="ar-SA"/>
        </w:rPr>
        <w:t>我院中期规划完整清晰、内容全面可行，能够为</w:t>
      </w:r>
      <w:r>
        <w:rPr>
          <w:rFonts w:hint="eastAsia" w:hAnsi="宋体" w:cstheme="minorBidi"/>
          <w:b w:val="0"/>
          <w:bCs w:val="0"/>
          <w:kern w:val="2"/>
          <w:sz w:val="28"/>
          <w:szCs w:val="28"/>
          <w:highlight w:val="none"/>
          <w:lang w:val="en-US" w:eastAsia="zh-CN" w:bidi="ar-SA"/>
        </w:rPr>
        <w:t>今后</w:t>
      </w:r>
      <w:r>
        <w:rPr>
          <w:rFonts w:hint="eastAsia" w:ascii="仿宋_GB2312" w:hAnsi="宋体" w:eastAsia="仿宋_GB2312" w:cstheme="minorBidi"/>
          <w:b w:val="0"/>
          <w:bCs w:val="0"/>
          <w:kern w:val="2"/>
          <w:sz w:val="28"/>
          <w:szCs w:val="28"/>
          <w:highlight w:val="none"/>
          <w:lang w:val="en-US" w:eastAsia="zh-CN" w:bidi="ar-SA"/>
        </w:rPr>
        <w:t>的工作明确目标、方向和内容，达到年度指标值。该指标分值</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分，自评得分为</w:t>
      </w:r>
      <w:r>
        <w:rPr>
          <w:rFonts w:hint="eastAsia" w:hAnsi="宋体" w:cstheme="minorBidi"/>
          <w:b w:val="0"/>
          <w:bCs w:val="0"/>
          <w:kern w:val="2"/>
          <w:sz w:val="28"/>
          <w:szCs w:val="28"/>
          <w:highlight w:val="none"/>
          <w:lang w:val="en-US" w:eastAsia="zh-CN" w:bidi="ar-SA"/>
        </w:rPr>
        <w:t>3.34</w:t>
      </w:r>
      <w:r>
        <w:rPr>
          <w:rFonts w:hint="eastAsia" w:ascii="仿宋_GB2312" w:hAnsi="宋体" w:eastAsia="仿宋_GB2312" w:cstheme="minorBidi"/>
          <w:b w:val="0"/>
          <w:bCs w:val="0"/>
          <w:kern w:val="2"/>
          <w:sz w:val="28"/>
          <w:szCs w:val="28"/>
          <w:highlight w:val="none"/>
          <w:lang w:val="en-US" w:eastAsia="zh-CN" w:bidi="ar-SA"/>
        </w:rPr>
        <w:t>分，得分率</w:t>
      </w:r>
      <w:r>
        <w:rPr>
          <w:rFonts w:hint="eastAsia" w:hAnsi="宋体" w:cstheme="minorBidi"/>
          <w:b w:val="0"/>
          <w:bCs w:val="0"/>
          <w:kern w:val="2"/>
          <w:sz w:val="28"/>
          <w:szCs w:val="28"/>
          <w:highlight w:val="none"/>
          <w:lang w:val="en-US" w:eastAsia="zh-CN" w:bidi="ar-SA"/>
        </w:rPr>
        <w:t>100.00%</w:t>
      </w:r>
      <w:r>
        <w:rPr>
          <w:rFonts w:hint="eastAsia" w:ascii="仿宋_GB2312" w:hAnsi="宋体" w:eastAsia="仿宋_GB2312" w:cstheme="minorBidi"/>
          <w:b w:val="0"/>
          <w:bCs w:val="0"/>
          <w:kern w:val="2"/>
          <w:sz w:val="28"/>
          <w:szCs w:val="28"/>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hAnsi="宋体"/>
          <w:szCs w:val="28"/>
        </w:rPr>
      </w:pPr>
      <w:r>
        <w:rPr>
          <w:rFonts w:hint="eastAsia" w:ascii="仿宋_GB2312" w:hAnsi="宋体" w:eastAsia="仿宋_GB2312" w:cstheme="minorBidi"/>
          <w:b/>
          <w:bCs/>
          <w:color w:val="auto"/>
          <w:kern w:val="2"/>
          <w:sz w:val="28"/>
          <w:szCs w:val="28"/>
          <w:lang w:val="en-US" w:eastAsia="zh-CN" w:bidi="ar-SA"/>
        </w:rPr>
        <w:t>人员培训机制完备性：</w:t>
      </w:r>
      <w:r>
        <w:rPr>
          <w:rFonts w:hint="eastAsia" w:hAnsi="宋体"/>
          <w:szCs w:val="28"/>
          <w:lang w:val="en-US" w:eastAsia="zh-CN"/>
        </w:rPr>
        <w:t>我</w:t>
      </w:r>
      <w:r>
        <w:rPr>
          <w:rFonts w:hint="eastAsia"/>
          <w:lang w:val="en-US" w:eastAsia="zh-CN"/>
        </w:rPr>
        <w:t>院重视人员培训工作，积极开展，有计划有组织，工作落实情况强，</w:t>
      </w:r>
      <w:r>
        <w:rPr>
          <w:rFonts w:hint="eastAsia"/>
        </w:rPr>
        <w:t>达到年度指标值。</w:t>
      </w:r>
      <w:r>
        <w:rPr>
          <w:rFonts w:hint="eastAsia" w:hAnsi="宋体"/>
          <w:szCs w:val="28"/>
        </w:rPr>
        <w:t>该指标分值</w:t>
      </w:r>
      <w:r>
        <w:rPr>
          <w:rFonts w:hint="eastAsia" w:hAnsi="宋体" w:cstheme="minorBidi"/>
          <w:b w:val="0"/>
          <w:bCs w:val="0"/>
          <w:kern w:val="2"/>
          <w:sz w:val="28"/>
          <w:szCs w:val="28"/>
          <w:highlight w:val="none"/>
          <w:lang w:val="en-US" w:eastAsia="zh-CN" w:bidi="ar-SA"/>
        </w:rPr>
        <w:t>3.33</w:t>
      </w:r>
      <w:r>
        <w:rPr>
          <w:rFonts w:hint="eastAsia" w:hAnsi="宋体"/>
          <w:szCs w:val="28"/>
        </w:rPr>
        <w:t>分，自评得分</w:t>
      </w:r>
      <w:r>
        <w:rPr>
          <w:rFonts w:hint="eastAsia" w:hAnsi="宋体" w:cstheme="minorBidi"/>
          <w:b w:val="0"/>
          <w:bCs w:val="0"/>
          <w:kern w:val="2"/>
          <w:sz w:val="28"/>
          <w:szCs w:val="28"/>
          <w:highlight w:val="none"/>
          <w:lang w:val="en-US" w:eastAsia="zh-CN" w:bidi="ar-SA"/>
        </w:rPr>
        <w:t>3.33</w:t>
      </w:r>
      <w:r>
        <w:rPr>
          <w:rFonts w:hint="eastAsia" w:hAnsi="宋体"/>
          <w:szCs w:val="28"/>
        </w:rPr>
        <w:t>分，得分率</w:t>
      </w:r>
      <w:r>
        <w:rPr>
          <w:rFonts w:hint="eastAsia" w:hAnsi="宋体"/>
          <w:szCs w:val="28"/>
          <w:lang w:eastAsia="zh-CN"/>
        </w:rPr>
        <w:t>100.00%</w:t>
      </w:r>
      <w:r>
        <w:rPr>
          <w:rFonts w:hint="eastAsia" w:hAnsi="宋体"/>
          <w:szCs w:val="28"/>
        </w:rPr>
        <w:t>。</w:t>
      </w:r>
    </w:p>
    <w:p>
      <w:pPr>
        <w:bidi w:val="0"/>
        <w:rPr>
          <w:rFonts w:hint="eastAsia" w:ascii="仿宋" w:hAnsi="仿宋" w:eastAsia="仿宋" w:cs="仿宋"/>
          <w:b w:val="0"/>
          <w:bCs w:val="0"/>
          <w:szCs w:val="28"/>
          <w:lang w:eastAsia="zh-CN"/>
        </w:rPr>
      </w:pPr>
      <w:bookmarkStart w:id="52" w:name="_Toc16731"/>
      <w:bookmarkStart w:id="53" w:name="_Toc12558"/>
      <w:bookmarkStart w:id="54" w:name="_Toc3174"/>
      <w:bookmarkStart w:id="55" w:name="_Toc40046035"/>
      <w:bookmarkStart w:id="56" w:name="_Toc16525"/>
      <w:r>
        <w:rPr>
          <w:rFonts w:hint="eastAsia"/>
          <w:b/>
          <w:bCs/>
          <w:lang w:val="en-US" w:eastAsia="zh-CN"/>
        </w:rPr>
        <w:t>档案管理完备性：</w:t>
      </w:r>
      <w:r>
        <w:rPr>
          <w:rFonts w:hint="eastAsia"/>
          <w:lang w:val="en-US" w:eastAsia="zh-CN"/>
        </w:rPr>
        <w:t>我院档案管理机制完备，</w:t>
      </w:r>
      <w:r>
        <w:rPr>
          <w:rFonts w:hint="eastAsia"/>
          <w:lang w:eastAsia="zh-CN"/>
        </w:rPr>
        <w:t>达到年度指标值。该指标分值</w:t>
      </w:r>
      <w:r>
        <w:rPr>
          <w:rFonts w:hint="eastAsia" w:hAnsi="宋体" w:cstheme="minorBidi"/>
          <w:b w:val="0"/>
          <w:bCs w:val="0"/>
          <w:kern w:val="2"/>
          <w:sz w:val="28"/>
          <w:szCs w:val="28"/>
          <w:highlight w:val="none"/>
          <w:lang w:val="en-US" w:eastAsia="zh-CN" w:bidi="ar-SA"/>
        </w:rPr>
        <w:t>3.33</w:t>
      </w:r>
      <w:r>
        <w:rPr>
          <w:rFonts w:hint="eastAsia"/>
          <w:lang w:eastAsia="zh-CN"/>
        </w:rPr>
        <w:t>分，自评得分</w:t>
      </w:r>
      <w:r>
        <w:rPr>
          <w:rFonts w:hint="eastAsia" w:hAnsi="宋体" w:cstheme="minorBidi"/>
          <w:b w:val="0"/>
          <w:bCs w:val="0"/>
          <w:kern w:val="2"/>
          <w:sz w:val="28"/>
          <w:szCs w:val="28"/>
          <w:highlight w:val="none"/>
          <w:lang w:val="en-US" w:eastAsia="zh-CN" w:bidi="ar-SA"/>
        </w:rPr>
        <w:t>3.33</w:t>
      </w:r>
      <w:r>
        <w:rPr>
          <w:rFonts w:hint="eastAsia"/>
          <w:lang w:eastAsia="zh-CN"/>
        </w:rPr>
        <w:t>分，得分率100.00%。</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ind w:leftChars="0" w:firstLine="643" w:firstLineChars="200"/>
        <w:jc w:val="both"/>
        <w:textAlignment w:val="auto"/>
      </w:pPr>
      <w:bookmarkStart w:id="57" w:name="_Toc16933"/>
      <w:r>
        <w:rPr>
          <w:rFonts w:hint="eastAsia"/>
          <w:lang w:eastAsia="zh-CN"/>
        </w:rPr>
        <w:t>（</w:t>
      </w:r>
      <w:r>
        <w:rPr>
          <w:rFonts w:hint="eastAsia"/>
          <w:lang w:val="en-US" w:eastAsia="zh-CN"/>
        </w:rPr>
        <w:t>四</w:t>
      </w:r>
      <w:r>
        <w:rPr>
          <w:rFonts w:hint="eastAsia"/>
          <w:lang w:eastAsia="zh-CN"/>
        </w:rPr>
        <w:t>）</w:t>
      </w:r>
      <w:r>
        <w:rPr>
          <w:rFonts w:hint="eastAsia"/>
        </w:rPr>
        <w:t>偏离绩效目标的原因及下一步改进措施</w:t>
      </w:r>
      <w:bookmarkEnd w:id="52"/>
      <w:bookmarkEnd w:id="53"/>
      <w:bookmarkEnd w:id="54"/>
      <w:bookmarkEnd w:id="55"/>
      <w:bookmarkEnd w:id="56"/>
      <w:bookmarkEnd w:id="57"/>
    </w:p>
    <w:p>
      <w:pPr>
        <w:pStyle w:val="2"/>
        <w:keepNext w:val="0"/>
        <w:keepLines w:val="0"/>
        <w:pageBreakBefore w:val="0"/>
        <w:widowControl w:val="0"/>
        <w:kinsoku/>
        <w:wordWrap/>
        <w:overflowPunct/>
        <w:topLinePunct w:val="0"/>
        <w:autoSpaceDE/>
        <w:autoSpaceDN/>
        <w:bidi w:val="0"/>
        <w:adjustRightInd/>
        <w:snapToGrid/>
        <w:spacing w:before="0" w:after="0"/>
        <w:ind w:firstLine="560" w:firstLineChars="200"/>
        <w:textAlignment w:val="auto"/>
        <w:rPr>
          <w:rFonts w:hint="eastAsia"/>
          <w:lang w:val="en-US" w:eastAsia="zh-CN"/>
        </w:rPr>
      </w:pPr>
      <w:bookmarkStart w:id="58" w:name="_Toc18080"/>
      <w:r>
        <w:rPr>
          <w:rFonts w:hint="eastAsia" w:ascii="仿宋_GB2312" w:hAnsi="仿宋_GB2312" w:eastAsia="仿宋_GB2312" w:cstheme="minorBidi"/>
          <w:b w:val="0"/>
          <w:bCs w:val="0"/>
          <w:kern w:val="2"/>
          <w:sz w:val="28"/>
          <w:szCs w:val="22"/>
          <w:lang w:val="en-US" w:eastAsia="zh-CN" w:bidi="ar-SA"/>
        </w:rPr>
        <w:t>项目支出预算执行率较低，年末结转结余资金较多，下一步我院将督促提高资金执行率。</w:t>
      </w:r>
      <w:bookmarkEnd w:id="58"/>
    </w:p>
    <w:p>
      <w:pPr>
        <w:pStyle w:val="2"/>
        <w:keepNext w:val="0"/>
        <w:keepLines w:val="0"/>
        <w:pageBreakBefore w:val="0"/>
        <w:widowControl w:val="0"/>
        <w:kinsoku/>
        <w:wordWrap/>
        <w:overflowPunct/>
        <w:topLinePunct w:val="0"/>
        <w:autoSpaceDE/>
        <w:autoSpaceDN/>
        <w:bidi w:val="0"/>
        <w:adjustRightInd/>
        <w:snapToGrid/>
        <w:spacing w:before="0" w:after="0"/>
        <w:ind w:firstLine="643" w:firstLineChars="200"/>
        <w:textAlignment w:val="auto"/>
        <w:rPr>
          <w:rFonts w:hint="default"/>
          <w:lang w:val="en-US" w:eastAsia="zh-CN"/>
        </w:rPr>
      </w:pPr>
      <w:bookmarkStart w:id="59" w:name="_Toc13450"/>
      <w:r>
        <w:rPr>
          <w:rFonts w:hint="eastAsia"/>
          <w:lang w:val="en-US" w:eastAsia="zh-CN"/>
        </w:rPr>
        <w:t>四、部门预算项目支出绩效自评情况分析</w:t>
      </w:r>
      <w:bookmarkEnd w:id="59"/>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firstLine="560" w:firstLineChars="200"/>
        <w:jc w:val="both"/>
        <w:textAlignment w:val="auto"/>
        <w:outlineLvl w:val="9"/>
        <w:rPr>
          <w:rFonts w:hint="eastAsia" w:ascii="仿宋_GB2312" w:hAnsi="仿宋_GB2312" w:eastAsia="仿宋_GB2312" w:cs="仿宋_GB2312"/>
          <w:b w:val="0"/>
          <w:bCs w:val="0"/>
          <w:sz w:val="28"/>
          <w:szCs w:val="28"/>
          <w:lang w:val="en-US" w:eastAsia="zh-CN"/>
        </w:rPr>
      </w:pPr>
      <w:r>
        <w:rPr>
          <w:rFonts w:hint="eastAsia" w:cs="仿宋_GB2312"/>
          <w:b w:val="0"/>
          <w:bCs w:val="0"/>
          <w:sz w:val="28"/>
          <w:szCs w:val="28"/>
          <w:lang w:val="en-US" w:eastAsia="zh-CN"/>
        </w:rPr>
        <w:t>2023年</w:t>
      </w:r>
      <w:r>
        <w:rPr>
          <w:rFonts w:hint="eastAsia" w:ascii="仿宋_GB2312" w:hAnsi="仿宋_GB2312" w:eastAsia="仿宋_GB2312" w:cs="仿宋_GB2312"/>
          <w:b w:val="0"/>
          <w:bCs w:val="0"/>
          <w:sz w:val="28"/>
          <w:szCs w:val="28"/>
          <w:lang w:val="en-US" w:eastAsia="zh-CN"/>
        </w:rPr>
        <w:t>，我院预算支出项目为</w:t>
      </w:r>
      <w:r>
        <w:rPr>
          <w:rFonts w:hint="eastAsia" w:cs="仿宋_GB2312"/>
          <w:b w:val="0"/>
          <w:bCs w:val="0"/>
          <w:sz w:val="28"/>
          <w:szCs w:val="28"/>
          <w:lang w:val="en-US" w:eastAsia="zh-CN"/>
        </w:rPr>
        <w:t>2</w:t>
      </w:r>
      <w:r>
        <w:rPr>
          <w:rFonts w:hint="eastAsia" w:ascii="仿宋_GB2312" w:hAnsi="仿宋_GB2312" w:eastAsia="仿宋_GB2312" w:cs="仿宋_GB2312"/>
          <w:b w:val="0"/>
          <w:bCs w:val="0"/>
          <w:sz w:val="28"/>
          <w:szCs w:val="28"/>
          <w:lang w:val="en-US" w:eastAsia="zh-CN"/>
        </w:rPr>
        <w:t>个，通过自评，项目结果为“</w:t>
      </w:r>
      <w:r>
        <w:rPr>
          <w:rFonts w:hint="eastAsia" w:cs="仿宋_GB2312"/>
          <w:b w:val="0"/>
          <w:bCs w:val="0"/>
          <w:sz w:val="28"/>
          <w:szCs w:val="28"/>
          <w:lang w:val="en-US" w:eastAsia="zh-CN"/>
        </w:rPr>
        <w:t>优</w:t>
      </w:r>
      <w:r>
        <w:rPr>
          <w:rFonts w:hint="eastAsia" w:ascii="仿宋_GB2312" w:hAnsi="仿宋_GB2312" w:eastAsia="仿宋_GB2312" w:cs="仿宋_GB2312"/>
          <w:b w:val="0"/>
          <w:bCs w:val="0"/>
          <w:sz w:val="28"/>
          <w:szCs w:val="28"/>
          <w:lang w:val="en-US" w:eastAsia="zh-CN"/>
        </w:rPr>
        <w:t>”。</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eastAsia"/>
        </w:rPr>
      </w:pPr>
      <w:bookmarkStart w:id="60" w:name="_Toc24750"/>
      <w:r>
        <w:rPr>
          <w:rFonts w:hint="eastAsia"/>
          <w:lang w:eastAsia="zh-CN"/>
        </w:rPr>
        <w:t>（</w:t>
      </w:r>
      <w:r>
        <w:rPr>
          <w:rFonts w:hint="eastAsia"/>
          <w:lang w:val="en-US" w:eastAsia="zh-CN"/>
        </w:rPr>
        <w:t>一</w:t>
      </w:r>
      <w:r>
        <w:rPr>
          <w:rFonts w:hint="eastAsia"/>
          <w:lang w:eastAsia="zh-CN"/>
        </w:rPr>
        <w:t>）</w:t>
      </w:r>
      <w:r>
        <w:rPr>
          <w:rFonts w:hint="eastAsia"/>
          <w:lang w:val="en-US" w:eastAsia="zh-CN"/>
        </w:rPr>
        <w:t>全省法院</w:t>
      </w:r>
      <w:r>
        <w:rPr>
          <w:rFonts w:hint="eastAsia"/>
        </w:rPr>
        <w:t>业务费</w:t>
      </w:r>
      <w:bookmarkEnd w:id="60"/>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宋体" w:hAnsi="宋体" w:cs="宋体"/>
          <w:b/>
          <w:bCs/>
          <w:kern w:val="0"/>
          <w:sz w:val="24"/>
          <w:highlight w:val="none"/>
          <w:lang w:eastAsia="zh-CN"/>
        </w:rPr>
      </w:pPr>
      <w:bookmarkStart w:id="61" w:name="_Toc22570"/>
      <w:bookmarkStart w:id="62" w:name="_Toc1889"/>
      <w:bookmarkStart w:id="63" w:name="_Toc40046064"/>
      <w:bookmarkStart w:id="64" w:name="_Toc18806"/>
      <w:bookmarkStart w:id="65" w:name="_Toc3777"/>
      <w:bookmarkStart w:id="66" w:name="_Toc40046065"/>
      <w:bookmarkStart w:id="67" w:name="_Toc7144"/>
      <w:r>
        <w:rPr>
          <w:rFonts w:hint="eastAsia"/>
        </w:rPr>
        <w:t>本次绩效自评综合评定</w:t>
      </w:r>
      <w:r>
        <w:rPr>
          <w:rFonts w:hint="eastAsia"/>
          <w:lang w:eastAsia="zh-CN"/>
        </w:rPr>
        <w:t>2023年</w:t>
      </w:r>
      <w:r>
        <w:rPr>
          <w:rFonts w:hint="eastAsia"/>
        </w:rPr>
        <w:t>业务费项目支出绩效得分为</w:t>
      </w:r>
      <w:r>
        <w:rPr>
          <w:rFonts w:hint="eastAsia"/>
          <w:lang w:val="en-US" w:eastAsia="zh-CN"/>
        </w:rPr>
        <w:t>100.00</w:t>
      </w:r>
      <w:r>
        <w:rPr>
          <w:rFonts w:hint="eastAsia"/>
        </w:rPr>
        <w:t>分，绩效等级为“</w:t>
      </w:r>
      <w:r>
        <w:rPr>
          <w:rFonts w:hint="eastAsia"/>
          <w:lang w:val="en-US" w:eastAsia="zh-CN"/>
        </w:rPr>
        <w:t>优</w:t>
      </w:r>
      <w:r>
        <w:rPr>
          <w:rFonts w:hint="eastAsia"/>
        </w:rPr>
        <w:t>”。项目支出绩效评价包括</w:t>
      </w:r>
      <w:r>
        <w:rPr>
          <w:rFonts w:hint="eastAsia" w:cs="仿宋_GB2312"/>
        </w:rPr>
        <w:t>项目</w:t>
      </w:r>
      <w:r>
        <w:rPr>
          <w:rFonts w:hint="eastAsia" w:cs="仿宋_GB2312"/>
          <w:lang w:val="en-US" w:eastAsia="zh-CN"/>
        </w:rPr>
        <w:t>成本</w:t>
      </w:r>
      <w:r>
        <w:rPr>
          <w:rFonts w:hint="eastAsia" w:cs="仿宋_GB2312"/>
        </w:rPr>
        <w:t>、</w:t>
      </w:r>
      <w:r>
        <w:rPr>
          <w:rFonts w:hint="eastAsia"/>
        </w:rPr>
        <w:t>产出、效益、满意度四个一级指标，下设</w:t>
      </w:r>
      <w:r>
        <w:rPr>
          <w:rFonts w:hint="eastAsia"/>
          <w:lang w:val="en-US" w:eastAsia="zh-CN"/>
        </w:rPr>
        <w:t>8</w:t>
      </w:r>
      <w:r>
        <w:rPr>
          <w:rFonts w:hint="eastAsia"/>
        </w:rPr>
        <w:t>个二级指标和</w:t>
      </w:r>
      <w:r>
        <w:rPr>
          <w:rFonts w:hint="eastAsia"/>
          <w:lang w:val="en-US" w:eastAsia="zh-CN"/>
        </w:rPr>
        <w:t>19</w:t>
      </w:r>
      <w:r>
        <w:rPr>
          <w:rFonts w:hint="eastAsia"/>
        </w:rPr>
        <w:t>个三级指标。一级指标得分情况详见下表：</w:t>
      </w:r>
    </w:p>
    <w:p>
      <w:pPr>
        <w:jc w:val="center"/>
        <w:rPr>
          <w:rFonts w:ascii="宋体" w:hAnsi="宋体"/>
          <w:highlight w:val="none"/>
        </w:rPr>
      </w:pPr>
      <w:r>
        <w:rPr>
          <w:rFonts w:hint="eastAsia" w:ascii="宋体" w:hAnsi="宋体" w:cs="宋体"/>
          <w:b/>
          <w:bCs/>
          <w:kern w:val="0"/>
          <w:sz w:val="24"/>
          <w:highlight w:val="none"/>
          <w:lang w:eastAsia="zh-CN"/>
        </w:rPr>
        <w:t>2023年度项目</w:t>
      </w:r>
      <w:r>
        <w:rPr>
          <w:rFonts w:hint="eastAsia" w:ascii="宋体" w:hAnsi="宋体" w:cs="宋体"/>
          <w:b/>
          <w:bCs/>
          <w:kern w:val="0"/>
          <w:sz w:val="24"/>
          <w:highlight w:val="none"/>
        </w:rPr>
        <w:t>支出绩效评价指标得分情况</w:t>
      </w:r>
    </w:p>
    <w:tbl>
      <w:tblPr>
        <w:tblStyle w:val="24"/>
        <w:tblW w:w="9039" w:type="dxa"/>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3533"/>
        <w:gridCol w:w="1678"/>
        <w:gridCol w:w="1560"/>
        <w:gridCol w:w="2268"/>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分值</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自评得分</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预算执行率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成本</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产出指标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40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40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效益指标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20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ascii="宋体" w:hAnsi="宋体" w:eastAsia="宋体" w:cs="宋体"/>
                <w:color w:val="000000"/>
                <w:kern w:val="0"/>
                <w:sz w:val="22"/>
                <w:szCs w:val="22"/>
                <w:highlight w:val="none"/>
              </w:rPr>
            </w:pPr>
            <w:r>
              <w:rPr>
                <w:rFonts w:hint="eastAsia" w:ascii="宋体" w:hAnsi="宋体" w:eastAsia="宋体" w:cs="宋体"/>
                <w:i w:val="0"/>
                <w:iCs w:val="0"/>
                <w:color w:val="000000"/>
                <w:kern w:val="0"/>
                <w:sz w:val="22"/>
                <w:szCs w:val="22"/>
                <w:u w:val="none"/>
                <w:lang w:val="en-US" w:eastAsia="zh-CN" w:bidi="ar"/>
              </w:rPr>
              <w:t>满意度指标</w:t>
            </w:r>
          </w:p>
        </w:tc>
        <w:tc>
          <w:tcPr>
            <w:tcW w:w="167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kern w:val="0"/>
                <w:sz w:val="22"/>
                <w:szCs w:val="22"/>
                <w:highlight w:val="none"/>
              </w:rPr>
            </w:pPr>
            <w:r>
              <w:rPr>
                <w:rFonts w:hint="eastAsia" w:ascii="宋体" w:hAnsi="宋体" w:eastAsia="宋体" w:cs="宋体"/>
                <w:i w:val="0"/>
                <w:iCs w:val="0"/>
                <w:color w:val="000000"/>
                <w:kern w:val="0"/>
                <w:sz w:val="22"/>
                <w:szCs w:val="22"/>
                <w:u w:val="none"/>
                <w:lang w:val="en-US" w:eastAsia="zh-CN" w:bidi="ar"/>
              </w:rPr>
              <w:t>10</w:t>
            </w:r>
          </w:p>
        </w:tc>
        <w:tc>
          <w:tcPr>
            <w:tcW w:w="1560"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i w:val="0"/>
                <w:iCs w:val="0"/>
                <w:color w:val="000000"/>
                <w:kern w:val="0"/>
                <w:sz w:val="22"/>
                <w:szCs w:val="22"/>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trHeight w:val="397" w:hRule="atLeast"/>
        </w:trPr>
        <w:tc>
          <w:tcPr>
            <w:tcW w:w="35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合计</w:t>
            </w:r>
          </w:p>
        </w:tc>
        <w:tc>
          <w:tcPr>
            <w:tcW w:w="167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ascii="宋体" w:hAnsi="宋体" w:eastAsia="宋体" w:cs="宋体"/>
                <w:b/>
                <w:color w:val="000000"/>
                <w:kern w:val="0"/>
                <w:sz w:val="22"/>
                <w:szCs w:val="22"/>
                <w:highlight w:val="none"/>
              </w:rPr>
            </w:pPr>
            <w:r>
              <w:rPr>
                <w:rFonts w:hint="eastAsia" w:ascii="宋体" w:hAnsi="宋体" w:eastAsia="宋体" w:cs="宋体"/>
                <w:b/>
                <w:bCs/>
                <w:i w:val="0"/>
                <w:iCs w:val="0"/>
                <w:color w:val="000000"/>
                <w:kern w:val="0"/>
                <w:sz w:val="22"/>
                <w:szCs w:val="22"/>
                <w:u w:val="none"/>
                <w:lang w:val="en-US" w:eastAsia="zh-CN" w:bidi="ar"/>
              </w:rPr>
              <w:t>100</w:t>
            </w:r>
          </w:p>
        </w:tc>
        <w:tc>
          <w:tcPr>
            <w:tcW w:w="156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w:t>
            </w:r>
          </w:p>
        </w:tc>
        <w:tc>
          <w:tcPr>
            <w:tcW w:w="226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rPr>
            </w:pPr>
            <w:r>
              <w:rPr>
                <w:rFonts w:hint="eastAsia" w:ascii="宋体" w:hAnsi="宋体" w:eastAsia="宋体" w:cs="宋体"/>
                <w:b/>
                <w:bCs/>
                <w:i w:val="0"/>
                <w:iCs w:val="0"/>
                <w:color w:val="000000"/>
                <w:kern w:val="0"/>
                <w:sz w:val="22"/>
                <w:szCs w:val="22"/>
                <w:u w:val="none"/>
                <w:lang w:val="en-US" w:eastAsia="zh-CN" w:bidi="ar"/>
              </w:rPr>
              <w:t>100.00%</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pPr>
      <w:r>
        <w:rPr>
          <w:rFonts w:hint="eastAsia"/>
          <w:lang w:val="en-US" w:eastAsia="zh-CN"/>
        </w:rPr>
        <w:t>1.</w:t>
      </w:r>
      <w:r>
        <w:rPr>
          <w:rFonts w:hint="eastAsia"/>
        </w:rPr>
        <w:t>项目支出预算总体情况</w:t>
      </w:r>
    </w:p>
    <w:p>
      <w:pPr>
        <w:keepNext w:val="0"/>
        <w:keepLines w:val="0"/>
        <w:pageBreakBefore w:val="0"/>
        <w:widowControl w:val="0"/>
        <w:kinsoku/>
        <w:wordWrap/>
        <w:overflowPunct/>
        <w:topLinePunct w:val="0"/>
        <w:autoSpaceDE/>
        <w:autoSpaceDN/>
        <w:bidi w:val="0"/>
        <w:adjustRightInd/>
        <w:snapToGrid/>
        <w:ind w:firstLine="560"/>
        <w:jc w:val="both"/>
        <w:textAlignment w:val="auto"/>
      </w:pPr>
      <w:r>
        <w:rPr>
          <w:rFonts w:hint="eastAsia"/>
        </w:rPr>
        <w:t>业务费</w:t>
      </w:r>
      <w:r>
        <w:rPr>
          <w:rFonts w:hint="eastAsia"/>
          <w:szCs w:val="28"/>
        </w:rPr>
        <w:t>项目年初预算数为</w:t>
      </w:r>
      <w:r>
        <w:rPr>
          <w:rFonts w:hint="eastAsia"/>
          <w:szCs w:val="28"/>
          <w:lang w:val="en-US" w:eastAsia="zh-CN"/>
        </w:rPr>
        <w:t>140</w:t>
      </w:r>
      <w:r>
        <w:rPr>
          <w:rFonts w:hint="eastAsia"/>
          <w:szCs w:val="28"/>
        </w:rPr>
        <w:t>万元，全年预算数为</w:t>
      </w:r>
      <w:r>
        <w:rPr>
          <w:rFonts w:hint="eastAsia"/>
          <w:szCs w:val="28"/>
          <w:lang w:val="en-US" w:eastAsia="zh-CN"/>
        </w:rPr>
        <w:t>155</w:t>
      </w:r>
      <w:r>
        <w:rPr>
          <w:rFonts w:hint="eastAsia"/>
          <w:szCs w:val="28"/>
        </w:rPr>
        <w:t>万元，全年执行数为</w:t>
      </w:r>
      <w:r>
        <w:rPr>
          <w:rFonts w:hint="eastAsia"/>
          <w:szCs w:val="28"/>
          <w:lang w:val="en-US" w:eastAsia="zh-CN"/>
        </w:rPr>
        <w:t>155</w:t>
      </w:r>
      <w:r>
        <w:rPr>
          <w:rFonts w:hint="eastAsia"/>
          <w:szCs w:val="28"/>
        </w:rPr>
        <w:t>万元，预算执行率</w:t>
      </w:r>
      <w:r>
        <w:rPr>
          <w:rFonts w:hint="eastAsia"/>
          <w:szCs w:val="28"/>
          <w:lang w:val="en-US" w:eastAsia="zh-CN"/>
        </w:rPr>
        <w:t>100.00</w:t>
      </w:r>
      <w:r>
        <w:rPr>
          <w:szCs w:val="28"/>
        </w:rPr>
        <w:t>%</w:t>
      </w:r>
      <w:r>
        <w:rPr>
          <w:rFonts w:hint="eastAsia"/>
          <w:szCs w:val="28"/>
        </w:rPr>
        <w:t>，满分10分，得分</w:t>
      </w:r>
      <w:r>
        <w:rPr>
          <w:rFonts w:hint="eastAsia"/>
          <w:szCs w:val="28"/>
          <w:lang w:val="en-US" w:eastAsia="zh-CN"/>
        </w:rPr>
        <w:t>10</w:t>
      </w:r>
      <w:r>
        <w:rPr>
          <w:rFonts w:hint="eastAsia"/>
          <w:szCs w:val="28"/>
        </w:rPr>
        <w:t>分</w:t>
      </w:r>
      <w:r>
        <w:rPr>
          <w:rFonts w:hint="eastAsia"/>
          <w:szCs w:val="28"/>
          <w:lang w:eastAsia="zh-CN"/>
        </w:rPr>
        <w:t>，</w:t>
      </w:r>
      <w:r>
        <w:rPr>
          <w:rFonts w:hint="eastAsia"/>
          <w:szCs w:val="28"/>
          <w:lang w:val="en-US" w:eastAsia="zh-CN"/>
        </w:rPr>
        <w:t>得分率100.00</w:t>
      </w:r>
      <w:r>
        <w:rPr>
          <w:szCs w:val="28"/>
        </w:rPr>
        <w:t>%</w:t>
      </w:r>
      <w:r>
        <w:rPr>
          <w:rFonts w:hint="eastAsia"/>
          <w:szCs w:val="28"/>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2.总体绩效目标完成情况分析</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0" w:firstLineChars="200"/>
        <w:jc w:val="both"/>
        <w:textAlignment w:val="auto"/>
        <w:outlineLvl w:val="2"/>
        <w:rPr>
          <w:rFonts w:hint="eastAsia"/>
        </w:rPr>
      </w:pPr>
      <w:r>
        <w:rPr>
          <w:rFonts w:hint="eastAsia" w:ascii="仿宋_GB2312" w:hAnsi="仿宋_GB2312" w:eastAsia="仿宋_GB2312" w:cstheme="minorBidi"/>
          <w:b w:val="0"/>
          <w:bCs w:val="0"/>
          <w:kern w:val="2"/>
          <w:sz w:val="28"/>
          <w:szCs w:val="22"/>
          <w:lang w:val="en-US" w:eastAsia="zh-CN" w:bidi="ar-SA"/>
        </w:rPr>
        <w:t>通过2023年度业务费的投入，保障</w:t>
      </w:r>
      <w:r>
        <w:rPr>
          <w:rFonts w:hint="eastAsia" w:cstheme="minorBidi"/>
          <w:b w:val="0"/>
          <w:bCs w:val="0"/>
          <w:kern w:val="2"/>
          <w:sz w:val="28"/>
          <w:szCs w:val="22"/>
          <w:lang w:val="en-US" w:eastAsia="zh-CN" w:bidi="ar-SA"/>
        </w:rPr>
        <w:t>我院</w:t>
      </w:r>
      <w:r>
        <w:rPr>
          <w:rFonts w:hint="eastAsia" w:ascii="仿宋_GB2312" w:hAnsi="仿宋_GB2312" w:eastAsia="仿宋_GB2312" w:cstheme="minorBidi"/>
          <w:b w:val="0"/>
          <w:bCs w:val="0"/>
          <w:kern w:val="2"/>
          <w:sz w:val="28"/>
          <w:szCs w:val="22"/>
          <w:lang w:val="en-US" w:eastAsia="zh-CN" w:bidi="ar-SA"/>
        </w:rPr>
        <w:t>正常审判执行工作顺利开展，提高办案效率，从而推动本院各项工作顺利开展。</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3.各项指标完成情况分析</w:t>
      </w:r>
    </w:p>
    <w:p>
      <w:pPr>
        <w:pStyle w:val="5"/>
        <w:keepNext w:val="0"/>
        <w:keepLines w:val="0"/>
        <w:pageBreakBefore w:val="0"/>
        <w:widowControl w:val="0"/>
        <w:numPr>
          <w:ilvl w:val="0"/>
          <w:numId w:val="0"/>
        </w:numPr>
        <w:kinsoku/>
        <w:wordWrap/>
        <w:overflowPunct/>
        <w:topLinePunct w:val="0"/>
        <w:autoSpaceDE/>
        <w:autoSpaceDN/>
        <w:bidi w:val="0"/>
        <w:adjustRightInd/>
        <w:snapToGrid/>
        <w:spacing w:before="0" w:after="0" w:line="360" w:lineRule="auto"/>
        <w:ind w:leftChars="0" w:firstLine="562" w:firstLineChars="20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1</w:t>
      </w:r>
      <w:r>
        <w:rPr>
          <w:rFonts w:hint="eastAsia" w:ascii="仿宋_GB2312" w:hAnsi="仿宋_GB2312" w:eastAsia="仿宋_GB2312" w:cs="仿宋_GB2312"/>
          <w:szCs w:val="28"/>
          <w:lang w:eastAsia="zh-CN"/>
        </w:rPr>
        <w:t>）</w:t>
      </w:r>
      <w:r>
        <w:rPr>
          <w:rFonts w:hint="eastAsia" w:ascii="仿宋_GB2312" w:hAnsi="仿宋_GB2312" w:eastAsia="仿宋_GB2312" w:cs="仿宋_GB2312"/>
          <w:szCs w:val="28"/>
          <w:lang w:val="en-US" w:eastAsia="zh-CN"/>
        </w:rPr>
        <w:t>成本</w:t>
      </w:r>
      <w:r>
        <w:rPr>
          <w:rFonts w:hint="eastAsia" w:ascii="仿宋_GB2312" w:hAnsi="仿宋_GB2312" w:eastAsia="仿宋_GB2312" w:cs="仿宋_GB2312"/>
          <w:szCs w:val="28"/>
          <w:lang w:eastAsia="zh-CN"/>
        </w:rPr>
        <w:t>指标</w:t>
      </w:r>
    </w:p>
    <w:p>
      <w:pPr>
        <w:keepNext/>
        <w:keepLines w:val="0"/>
        <w:pageBreakBefore w:val="0"/>
        <w:widowControl w:val="0"/>
        <w:kinsoku/>
        <w:wordWrap/>
        <w:overflowPunct/>
        <w:topLinePunct w:val="0"/>
        <w:autoSpaceDE/>
        <w:autoSpaceDN/>
        <w:bidi w:val="0"/>
        <w:adjustRightInd/>
        <w:snapToGrid/>
        <w:ind w:firstLine="560"/>
        <w:jc w:val="left"/>
        <w:textAlignment w:val="auto"/>
        <w:rPr>
          <w:rFonts w:hint="eastAsia" w:cs="仿宋_GB2312"/>
          <w:szCs w:val="28"/>
        </w:rPr>
      </w:pPr>
      <w:r>
        <w:rPr>
          <w:rFonts w:hint="eastAsia" w:cs="仿宋_GB2312"/>
          <w:szCs w:val="28"/>
          <w:lang w:val="en-US" w:eastAsia="zh-CN"/>
        </w:rPr>
        <w:t>成本</w:t>
      </w:r>
      <w:r>
        <w:rPr>
          <w:rFonts w:hint="eastAsia" w:cs="仿宋_GB2312"/>
          <w:szCs w:val="28"/>
        </w:rPr>
        <w:t>指标下设经济成本指标</w:t>
      </w:r>
      <w:r>
        <w:rPr>
          <w:rFonts w:hint="eastAsia" w:cs="仿宋_GB2312"/>
          <w:szCs w:val="28"/>
          <w:lang w:val="en-US" w:eastAsia="zh-CN"/>
        </w:rPr>
        <w:t>1</w:t>
      </w:r>
      <w:r>
        <w:rPr>
          <w:rFonts w:hint="eastAsia" w:cs="仿宋_GB2312"/>
          <w:szCs w:val="28"/>
        </w:rPr>
        <w:t>个二级指标。总分值</w:t>
      </w:r>
      <w:r>
        <w:rPr>
          <w:rFonts w:hint="eastAsia" w:cs="仿宋_GB2312"/>
          <w:szCs w:val="28"/>
          <w:lang w:val="en-US" w:eastAsia="zh-CN"/>
        </w:rPr>
        <w:t>20</w:t>
      </w:r>
      <w:r>
        <w:rPr>
          <w:rFonts w:hint="eastAsia" w:cs="仿宋_GB2312"/>
          <w:szCs w:val="28"/>
        </w:rPr>
        <w:t>分，得分</w:t>
      </w:r>
      <w:r>
        <w:rPr>
          <w:rFonts w:hint="eastAsia" w:cs="仿宋_GB2312"/>
          <w:szCs w:val="28"/>
          <w:lang w:val="en-US" w:eastAsia="zh-CN"/>
        </w:rPr>
        <w:t>20</w:t>
      </w:r>
      <w:r>
        <w:rPr>
          <w:rFonts w:hint="eastAsia" w:cs="仿宋_GB2312"/>
          <w:szCs w:val="28"/>
        </w:rPr>
        <w:t>分，得分率</w:t>
      </w:r>
      <w:r>
        <w:rPr>
          <w:rFonts w:hint="eastAsia" w:cs="仿宋_GB2312"/>
          <w:szCs w:val="28"/>
          <w:lang w:val="en-US" w:eastAsia="zh-CN"/>
        </w:rPr>
        <w:t>100</w:t>
      </w:r>
      <w:r>
        <w:rPr>
          <w:rFonts w:cs="仿宋_GB2312"/>
          <w:szCs w:val="28"/>
        </w:rPr>
        <w:t>%</w:t>
      </w:r>
      <w:r>
        <w:rPr>
          <w:rFonts w:hint="eastAsia" w:cs="仿宋_GB2312"/>
          <w:szCs w:val="28"/>
        </w:rPr>
        <w:t>。</w:t>
      </w:r>
    </w:p>
    <w:tbl>
      <w:tblPr>
        <w:tblStyle w:val="24"/>
        <w:tblW w:w="906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848"/>
        <w:gridCol w:w="2062"/>
        <w:gridCol w:w="975"/>
        <w:gridCol w:w="1150"/>
        <w:gridCol w:w="800"/>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二级指标</w:t>
            </w:r>
          </w:p>
        </w:tc>
        <w:tc>
          <w:tcPr>
            <w:tcW w:w="206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三级指标</w:t>
            </w:r>
          </w:p>
        </w:tc>
        <w:tc>
          <w:tcPr>
            <w:tcW w:w="9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年度指标值</w:t>
            </w:r>
          </w:p>
        </w:tc>
        <w:tc>
          <w:tcPr>
            <w:tcW w:w="11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仿宋_GB2312" w:hAnsi="宋体" w:eastAsia="仿宋_GB2312" w:cs="仿宋_GB2312"/>
                <w:b/>
                <w:bCs/>
                <w:i w:val="0"/>
                <w:iCs w:val="0"/>
                <w:color w:val="000000"/>
                <w:kern w:val="0"/>
                <w:sz w:val="24"/>
                <w:szCs w:val="24"/>
                <w:u w:val="none"/>
                <w:lang w:val="en-US" w:eastAsia="zh-CN" w:bidi="ar"/>
              </w:rPr>
            </w:pPr>
            <w:r>
              <w:rPr>
                <w:rFonts w:hint="eastAsia" w:hAnsi="宋体" w:cs="仿宋_GB2312"/>
                <w:b/>
                <w:bCs/>
                <w:i w:val="0"/>
                <w:iCs w:val="0"/>
                <w:color w:val="000000"/>
                <w:kern w:val="0"/>
                <w:sz w:val="24"/>
                <w:szCs w:val="24"/>
                <w:u w:val="none"/>
                <w:lang w:val="en-US" w:eastAsia="zh-CN" w:bidi="ar"/>
              </w:rPr>
              <w:t>实际完成值</w:t>
            </w:r>
          </w:p>
        </w:tc>
        <w:tc>
          <w:tcPr>
            <w:tcW w:w="800"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ascii="宋体" w:hAnsi="宋体" w:cs="宋体"/>
                <w:b/>
                <w:color w:val="000000"/>
                <w:kern w:val="0"/>
                <w:sz w:val="24"/>
                <w:highlight w:val="none"/>
              </w:rPr>
            </w:pPr>
            <w:r>
              <w:rPr>
                <w:rFonts w:hint="eastAsia" w:ascii="仿宋_GB2312" w:hAnsi="宋体" w:eastAsia="仿宋_GB2312" w:cs="仿宋_GB2312"/>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84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经济成本指标</w:t>
            </w:r>
          </w:p>
        </w:tc>
        <w:tc>
          <w:tcPr>
            <w:tcW w:w="206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成本控制情况</w:t>
            </w:r>
          </w:p>
        </w:tc>
        <w:tc>
          <w:tcPr>
            <w:tcW w:w="97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定额标准内</w:t>
            </w:r>
          </w:p>
        </w:tc>
        <w:tc>
          <w:tcPr>
            <w:tcW w:w="11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188" w:type="dxa"/>
            <w:vAlign w:val="center"/>
          </w:tcPr>
          <w:p>
            <w:pPr>
              <w:keepNext w:val="0"/>
              <w:keepLines w:val="0"/>
              <w:widowControl/>
              <w:suppressLineNumbers w:val="0"/>
              <w:ind w:left="0" w:leftChars="0" w:firstLine="0" w:firstLineChars="0"/>
              <w:jc w:val="left"/>
              <w:textAlignment w:val="center"/>
              <w:rPr>
                <w:rFonts w:hint="default"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848" w:type="dxa"/>
            <w:shd w:val="clear" w:color="auto" w:fill="BDD6EE"/>
            <w:vAlign w:val="center"/>
          </w:tcPr>
          <w:p>
            <w:pPr>
              <w:keepNext w:val="0"/>
              <w:keepLines w:val="0"/>
              <w:widowControl/>
              <w:suppressLineNumbers w:val="0"/>
              <w:ind w:firstLine="442" w:firstLineChars="200"/>
              <w:jc w:val="center"/>
              <w:textAlignment w:val="center"/>
              <w:rPr>
                <w:rFonts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2"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9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1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cstheme="minorBidi"/>
          <w:b/>
          <w:bCs/>
          <w:color w:val="000000" w:themeColor="text1"/>
          <w:kern w:val="2"/>
          <w:sz w:val="28"/>
          <w:szCs w:val="28"/>
          <w:lang w:val="en-US" w:eastAsia="zh-CN" w:bidi="ar-SA"/>
          <w14:textFill>
            <w14:solidFill>
              <w14:schemeClr w14:val="tx1"/>
            </w14:solidFill>
          </w14:textFill>
        </w:rPr>
        <w:t>成本控制情况：</w:t>
      </w:r>
      <w:r>
        <w:rPr>
          <w:rFonts w:hint="eastAsia" w:hAnsi="宋体"/>
          <w:b w:val="0"/>
          <w:bCs w:val="0"/>
          <w:color w:val="000000" w:themeColor="text1"/>
          <w:szCs w:val="28"/>
          <w:lang w:val="en-US" w:eastAsia="zh-CN"/>
          <w14:textFill>
            <w14:solidFill>
              <w14:schemeClr w14:val="tx1"/>
            </w14:solidFill>
          </w14:textFill>
        </w:rPr>
        <w:t>我院2023年全省法院业务费成本控制在预算范围内，达到年度指标值。该指标分值20分，自评得分为20分，得分率为100.00%。</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2" w:leftChars="0" w:firstLine="562" w:firstLineChars="0"/>
        <w:jc w:val="both"/>
        <w:textAlignment w:val="auto"/>
        <w:outlineLvl w:val="3"/>
        <w:rPr>
          <w:rFonts w:hint="eastAsia" w:ascii="仿宋_GB2312" w:hAnsi="仿宋_GB2312" w:eastAsia="仿宋_GB2312" w:cs="仿宋_GB2312"/>
          <w:szCs w:val="28"/>
          <w:lang w:eastAsia="zh-CN"/>
        </w:rPr>
      </w:pPr>
      <w:r>
        <w:rPr>
          <w:rFonts w:hint="eastAsia" w:ascii="仿宋_GB2312" w:hAnsi="仿宋_GB2312" w:eastAsia="仿宋_GB2312" w:cs="仿宋_GB2312"/>
          <w:szCs w:val="28"/>
          <w:lang w:val="en-US" w:eastAsia="zh-CN"/>
        </w:rPr>
        <w:t>产出</w:t>
      </w:r>
      <w:r>
        <w:rPr>
          <w:rFonts w:hint="eastAsia" w:ascii="仿宋_GB2312" w:hAnsi="仿宋_GB2312" w:eastAsia="仿宋_GB2312" w:cs="仿宋_GB2312"/>
          <w:szCs w:val="28"/>
          <w:lang w:eastAsia="zh-CN"/>
        </w:rPr>
        <w:t>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产出指标下设数量、质量、时效3个二级指标。总分值40分，得分40分，得分率40%。</w:t>
      </w:r>
    </w:p>
    <w:tbl>
      <w:tblPr>
        <w:tblStyle w:val="24"/>
        <w:tblW w:w="906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数量指标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结案率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99.56%</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3.37</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3.37</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维修维护项目数</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20项</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22项</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物业管理面积</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10270㎡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10270㎡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信息化运维服务完成率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质量指标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维修维护项目验收合格率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物业管理合格率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信息化运维服务验收合格率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一审服判息诉率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时效指标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办案经费支付及时率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法定审限内结案率</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维修修护及时性</w:t>
            </w:r>
          </w:p>
        </w:tc>
        <w:tc>
          <w:tcPr>
            <w:tcW w:w="142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信息化运维工作及时性</w:t>
            </w:r>
          </w:p>
        </w:tc>
        <w:tc>
          <w:tcPr>
            <w:tcW w:w="1428" w:type="dxa"/>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188" w:type="dxa"/>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3.33</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结案率：</w:t>
      </w:r>
      <w:r>
        <w:rPr>
          <w:rFonts w:hint="eastAsia" w:hAnsi="宋体"/>
          <w:b w:val="0"/>
          <w:bCs w:val="0"/>
          <w:szCs w:val="28"/>
          <w:lang w:val="en-US" w:eastAsia="zh-CN"/>
        </w:rPr>
        <w:t>我院2023年度立案数7016件，结案数6985件，结案率96.2%，达到年度指标值。该指标分值3.37分，自评得分为3.37分，得分率为100.00%。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bCs/>
          <w:szCs w:val="28"/>
          <w:lang w:val="en-US" w:eastAsia="zh-CN"/>
        </w:rPr>
      </w:pPr>
      <w:r>
        <w:rPr>
          <w:rFonts w:hint="eastAsia" w:hAnsi="宋体"/>
          <w:b/>
          <w:bCs/>
          <w:szCs w:val="28"/>
          <w:lang w:val="en-US" w:eastAsia="zh-CN"/>
        </w:rPr>
        <w:t>维修维护项目数：</w:t>
      </w:r>
      <w:r>
        <w:rPr>
          <w:rFonts w:hint="eastAsia" w:hAnsi="宋体"/>
          <w:b w:val="0"/>
          <w:bCs w:val="0"/>
          <w:szCs w:val="28"/>
          <w:lang w:val="en-US" w:eastAsia="zh-CN"/>
        </w:rPr>
        <w:t>我院2023年维修维护项目数2项，达到年度指标值。该指标分值3.33分，自评得分为3.33分，得分率为100.00%。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default" w:hAnsi="宋体"/>
          <w:b w:val="0"/>
          <w:bCs w:val="0"/>
          <w:szCs w:val="28"/>
          <w:lang w:val="en-US" w:eastAsia="zh-CN"/>
        </w:rPr>
      </w:pPr>
      <w:r>
        <w:rPr>
          <w:rFonts w:hint="eastAsia" w:hAnsi="宋体"/>
          <w:b/>
          <w:bCs/>
          <w:szCs w:val="28"/>
          <w:lang w:val="en-US" w:eastAsia="zh-CN"/>
        </w:rPr>
        <w:t>物业管理面积：</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物业管理面积10270㎡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信息化运维服务完成率：</w:t>
      </w:r>
      <w:r>
        <w:rPr>
          <w:rFonts w:hint="eastAsia" w:hAnsi="宋体"/>
          <w:b w:val="0"/>
          <w:bCs w:val="0"/>
          <w:szCs w:val="28"/>
          <w:lang w:val="en-US" w:eastAsia="zh-CN"/>
        </w:rPr>
        <w:t>我院信息化软件运行维护工作执行到位，积极保障法院信息化软件的运行维护工作，信息化软件运行维护工作完成率为100.00%，达到年度指标值。该指标分值3.33分，自评得分为3.33分，得分率100.00%。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color w:val="auto"/>
          <w:kern w:val="2"/>
          <w:sz w:val="28"/>
          <w:szCs w:val="28"/>
          <w:lang w:val="en-US" w:eastAsia="zh-CN" w:bidi="ar-SA"/>
        </w:rPr>
      </w:pPr>
      <w:r>
        <w:rPr>
          <w:rFonts w:hint="eastAsia" w:hAnsi="宋体"/>
          <w:b/>
          <w:bCs/>
          <w:szCs w:val="28"/>
          <w:lang w:val="en-US" w:eastAsia="zh-CN"/>
        </w:rPr>
        <w:t>维修维护项目验收合格率：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维修维护项目</w:t>
      </w:r>
      <w:r>
        <w:rPr>
          <w:rFonts w:hint="eastAsia" w:ascii="仿宋_GB2312" w:hAnsi="宋体" w:eastAsia="仿宋_GB2312" w:cstheme="minorBidi"/>
          <w:b w:val="0"/>
          <w:bCs w:val="0"/>
          <w:kern w:val="2"/>
          <w:sz w:val="28"/>
          <w:szCs w:val="28"/>
          <w:lang w:val="en-US" w:eastAsia="zh-CN" w:bidi="ar-SA"/>
        </w:rPr>
        <w:t>已全部通过验收，合格率为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hAnsi="宋体"/>
          <w:b/>
          <w:bCs/>
          <w:szCs w:val="28"/>
          <w:lang w:val="en-US" w:eastAsia="zh-CN"/>
        </w:rPr>
      </w:pPr>
      <w:r>
        <w:rPr>
          <w:rFonts w:hint="eastAsia" w:hAnsi="宋体"/>
          <w:b/>
          <w:bCs/>
          <w:szCs w:val="28"/>
          <w:lang w:val="en-US" w:eastAsia="zh-CN"/>
        </w:rPr>
        <w:t>物业管理合格率：</w:t>
      </w:r>
      <w:r>
        <w:rPr>
          <w:rFonts w:hint="eastAsia" w:ascii="仿宋_GB2312" w:hAnsi="宋体" w:eastAsia="仿宋_GB2312" w:cstheme="minorBidi"/>
          <w:b w:val="0"/>
          <w:bCs w:val="0"/>
          <w:kern w:val="2"/>
          <w:sz w:val="28"/>
          <w:szCs w:val="28"/>
          <w:lang w:val="en-US" w:eastAsia="zh-CN" w:bidi="ar-SA"/>
        </w:rPr>
        <w:t>本年度我院</w:t>
      </w:r>
      <w:r>
        <w:rPr>
          <w:rFonts w:hint="eastAsia" w:hAnsi="宋体" w:cstheme="minorBidi"/>
          <w:b w:val="0"/>
          <w:bCs w:val="0"/>
          <w:kern w:val="2"/>
          <w:sz w:val="28"/>
          <w:szCs w:val="28"/>
          <w:lang w:val="en-US" w:eastAsia="zh-CN" w:bidi="ar-SA"/>
        </w:rPr>
        <w:t>物业管理</w:t>
      </w:r>
      <w:r>
        <w:rPr>
          <w:rFonts w:hint="eastAsia" w:ascii="仿宋_GB2312" w:hAnsi="宋体" w:eastAsia="仿宋_GB2312" w:cstheme="minorBidi"/>
          <w:b w:val="0"/>
          <w:bCs w:val="0"/>
          <w:kern w:val="2"/>
          <w:sz w:val="28"/>
          <w:szCs w:val="28"/>
          <w:lang w:val="en-US" w:eastAsia="zh-CN" w:bidi="ar-SA"/>
        </w:rPr>
        <w:t>验收合格率为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，达到年度指标值。该指标分值</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b w:val="0"/>
          <w:bCs w:val="0"/>
          <w:szCs w:val="28"/>
          <w:lang w:val="en-US" w:eastAsia="zh-CN"/>
        </w:rPr>
        <w:t>3.33</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p>
    <w:p>
      <w:pPr>
        <w:rPr>
          <w:rFonts w:hint="eastAsia" w:hAnsi="宋体"/>
          <w:b w:val="0"/>
          <w:bCs w:val="0"/>
          <w:szCs w:val="28"/>
          <w:lang w:val="en-US" w:eastAsia="zh-CN"/>
        </w:rPr>
      </w:pPr>
      <w:r>
        <w:rPr>
          <w:rFonts w:hint="eastAsia" w:hAnsi="宋体"/>
          <w:b/>
          <w:bCs/>
          <w:szCs w:val="28"/>
          <w:lang w:val="en-US" w:eastAsia="zh-CN"/>
        </w:rPr>
        <w:t>信息化运维服务验收合格率：</w:t>
      </w:r>
      <w:r>
        <w:rPr>
          <w:rFonts w:hint="eastAsia" w:hAnsi="宋体"/>
          <w:b w:val="0"/>
          <w:bCs w:val="0"/>
          <w:szCs w:val="28"/>
          <w:lang w:val="en-US" w:eastAsia="zh-CN"/>
        </w:rPr>
        <w:t>我院本年度的信息化软件运行维护工作均达到办公质量要求，通过验收，验收合格率为100.00%，达到年度指标值。该指标分值</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分，得分率100.00%。</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val="0"/>
          <w:bCs w:val="0"/>
          <w:szCs w:val="28"/>
          <w:lang w:val="en-US" w:eastAsia="zh-CN"/>
        </w:rPr>
      </w:pPr>
      <w:r>
        <w:rPr>
          <w:rFonts w:hint="eastAsia" w:hAnsi="宋体"/>
          <w:b/>
          <w:bCs/>
          <w:szCs w:val="28"/>
          <w:lang w:val="en-US" w:eastAsia="zh-CN"/>
        </w:rPr>
        <w:t>一审服判息诉率：</w:t>
      </w:r>
      <w:r>
        <w:rPr>
          <w:rFonts w:hint="eastAsia" w:hAnsi="宋体"/>
          <w:b w:val="0"/>
          <w:bCs w:val="0"/>
          <w:szCs w:val="28"/>
          <w:lang w:val="en-US" w:eastAsia="zh-CN"/>
        </w:rPr>
        <w:t>我院2023年一审服判息诉率96.65%。各项审判执行质效指标持续保持高位运行，达到年度指标值。该指标分值3.33分，自评得分为3.33分，得分率为100.00%。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ascii="仿宋_GB2312" w:hAnsi="仿宋_GB2312" w:eastAsia="仿宋_GB2312" w:cstheme="minorBidi"/>
          <w:b/>
          <w:bCs/>
          <w:kern w:val="2"/>
          <w:sz w:val="28"/>
          <w:szCs w:val="32"/>
          <w:lang w:val="en-US" w:eastAsia="zh-CN" w:bidi="ar-SA"/>
        </w:rPr>
        <w:t>办案经费支付及时率：</w:t>
      </w:r>
      <w:r>
        <w:rPr>
          <w:rFonts w:hint="eastAsia" w:ascii="仿宋_GB2312" w:hAnsi="仿宋_GB2312" w:eastAsia="仿宋_GB2312" w:cstheme="minorBidi"/>
          <w:b w:val="0"/>
          <w:bCs w:val="0"/>
          <w:kern w:val="2"/>
          <w:sz w:val="28"/>
          <w:szCs w:val="32"/>
          <w:lang w:val="en-US" w:eastAsia="zh-CN" w:bidi="ar-SA"/>
        </w:rPr>
        <w:t>我院受理案件</w:t>
      </w:r>
      <w:r>
        <w:rPr>
          <w:rFonts w:hint="eastAsia" w:cstheme="minorBidi"/>
          <w:b w:val="0"/>
          <w:bCs w:val="0"/>
          <w:kern w:val="2"/>
          <w:sz w:val="28"/>
          <w:szCs w:val="32"/>
          <w:lang w:val="en-US" w:eastAsia="zh-CN" w:bidi="ar-SA"/>
        </w:rPr>
        <w:t>时所需办案经费下达及时、支付及时，符合项目资金使用规则，</w:t>
      </w:r>
      <w:r>
        <w:rPr>
          <w:rFonts w:hint="eastAsia" w:hAnsi="宋体"/>
          <w:b w:val="0"/>
          <w:bCs w:val="0"/>
          <w:szCs w:val="28"/>
          <w:lang w:val="en-US" w:eastAsia="zh-CN"/>
        </w:rPr>
        <w:t>达到年度指标值。</w:t>
      </w:r>
      <w:r>
        <w:rPr>
          <w:rFonts w:hint="eastAsia" w:ascii="仿宋_GB2312" w:hAnsi="仿宋_GB2312" w:eastAsia="仿宋_GB2312" w:cstheme="minorBidi"/>
          <w:b w:val="0"/>
          <w:bCs w:val="0"/>
          <w:kern w:val="2"/>
          <w:sz w:val="28"/>
          <w:szCs w:val="32"/>
          <w:lang w:val="en-US" w:eastAsia="zh-CN" w:bidi="ar-SA"/>
        </w:rPr>
        <w:t>该指标分值</w:t>
      </w:r>
      <w:r>
        <w:rPr>
          <w:rFonts w:hint="eastAsia" w:hAnsi="宋体" w:cstheme="minorBidi"/>
          <w:b w:val="0"/>
          <w:bCs w:val="0"/>
          <w:color w:val="auto"/>
          <w:kern w:val="2"/>
          <w:sz w:val="28"/>
          <w:szCs w:val="28"/>
          <w:lang w:val="en-US" w:eastAsia="zh-CN" w:bidi="ar-SA"/>
        </w:rPr>
        <w:t>3.33</w:t>
      </w:r>
      <w:r>
        <w:rPr>
          <w:rFonts w:hint="eastAsia" w:ascii="仿宋_GB2312" w:hAnsi="仿宋_GB2312" w:eastAsia="仿宋_GB2312" w:cstheme="minorBidi"/>
          <w:b w:val="0"/>
          <w:bCs w:val="0"/>
          <w:kern w:val="2"/>
          <w:sz w:val="28"/>
          <w:szCs w:val="32"/>
          <w:lang w:val="en-US" w:eastAsia="zh-CN" w:bidi="ar-SA"/>
        </w:rPr>
        <w:t>分，自评得分为</w:t>
      </w:r>
      <w:r>
        <w:rPr>
          <w:rFonts w:hint="eastAsia" w:hAnsi="宋体" w:cstheme="minorBidi"/>
          <w:b w:val="0"/>
          <w:bCs w:val="0"/>
          <w:color w:val="auto"/>
          <w:kern w:val="2"/>
          <w:sz w:val="28"/>
          <w:szCs w:val="28"/>
          <w:lang w:val="en-US" w:eastAsia="zh-CN" w:bidi="ar-SA"/>
        </w:rPr>
        <w:t>3.33</w:t>
      </w:r>
      <w:r>
        <w:rPr>
          <w:rFonts w:hint="eastAsia" w:ascii="仿宋_GB2312" w:hAnsi="仿宋_GB2312" w:eastAsia="仿宋_GB2312" w:cstheme="minorBidi"/>
          <w:b w:val="0"/>
          <w:bCs w:val="0"/>
          <w:kern w:val="2"/>
          <w:sz w:val="28"/>
          <w:szCs w:val="32"/>
          <w:lang w:val="en-US" w:eastAsia="zh-CN" w:bidi="ar-SA"/>
        </w:rPr>
        <w:t>分，得分率为</w:t>
      </w:r>
      <w:r>
        <w:rPr>
          <w:rFonts w:hint="eastAsia" w:cstheme="minorBidi"/>
          <w:b w:val="0"/>
          <w:bCs w:val="0"/>
          <w:kern w:val="2"/>
          <w:sz w:val="28"/>
          <w:szCs w:val="32"/>
          <w:lang w:val="en-US" w:eastAsia="zh-CN" w:bidi="ar-SA"/>
        </w:rPr>
        <w:t>100.00%</w:t>
      </w:r>
      <w:r>
        <w:rPr>
          <w:rFonts w:hint="eastAsia" w:ascii="仿宋_GB2312" w:hAnsi="仿宋_GB2312" w:eastAsia="仿宋_GB2312" w:cstheme="minorBidi"/>
          <w:b w:val="0"/>
          <w:bCs w:val="0"/>
          <w:kern w:val="2"/>
          <w:sz w:val="28"/>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hAnsi="宋体"/>
          <w:b/>
          <w:bCs/>
          <w:color w:val="000000" w:themeColor="text1"/>
          <w:szCs w:val="28"/>
          <w:lang w:val="en-US" w:eastAsia="zh-CN"/>
          <w14:textFill>
            <w14:solidFill>
              <w14:schemeClr w14:val="tx1"/>
            </w14:solidFill>
          </w14:textFill>
        </w:rPr>
      </w:pPr>
      <w:r>
        <w:rPr>
          <w:rFonts w:hint="eastAsia" w:hAnsi="宋体"/>
          <w:b/>
          <w:bCs/>
          <w:szCs w:val="28"/>
          <w:lang w:val="en-US" w:eastAsia="zh-CN"/>
        </w:rPr>
        <w:t>法定审限内结案率：</w:t>
      </w:r>
      <w:r>
        <w:rPr>
          <w:rFonts w:hint="eastAsia" w:hAnsi="宋体"/>
          <w:b w:val="0"/>
          <w:bCs w:val="0"/>
          <w:szCs w:val="28"/>
          <w:lang w:val="en-US" w:eastAsia="zh-CN"/>
        </w:rPr>
        <w:t>我院2023年度法定审限内立案6985件，结案数6985件，结案率100.00%，达到年度指标值。该指标分值</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分，自评得分为</w:t>
      </w:r>
      <w:r>
        <w:rPr>
          <w:rFonts w:hint="eastAsia" w:hAnsi="宋体" w:cstheme="minorBidi"/>
          <w:b w:val="0"/>
          <w:bCs w:val="0"/>
          <w:color w:val="auto"/>
          <w:kern w:val="2"/>
          <w:sz w:val="28"/>
          <w:szCs w:val="28"/>
          <w:lang w:val="en-US" w:eastAsia="zh-CN" w:bidi="ar-SA"/>
        </w:rPr>
        <w:t>3.33</w:t>
      </w:r>
      <w:r>
        <w:rPr>
          <w:rFonts w:hint="eastAsia" w:hAnsi="宋体"/>
          <w:b w:val="0"/>
          <w:bCs w:val="0"/>
          <w:szCs w:val="28"/>
          <w:lang w:val="en-US" w:eastAsia="zh-CN"/>
        </w:rPr>
        <w:t>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维修修护及时性：</w:t>
      </w:r>
      <w:r>
        <w:rPr>
          <w:rFonts w:hint="eastAsia" w:hAnsi="宋体"/>
          <w:b w:val="0"/>
          <w:bCs w:val="0"/>
          <w:color w:val="000000" w:themeColor="text1"/>
          <w:szCs w:val="28"/>
          <w:lang w:val="en-US" w:eastAsia="zh-CN"/>
          <w14:textFill>
            <w14:solidFill>
              <w14:schemeClr w14:val="tx1"/>
            </w14:solidFill>
          </w14:textFill>
        </w:rPr>
        <w:t>我院维修维护工作开展及时，均在响应时间内进行维护工作，达到年度指标值。该指标分值3.33分，自评得分为3.33分，得分率为100.00%。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color w:val="000000" w:themeColor="text1"/>
          <w:szCs w:val="28"/>
          <w:lang w:val="en-US" w:eastAsia="zh-CN"/>
          <w14:textFill>
            <w14:solidFill>
              <w14:schemeClr w14:val="tx1"/>
            </w14:solidFill>
          </w14:textFill>
        </w:rPr>
      </w:pPr>
      <w:r>
        <w:rPr>
          <w:rFonts w:hint="eastAsia" w:hAnsi="宋体"/>
          <w:b/>
          <w:bCs/>
          <w:color w:val="000000" w:themeColor="text1"/>
          <w:szCs w:val="28"/>
          <w:lang w:val="en-US" w:eastAsia="zh-CN"/>
          <w14:textFill>
            <w14:solidFill>
              <w14:schemeClr w14:val="tx1"/>
            </w14:solidFill>
          </w14:textFill>
        </w:rPr>
        <w:t>信息化运维工作及时性：</w:t>
      </w:r>
      <w:r>
        <w:rPr>
          <w:rFonts w:hint="eastAsia" w:hAnsi="宋体"/>
          <w:b w:val="0"/>
          <w:bCs w:val="0"/>
          <w:color w:val="000000" w:themeColor="text1"/>
          <w:szCs w:val="28"/>
          <w:lang w:val="en-US" w:eastAsia="zh-CN"/>
          <w14:textFill>
            <w14:solidFill>
              <w14:schemeClr w14:val="tx1"/>
            </w14:solidFill>
          </w14:textFill>
        </w:rPr>
        <w:t>我院信息化运维工作开展及时，均在响应时间内进行维护工作，达到年度指标值。该指标分值3.33分，自评得分为3.33分，得分率为100.00%。</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2" w:leftChars="0" w:firstLine="562" w:firstLineChars="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效益指标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val="0"/>
          <w:bCs w:val="0"/>
          <w:szCs w:val="28"/>
          <w:lang w:val="en-US" w:eastAsia="zh-CN"/>
        </w:rPr>
        <w:t>产出指标下设经济效益、社会效益指标、生态效益指标3个二级指标。总分值20分，得分20分，得分率100.00%。</w:t>
      </w:r>
    </w:p>
    <w:tbl>
      <w:tblPr>
        <w:tblStyle w:val="24"/>
        <w:tblW w:w="906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经济效益指标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挽回经济损失效果</w:t>
            </w:r>
          </w:p>
        </w:tc>
        <w:tc>
          <w:tcPr>
            <w:tcW w:w="146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显著</w:t>
            </w:r>
          </w:p>
        </w:tc>
        <w:tc>
          <w:tcPr>
            <w:tcW w:w="1466"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维护社会稳定</w:t>
            </w:r>
          </w:p>
        </w:tc>
        <w:tc>
          <w:tcPr>
            <w:tcW w:w="146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良好</w:t>
            </w:r>
          </w:p>
        </w:tc>
        <w:tc>
          <w:tcPr>
            <w:tcW w:w="1466"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打击生态犯罪，维护生态秩序</w:t>
            </w:r>
          </w:p>
        </w:tc>
        <w:tc>
          <w:tcPr>
            <w:tcW w:w="146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有效维护</w:t>
            </w:r>
          </w:p>
        </w:tc>
        <w:tc>
          <w:tcPr>
            <w:tcW w:w="1466"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pStyle w:val="46"/>
        <w:keepNext w:val="0"/>
        <w:keepLines w:val="0"/>
        <w:pageBreakBefore w:val="0"/>
        <w:widowControl w:val="0"/>
        <w:kinsoku/>
        <w:wordWrap/>
        <w:overflowPunct/>
        <w:topLinePunct w:val="0"/>
        <w:autoSpaceDE/>
        <w:autoSpaceDN/>
        <w:bidi w:val="0"/>
        <w:adjustRightInd/>
        <w:snapToGrid/>
        <w:ind w:firstLine="562"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bCs/>
          <w:kern w:val="2"/>
          <w:sz w:val="28"/>
          <w:szCs w:val="28"/>
          <w:lang w:val="en-US" w:eastAsia="zh-CN" w:bidi="ar-SA"/>
        </w:rPr>
        <w:t>挽回经济损失效果：</w:t>
      </w:r>
      <w:r>
        <w:rPr>
          <w:rFonts w:hint="eastAsia" w:ascii="仿宋_GB2312" w:hAnsi="宋体" w:eastAsia="仿宋_GB2312" w:cstheme="minorBidi"/>
          <w:b w:val="0"/>
          <w:bCs w:val="0"/>
          <w:kern w:val="2"/>
          <w:sz w:val="28"/>
          <w:szCs w:val="28"/>
          <w:lang w:val="en-US" w:eastAsia="zh-CN" w:bidi="ar-SA"/>
        </w:rPr>
        <w:t>我院积极采用多角度，多元化解决纠纷机制，加大财产保全力度，最大限度的维护当事人的合法权益，挽回经济损失效果明显。该指标分值</w:t>
      </w:r>
      <w:r>
        <w:rPr>
          <w:rFonts w:hint="eastAsia" w:hAnsi="宋体" w:cstheme="minorBidi"/>
          <w:b w:val="0"/>
          <w:bCs w:val="0"/>
          <w:kern w:val="2"/>
          <w:sz w:val="28"/>
          <w:szCs w:val="28"/>
          <w:lang w:val="en-US" w:eastAsia="zh-CN" w:bidi="ar-SA"/>
        </w:rPr>
        <w:t>5</w:t>
      </w:r>
      <w:r>
        <w:rPr>
          <w:rFonts w:hint="eastAsia" w:ascii="仿宋_GB2312" w:hAnsi="宋体" w:eastAsia="仿宋_GB2312" w:cstheme="minorBidi"/>
          <w:b w:val="0"/>
          <w:bCs w:val="0"/>
          <w:kern w:val="2"/>
          <w:sz w:val="28"/>
          <w:szCs w:val="28"/>
          <w:lang w:val="en-US" w:eastAsia="zh-CN" w:bidi="ar-SA"/>
        </w:rPr>
        <w:t>分，自评得分为</w:t>
      </w:r>
      <w:r>
        <w:rPr>
          <w:rFonts w:hint="eastAsia" w:hAnsi="宋体" w:cstheme="minorBidi"/>
          <w:b w:val="0"/>
          <w:bCs w:val="0"/>
          <w:kern w:val="2"/>
          <w:sz w:val="28"/>
          <w:szCs w:val="28"/>
          <w:lang w:val="en-US" w:eastAsia="zh-CN" w:bidi="ar-SA"/>
        </w:rPr>
        <w:t>5</w:t>
      </w:r>
      <w:r>
        <w:rPr>
          <w:rFonts w:hint="eastAsia" w:ascii="仿宋_GB2312" w:hAnsi="宋体" w:eastAsia="仿宋_GB2312" w:cstheme="minorBidi"/>
          <w:b w:val="0"/>
          <w:bCs w:val="0"/>
          <w:kern w:val="2"/>
          <w:sz w:val="28"/>
          <w:szCs w:val="28"/>
          <w:lang w:val="en-US" w:eastAsia="zh-CN" w:bidi="ar-SA"/>
        </w:rPr>
        <w:t>分，得分率为</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维护社会稳定：</w:t>
      </w:r>
      <w:r>
        <w:rPr>
          <w:rFonts w:hint="eastAsia" w:hAnsi="宋体"/>
          <w:b w:val="0"/>
          <w:bCs w:val="0"/>
          <w:szCs w:val="28"/>
          <w:lang w:val="en-US" w:eastAsia="zh-CN"/>
        </w:rPr>
        <w:t>我院积极优化审判资源，狠抓执法办案第一要务，妥善化解纠纷，贯彻“调解优先、调判结合”的民事审判方针，加大涉弱势群体保护力度，切实维护稳定有序的社会环境，达到年度指标值。该指标分值5分，自评得分为5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我院积极开展法院审判工作，有效保障审判服务，达到年度指标值。该指标分值5分，自评得分为5分，得分率为100.00%。</w:t>
      </w:r>
    </w:p>
    <w:p>
      <w:pPr>
        <w:pStyle w:val="10"/>
        <w:rPr>
          <w:rFonts w:hint="eastAsia" w:hAnsi="宋体"/>
          <w:b/>
          <w:bCs/>
          <w:szCs w:val="28"/>
        </w:rPr>
      </w:pPr>
      <w:r>
        <w:rPr>
          <w:rFonts w:hint="eastAsia"/>
          <w:b/>
          <w:bCs/>
          <w:color w:val="000000" w:themeColor="text1"/>
          <w:sz w:val="28"/>
          <w:szCs w:val="28"/>
          <w:lang w:val="en-US" w:eastAsia="zh-CN"/>
          <w14:textFill>
            <w14:solidFill>
              <w14:schemeClr w14:val="tx1"/>
            </w14:solidFill>
          </w14:textFill>
        </w:rPr>
        <w:t>打击生态犯罪，维护生态秩序：</w:t>
      </w:r>
      <w:r>
        <w:rPr>
          <w:rFonts w:hint="eastAsia"/>
          <w:color w:val="000000" w:themeColor="text1"/>
          <w:sz w:val="28"/>
          <w:szCs w:val="28"/>
          <w:lang w:val="en-US" w:eastAsia="zh-CN"/>
          <w14:textFill>
            <w14:solidFill>
              <w14:schemeClr w14:val="tx1"/>
            </w14:solidFill>
          </w14:textFill>
        </w:rPr>
        <w:t>我院加强法制宣传防止犯罪力度、打击生态犯罪，维护生态秩序，让人民时时刻刻都感受到法制氛围的力量，尽可能帮助人民在了解法的情况下减少犯罪活动，遏制犯罪动机，维护生态秩序，达到年度指标值。该指标分值5分，自评得分为5分，得分率为100.00%。</w:t>
      </w:r>
    </w:p>
    <w:p>
      <w:pPr>
        <w:pStyle w:val="5"/>
        <w:keepNext w:val="0"/>
        <w:keepLines w:val="0"/>
        <w:pageBreakBefore w:val="0"/>
        <w:widowControl w:val="0"/>
        <w:numPr>
          <w:ilvl w:val="0"/>
          <w:numId w:val="1"/>
        </w:numPr>
        <w:kinsoku/>
        <w:wordWrap/>
        <w:overflowPunct/>
        <w:topLinePunct w:val="0"/>
        <w:autoSpaceDE/>
        <w:autoSpaceDN/>
        <w:bidi w:val="0"/>
        <w:adjustRightInd/>
        <w:snapToGrid/>
        <w:spacing w:before="0" w:after="0" w:line="360" w:lineRule="auto"/>
        <w:ind w:left="-2" w:leftChars="0" w:firstLine="562" w:firstLineChars="0"/>
        <w:jc w:val="both"/>
        <w:textAlignment w:val="auto"/>
        <w:outlineLvl w:val="3"/>
        <w:rPr>
          <w:rFonts w:hint="eastAsia" w:ascii="仿宋_GB2312" w:hAnsi="仿宋_GB2312" w:eastAsia="仿宋_GB2312" w:cs="仿宋_GB2312"/>
          <w:szCs w:val="28"/>
          <w:lang w:val="en-US" w:eastAsia="zh-CN"/>
        </w:rPr>
      </w:pPr>
      <w:r>
        <w:rPr>
          <w:rFonts w:hint="eastAsia" w:ascii="仿宋_GB2312" w:hAnsi="仿宋_GB2312" w:eastAsia="仿宋_GB2312" w:cs="仿宋_GB2312"/>
          <w:szCs w:val="28"/>
          <w:lang w:val="en-US" w:eastAsia="zh-CN"/>
        </w:rPr>
        <w:t>服务对象满意度</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服务对象满意度指标指标根据我院向社会提供公共产品和服务的主要对象，服务对象满意度主要考察</w:t>
      </w:r>
      <w:r>
        <w:rPr>
          <w:rFonts w:hint="eastAsia" w:hAnsi="宋体" w:cstheme="minorBidi"/>
          <w:b w:val="0"/>
          <w:bCs w:val="0"/>
          <w:kern w:val="2"/>
          <w:sz w:val="28"/>
          <w:szCs w:val="28"/>
          <w:lang w:val="en-US" w:eastAsia="zh-CN" w:bidi="ar-SA"/>
        </w:rPr>
        <w:t>当事人</w:t>
      </w:r>
      <w:r>
        <w:rPr>
          <w:rFonts w:hint="eastAsia" w:ascii="仿宋_GB2312" w:hAnsi="宋体" w:eastAsia="仿宋_GB2312" w:cstheme="minorBidi"/>
          <w:b w:val="0"/>
          <w:bCs w:val="0"/>
          <w:kern w:val="2"/>
          <w:sz w:val="28"/>
          <w:szCs w:val="28"/>
          <w:lang w:val="en-US" w:eastAsia="zh-CN" w:bidi="ar-SA"/>
        </w:rPr>
        <w:t>满意度</w:t>
      </w:r>
      <w:r>
        <w:rPr>
          <w:rFonts w:hint="eastAsia" w:hAnsi="宋体" w:cstheme="minorBidi"/>
          <w:b w:val="0"/>
          <w:bCs w:val="0"/>
          <w:kern w:val="2"/>
          <w:sz w:val="28"/>
          <w:szCs w:val="28"/>
          <w:lang w:val="en-US" w:eastAsia="zh-CN" w:bidi="ar-SA"/>
        </w:rPr>
        <w:t>、干警满意度。</w:t>
      </w:r>
      <w:r>
        <w:rPr>
          <w:rFonts w:hint="eastAsia" w:ascii="仿宋_GB2312" w:hAnsi="宋体" w:eastAsia="仿宋_GB2312" w:cstheme="minorBidi"/>
          <w:b w:val="0"/>
          <w:bCs w:val="0"/>
          <w:kern w:val="2"/>
          <w:sz w:val="28"/>
          <w:szCs w:val="28"/>
          <w:lang w:val="en-US" w:eastAsia="zh-CN" w:bidi="ar-SA"/>
        </w:rPr>
        <w:t>该指标分值合计10分，自评得分</w:t>
      </w:r>
      <w:r>
        <w:rPr>
          <w:rFonts w:hint="eastAsia" w:hAnsi="宋体" w:cstheme="minorBidi"/>
          <w:b w:val="0"/>
          <w:bCs w:val="0"/>
          <w:kern w:val="2"/>
          <w:sz w:val="28"/>
          <w:szCs w:val="28"/>
          <w:lang w:val="en-US" w:eastAsia="zh-CN" w:bidi="ar-SA"/>
        </w:rPr>
        <w:t>10</w:t>
      </w:r>
      <w:r>
        <w:rPr>
          <w:rFonts w:hint="eastAsia" w:ascii="仿宋_GB2312" w:hAnsi="宋体" w:eastAsia="仿宋_GB2312" w:cstheme="minorBidi"/>
          <w:b w:val="0"/>
          <w:bCs w:val="0"/>
          <w:kern w:val="2"/>
          <w:sz w:val="28"/>
          <w:szCs w:val="28"/>
          <w:lang w:val="en-US" w:eastAsia="zh-CN" w:bidi="ar-SA"/>
        </w:rPr>
        <w:t>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当事人满意程度</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94%</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干警满意程度</w:t>
            </w:r>
          </w:p>
        </w:tc>
        <w:tc>
          <w:tcPr>
            <w:tcW w:w="146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98%</w:t>
            </w:r>
          </w:p>
        </w:tc>
        <w:tc>
          <w:tcPr>
            <w:tcW w:w="71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ascii="仿宋_GB2312" w:hAnsi="仿宋_GB2312" w:eastAsia="仿宋_GB2312" w:cs="仿宋_GB2312"/>
          <w:b/>
          <w:bCs/>
          <w:sz w:val="28"/>
          <w:szCs w:val="28"/>
        </w:rPr>
        <w:t>当事人满意度：</w:t>
      </w:r>
      <w:r>
        <w:rPr>
          <w:rFonts w:hint="eastAsia"/>
        </w:rPr>
        <w:t>我院依法审理各类案件，妥善化解矛盾纠纷和行政争议，维护了法院审判工作的有序开展，积极保障人民群众生命财产安全，</w:t>
      </w:r>
      <w:r>
        <w:rPr>
          <w:rFonts w:hint="eastAsia"/>
          <w:lang w:val="en-US" w:eastAsia="zh-CN"/>
        </w:rPr>
        <w:t>当事人满意度94%，达到目标值。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cs="仿宋_GB2312"/>
          <w:sz w:val="28"/>
          <w:szCs w:val="28"/>
          <w:lang w:eastAsia="zh-CN"/>
        </w:rPr>
      </w:pPr>
      <w:r>
        <w:rPr>
          <w:rFonts w:hint="eastAsia" w:ascii="仿宋_GB2312" w:hAnsi="仿宋_GB2312" w:eastAsia="仿宋_GB2312" w:cs="仿宋_GB2312"/>
          <w:b/>
          <w:bCs/>
          <w:sz w:val="28"/>
          <w:szCs w:val="28"/>
        </w:rPr>
        <w:t>干警满意度：</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cs="仿宋_GB2312"/>
          <w:color w:val="auto"/>
          <w:sz w:val="28"/>
          <w:szCs w:val="28"/>
          <w:lang w:val="en-US" w:eastAsia="zh-CN"/>
        </w:rPr>
        <w:t>干警</w:t>
      </w:r>
      <w:r>
        <w:rPr>
          <w:rFonts w:hint="eastAsia" w:ascii="仿宋_GB2312" w:hAnsi="仿宋_GB2312" w:eastAsia="仿宋_GB2312" w:cs="仿宋_GB2312"/>
          <w:color w:val="auto"/>
          <w:sz w:val="28"/>
          <w:szCs w:val="28"/>
          <w:lang w:val="en-US" w:eastAsia="zh-CN"/>
        </w:rPr>
        <w:t>满意度达到</w:t>
      </w:r>
      <w:r>
        <w:rPr>
          <w:rFonts w:hint="eastAsia" w:cs="仿宋_GB2312"/>
          <w:color w:val="auto"/>
          <w:sz w:val="28"/>
          <w:szCs w:val="28"/>
          <w:lang w:val="en-US" w:eastAsia="zh-CN"/>
        </w:rPr>
        <w:t>98</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sz w:val="28"/>
          <w:szCs w:val="28"/>
        </w:rPr>
        <w:t>。</w:t>
      </w:r>
      <w:r>
        <w:rPr>
          <w:rFonts w:hint="eastAsia" w:cs="仿宋_GB2312"/>
          <w:sz w:val="28"/>
          <w:szCs w:val="28"/>
          <w:lang w:eastAsia="zh-CN"/>
        </w:rPr>
        <w:t>年度目标值为大于等于</w:t>
      </w:r>
      <w:r>
        <w:rPr>
          <w:rFonts w:hint="eastAsia" w:cs="仿宋_GB2312"/>
          <w:sz w:val="28"/>
          <w:szCs w:val="28"/>
          <w:lang w:val="en-US" w:eastAsia="zh-CN"/>
        </w:rPr>
        <w:t>90%，</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ind w:leftChars="0" w:firstLine="562" w:firstLineChars="200"/>
        <w:jc w:val="both"/>
        <w:textAlignment w:val="auto"/>
        <w:outlineLvl w:val="2"/>
        <w:rPr>
          <w:rFonts w:hint="eastAsia"/>
          <w:lang w:val="en-US" w:eastAsia="zh-CN"/>
        </w:rPr>
      </w:pPr>
      <w:r>
        <w:rPr>
          <w:rFonts w:hint="eastAsia"/>
          <w:lang w:val="en-US" w:eastAsia="zh-CN"/>
        </w:rPr>
        <w:t>4.偏离绩效目标的原因及下一步改进措施</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无</w:t>
      </w:r>
      <w:r>
        <w:rPr>
          <w:rFonts w:hint="eastAsia" w:ascii="仿宋_GB2312" w:hAnsi="仿宋_GB2312" w:eastAsia="仿宋_GB2312" w:cs="仿宋_GB2312"/>
          <w:sz w:val="28"/>
          <w:szCs w:val="28"/>
        </w:rPr>
        <w:t>。</w:t>
      </w:r>
    </w:p>
    <w:p>
      <w:pPr>
        <w:pStyle w:val="3"/>
        <w:keepNext/>
        <w:keepLines/>
        <w:pageBreakBefore w:val="0"/>
        <w:widowControl w:val="0"/>
        <w:kinsoku/>
        <w:wordWrap/>
        <w:overflowPunct/>
        <w:topLinePunct w:val="0"/>
        <w:autoSpaceDE/>
        <w:autoSpaceDN/>
        <w:bidi w:val="0"/>
        <w:adjustRightInd/>
        <w:snapToGrid/>
        <w:spacing w:before="0" w:after="0"/>
        <w:ind w:firstLine="643"/>
        <w:textAlignment w:val="auto"/>
        <w:rPr>
          <w:rFonts w:hint="default"/>
          <w:lang w:val="en-US"/>
        </w:rPr>
      </w:pPr>
      <w:bookmarkStart w:id="68" w:name="_Toc709"/>
      <w:r>
        <w:rPr>
          <w:rFonts w:hint="eastAsia"/>
          <w:lang w:eastAsia="zh-CN"/>
        </w:rPr>
        <w:t>（</w:t>
      </w:r>
      <w:r>
        <w:rPr>
          <w:rFonts w:hint="eastAsia"/>
          <w:lang w:val="en-US" w:eastAsia="zh-CN"/>
        </w:rPr>
        <w:t>二</w:t>
      </w:r>
      <w:r>
        <w:rPr>
          <w:rFonts w:hint="eastAsia"/>
          <w:lang w:eastAsia="zh-CN"/>
        </w:rPr>
        <w:t>）</w:t>
      </w:r>
      <w:r>
        <w:rPr>
          <w:rFonts w:hint="eastAsia"/>
          <w:lang w:val="en-US" w:eastAsia="zh-CN"/>
        </w:rPr>
        <w:t>法庭运维费</w:t>
      </w:r>
      <w:bookmarkEnd w:id="68"/>
    </w:p>
    <w:p>
      <w:pPr>
        <w:pStyle w:val="10"/>
        <w:rPr>
          <w:rFonts w:hint="eastAsia"/>
          <w:color w:val="000000" w:themeColor="text1"/>
          <w14:textFill>
            <w14:solidFill>
              <w14:schemeClr w14:val="tx1"/>
            </w14:solidFill>
          </w14:textFill>
        </w:rPr>
      </w:pPr>
      <w:r>
        <w:rPr>
          <w:rFonts w:hint="eastAsia" w:ascii="仿宋_GB2312" w:hAnsi="仿宋_GB2312" w:eastAsia="仿宋_GB2312" w:cs="仿宋_GB2312"/>
          <w:color w:val="auto"/>
          <w:kern w:val="2"/>
          <w:sz w:val="28"/>
          <w:szCs w:val="28"/>
          <w:lang w:val="en-US" w:eastAsia="zh-CN" w:bidi="ar-SA"/>
        </w:rPr>
        <w:t>本次绩效自评综合评定2023年法庭运维费项目支出绩效得分为100.00分，绩效等级为“优”。项目支出绩效评价包括成本、产出、效益、满意度四个一级指标，下设10个二级指标和13个三级指标。一级指标得分情况详见下表：</w:t>
      </w:r>
    </w:p>
    <w:tbl>
      <w:tblPr>
        <w:tblStyle w:val="24"/>
        <w:tblW w:w="8528"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2334"/>
        <w:gridCol w:w="2064"/>
        <w:gridCol w:w="2064"/>
        <w:gridCol w:w="206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233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一级指标</w:t>
            </w:r>
          </w:p>
        </w:tc>
        <w:tc>
          <w:tcPr>
            <w:tcW w:w="20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206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20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预算执行率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10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成本指标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val="en-US" w:eastAsia="zh-CN" w:bidi="ar"/>
              </w:rPr>
              <w:t>20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产出指标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lang w:val="en-US" w:eastAsia="zh-CN"/>
              </w:rPr>
            </w:pPr>
            <w:r>
              <w:rPr>
                <w:rFonts w:hint="eastAsia" w:ascii="宋体" w:hAnsi="宋体" w:eastAsia="宋体" w:cs="宋体"/>
                <w:color w:val="000000"/>
                <w:kern w:val="0"/>
                <w:sz w:val="22"/>
                <w:lang w:val="en-US" w:eastAsia="zh-CN" w:bidi="ar"/>
              </w:rPr>
              <w:t>40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color w:val="000000"/>
                <w:kern w:val="0"/>
                <w:sz w:val="22"/>
                <w:szCs w:val="22"/>
                <w:highlight w:val="none"/>
                <w:lang w:val="en-US"/>
              </w:rPr>
            </w:pPr>
            <w:r>
              <w:rPr>
                <w:rFonts w:hint="eastAsia" w:ascii="宋体" w:hAnsi="宋体" w:eastAsia="宋体" w:cs="宋体"/>
                <w:color w:val="000000"/>
                <w:kern w:val="0"/>
                <w:sz w:val="22"/>
                <w:lang w:val="en-US" w:eastAsia="zh-CN" w:bidi="ar"/>
              </w:rPr>
              <w:t>40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val="en-US" w:eastAsia="zh-CN" w:bidi="ar"/>
              </w:rPr>
              <w:t>100.00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lang w:bidi="ar"/>
              </w:rPr>
              <w:t>效益指标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val="en-US" w:eastAsia="zh-CN" w:bidi="ar"/>
              </w:rPr>
              <w:t>20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2334" w:type="dxa"/>
            <w:vAlign w:val="center"/>
          </w:tcPr>
          <w:p>
            <w:pPr>
              <w:widowControl/>
              <w:ind w:left="0" w:leftChars="0" w:firstLine="0" w:firstLineChars="0"/>
              <w:jc w:val="center"/>
              <w:textAlignment w:val="center"/>
              <w:rPr>
                <w:rFonts w:hint="eastAsia" w:ascii="宋体" w:hAnsi="宋体" w:eastAsia="宋体" w:cs="宋体"/>
                <w:color w:val="000000"/>
                <w:kern w:val="0"/>
                <w:sz w:val="24"/>
                <w:szCs w:val="28"/>
                <w:highlight w:val="none"/>
              </w:rPr>
            </w:pPr>
            <w:r>
              <w:rPr>
                <w:rFonts w:hint="eastAsia" w:ascii="宋体" w:hAnsi="宋体" w:eastAsia="宋体" w:cs="宋体"/>
                <w:color w:val="000000"/>
                <w:kern w:val="0"/>
                <w:sz w:val="24"/>
                <w:szCs w:val="24"/>
                <w:lang w:bidi="ar"/>
              </w:rPr>
              <w:t>满意度指标</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4"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w:t>
            </w:r>
          </w:p>
        </w:tc>
        <w:tc>
          <w:tcPr>
            <w:tcW w:w="2066" w:type="dxa"/>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color w:val="000000"/>
                <w:kern w:val="0"/>
                <w:sz w:val="22"/>
                <w:lang w:bidi="ar"/>
              </w:rPr>
              <w:t>100</w:t>
            </w:r>
            <w:r>
              <w:rPr>
                <w:rFonts w:hint="eastAsia" w:ascii="宋体" w:hAnsi="宋体" w:eastAsia="宋体" w:cs="宋体"/>
                <w:color w:val="000000"/>
                <w:kern w:val="0"/>
                <w:sz w:val="22"/>
                <w:lang w:val="en-US" w:eastAsia="zh-CN" w:bidi="ar"/>
              </w:rPr>
              <w:t>.00</w:t>
            </w:r>
            <w:r>
              <w:rPr>
                <w:rFonts w:hint="eastAsia" w:ascii="宋体" w:hAnsi="宋体" w:eastAsia="宋体" w:cs="宋体"/>
                <w:color w:val="000000"/>
                <w:kern w:val="0"/>
                <w:sz w:val="22"/>
                <w:lang w:bidi="ar"/>
              </w:rPr>
              <w:t>%</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435" w:hRule="atLeast"/>
          <w:tblHeader/>
          <w:jc w:val="center"/>
        </w:trPr>
        <w:tc>
          <w:tcPr>
            <w:tcW w:w="2334"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2064"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bidi="ar"/>
              </w:rPr>
              <w:t>100</w:t>
            </w:r>
          </w:p>
        </w:tc>
        <w:tc>
          <w:tcPr>
            <w:tcW w:w="2064"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w:t>
            </w:r>
          </w:p>
        </w:tc>
        <w:tc>
          <w:tcPr>
            <w:tcW w:w="2066" w:type="dxa"/>
            <w:shd w:val="clear" w:color="auto" w:fill="BDD6EE"/>
            <w:vAlign w:val="center"/>
          </w:tcPr>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color w:val="000000"/>
                <w:kern w:val="0"/>
                <w:sz w:val="22"/>
                <w:lang w:val="en-US" w:eastAsia="zh-CN" w:bidi="ar"/>
              </w:rPr>
              <w:t>100.00</w:t>
            </w:r>
            <w:r>
              <w:rPr>
                <w:rFonts w:hint="eastAsia" w:ascii="宋体" w:hAnsi="宋体" w:eastAsia="宋体" w:cs="宋体"/>
                <w:color w:val="000000"/>
                <w:kern w:val="0"/>
                <w:sz w:val="22"/>
                <w:lang w:bidi="ar"/>
              </w:rPr>
              <w:t>%</w:t>
            </w:r>
          </w:p>
        </w:tc>
      </w:tr>
    </w:tbl>
    <w:p>
      <w:pPr>
        <w:pStyle w:val="4"/>
        <w:bidi w:val="0"/>
      </w:pPr>
      <w:r>
        <w:t>1、项目支出预算执行情况</w:t>
      </w:r>
    </w:p>
    <w:p>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我院法庭运维费项目年初预算数63万元、全年预算数63万元，全年执行数63万元，预算执行率100.00%，满分10分，得分10分。</w:t>
      </w:r>
    </w:p>
    <w:p>
      <w:pPr>
        <w:pStyle w:val="4"/>
        <w:bidi w:val="0"/>
      </w:pPr>
      <w:r>
        <w:t>2、总体绩效目标完成情况分析</w:t>
      </w:r>
    </w:p>
    <w:p>
      <w:pPr>
        <w:spacing w:before="294" w:line="624" w:lineRule="exact"/>
        <w:ind w:left="0" w:leftChars="0" w:right="74" w:firstLine="540" w:firstLineChars="200"/>
        <w:jc w:val="both"/>
        <w:rPr>
          <w:rFonts w:hint="eastAsia" w:ascii="仿宋" w:hAnsi="仿宋" w:eastAsia="仿宋" w:cs="仿宋"/>
          <w:spacing w:val="-5"/>
          <w:position w:val="26"/>
          <w:sz w:val="28"/>
          <w:szCs w:val="28"/>
          <w:lang w:val="en-US" w:eastAsia="zh-CN"/>
        </w:rPr>
      </w:pPr>
      <w:r>
        <w:rPr>
          <w:rFonts w:ascii="仿宋" w:hAnsi="仿宋" w:eastAsia="仿宋" w:cs="仿宋"/>
          <w:spacing w:val="-5"/>
          <w:position w:val="26"/>
          <w:sz w:val="28"/>
          <w:szCs w:val="28"/>
        </w:rPr>
        <w:t>法</w:t>
      </w:r>
      <w:r>
        <w:rPr>
          <w:rFonts w:hint="eastAsia" w:ascii="仿宋" w:hAnsi="仿宋" w:eastAsia="仿宋" w:cs="仿宋"/>
          <w:spacing w:val="-5"/>
          <w:position w:val="26"/>
          <w:sz w:val="28"/>
          <w:szCs w:val="28"/>
          <w:lang w:val="en-US" w:eastAsia="zh-CN"/>
        </w:rPr>
        <w:t>庭运维费项目自评价得分100分，自评结果为“优”。通过2023年度法庭运维经费的投入，确保我院基层人民法庭办案办公的正常开展，更好地执行及维护国家法制、法律的权威，维护社会稳定和谐。保障基层法庭运营维护经费，改善基层法庭办案办公条件，提供稳定经费保障，确保基层法庭有一个良好的办案办公条件。</w:t>
      </w:r>
    </w:p>
    <w:p>
      <w:pPr>
        <w:pStyle w:val="4"/>
        <w:numPr>
          <w:ilvl w:val="0"/>
          <w:numId w:val="2"/>
        </w:numPr>
        <w:bidi w:val="0"/>
      </w:pPr>
      <w:r>
        <w:t>各项指标完成情况分析</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（1）成本指标</w:t>
      </w:r>
    </w:p>
    <w:p>
      <w:pPr>
        <w:rPr>
          <w:rFonts w:hint="eastAsia" w:hAnsi="宋体"/>
          <w:b w:val="0"/>
          <w:bCs w:val="0"/>
          <w:szCs w:val="28"/>
          <w:lang w:val="en-US" w:eastAsia="zh-CN"/>
        </w:rPr>
      </w:pPr>
      <w:r>
        <w:rPr>
          <w:rFonts w:hint="eastAsia" w:hAnsi="宋体"/>
          <w:b w:val="0"/>
          <w:bCs w:val="0"/>
          <w:szCs w:val="28"/>
          <w:lang w:val="en-US" w:eastAsia="zh-CN"/>
        </w:rPr>
        <w:t>成本指标下设1个二级指标，1个三级指标，指标权重合计20分，自评得分20分，得分率为100.00%。</w:t>
      </w:r>
    </w:p>
    <w:tbl>
      <w:tblPr>
        <w:tblStyle w:val="24"/>
        <w:tblW w:w="906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492"/>
        <w:gridCol w:w="1687"/>
        <w:gridCol w:w="1600"/>
        <w:gridCol w:w="1375"/>
        <w:gridCol w:w="681"/>
        <w:gridCol w:w="1188"/>
        <w:gridCol w:w="1046"/>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二级指标</w:t>
            </w:r>
          </w:p>
        </w:tc>
        <w:tc>
          <w:tcPr>
            <w:tcW w:w="168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三级指标</w:t>
            </w:r>
          </w:p>
        </w:tc>
        <w:tc>
          <w:tcPr>
            <w:tcW w:w="16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年度指标值</w:t>
            </w:r>
          </w:p>
        </w:tc>
        <w:tc>
          <w:tcPr>
            <w:tcW w:w="137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实际完成值</w:t>
            </w:r>
          </w:p>
        </w:tc>
        <w:tc>
          <w:tcPr>
            <w:tcW w:w="68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自评得分</w:t>
            </w:r>
          </w:p>
        </w:tc>
        <w:tc>
          <w:tcPr>
            <w:tcW w:w="104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bCs/>
                <w:i w:val="0"/>
                <w:iCs w:val="0"/>
                <w:color w:val="000000"/>
                <w:kern w:val="0"/>
                <w:sz w:val="21"/>
                <w:szCs w:val="21"/>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492"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经济成本指标</w:t>
            </w:r>
          </w:p>
        </w:tc>
        <w:tc>
          <w:tcPr>
            <w:tcW w:w="1687"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年度预算控制率</w:t>
            </w:r>
          </w:p>
        </w:tc>
        <w:tc>
          <w:tcPr>
            <w:tcW w:w="1600"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375"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681"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46"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1"/>
                <w:szCs w:val="21"/>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492" w:type="dxa"/>
            <w:shd w:val="clear" w:color="auto" w:fill="BDD6EE"/>
            <w:vAlign w:val="center"/>
          </w:tcPr>
          <w:p>
            <w:pPr>
              <w:keepNext w:val="0"/>
              <w:keepLines w:val="0"/>
              <w:widowControl/>
              <w:suppressLineNumbers w:val="0"/>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合计</w:t>
            </w:r>
          </w:p>
        </w:tc>
        <w:tc>
          <w:tcPr>
            <w:tcW w:w="168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6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137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22" w:firstLineChars="200"/>
              <w:jc w:val="center"/>
              <w:textAlignment w:val="center"/>
              <w:rPr>
                <w:rFonts w:hint="eastAsia" w:ascii="宋体" w:hAnsi="宋体" w:eastAsia="宋体" w:cs="宋体"/>
                <w:b/>
                <w:color w:val="000000"/>
                <w:kern w:val="0"/>
                <w:sz w:val="21"/>
                <w:szCs w:val="21"/>
                <w:highlight w:val="none"/>
                <w:lang w:val="en-US" w:eastAsia="zh-CN" w:bidi="ar-SA"/>
              </w:rPr>
            </w:pPr>
          </w:p>
        </w:tc>
        <w:tc>
          <w:tcPr>
            <w:tcW w:w="68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b/>
                <w:color w:val="000000"/>
                <w:kern w:val="0"/>
                <w:sz w:val="21"/>
                <w:szCs w:val="21"/>
                <w:highlight w:val="none"/>
                <w:lang w:val="en-US" w:eastAsia="zh-CN" w:bidi="ar-SA"/>
              </w:rPr>
            </w:pPr>
            <w:r>
              <w:rPr>
                <w:rFonts w:hint="eastAsia" w:ascii="宋体" w:hAnsi="宋体" w:eastAsia="宋体" w:cs="宋体"/>
                <w:b/>
                <w:color w:val="000000"/>
                <w:kern w:val="0"/>
                <w:sz w:val="21"/>
                <w:szCs w:val="21"/>
                <w:highlight w:val="none"/>
                <w:lang w:val="en-US" w:eastAsia="zh-CN" w:bidi="ar-SA"/>
              </w:rPr>
              <w:t>20</w:t>
            </w:r>
          </w:p>
        </w:tc>
        <w:tc>
          <w:tcPr>
            <w:tcW w:w="104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1"/>
                <w:szCs w:val="21"/>
                <w:highlight w:val="none"/>
                <w:lang w:val="en-US" w:eastAsia="zh-CN" w:bidi="ar-SA"/>
              </w:rPr>
            </w:pPr>
            <w:r>
              <w:rPr>
                <w:rFonts w:hint="eastAsia" w:ascii="宋体" w:hAnsi="宋体" w:eastAsia="宋体" w:cs="宋体"/>
                <w:b/>
                <w:bCs/>
                <w:i w:val="0"/>
                <w:iCs w:val="0"/>
                <w:color w:val="000000"/>
                <w:kern w:val="0"/>
                <w:sz w:val="21"/>
                <w:szCs w:val="21"/>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b w:val="0"/>
          <w:bCs w:val="0"/>
          <w:szCs w:val="28"/>
          <w:lang w:val="en-US" w:eastAsia="zh-CN"/>
        </w:rPr>
      </w:pPr>
      <w:r>
        <w:rPr>
          <w:rFonts w:hint="eastAsia" w:hAnsi="宋体"/>
          <w:b/>
          <w:bCs/>
          <w:szCs w:val="28"/>
          <w:lang w:val="en-US" w:eastAsia="zh-CN"/>
        </w:rPr>
        <w:t>年度预算控制率：</w:t>
      </w:r>
      <w:r>
        <w:rPr>
          <w:rFonts w:hint="eastAsia" w:hAnsi="宋体"/>
          <w:b w:val="0"/>
          <w:bCs w:val="0"/>
          <w:szCs w:val="28"/>
          <w:lang w:val="en-US" w:eastAsia="zh-CN"/>
        </w:rPr>
        <w:t>我院法庭运维费全年预算数和实际支出为63万</w:t>
      </w:r>
      <w:r>
        <w:rPr>
          <w:rFonts w:hint="eastAsia" w:ascii="仿宋" w:hAnsi="仿宋" w:eastAsia="仿宋" w:cs="仿宋"/>
          <w:b w:val="0"/>
          <w:bCs w:val="0"/>
          <w:szCs w:val="28"/>
          <w:lang w:val="en-US" w:eastAsia="zh-CN"/>
        </w:rPr>
        <w:t>元，成本控制在全年预算数以内，符合年度指标值的要求。该指标分值20分，自评得分为20分，得分率为100.00%。</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bCs/>
          <w:szCs w:val="28"/>
          <w:lang w:val="en-US" w:eastAsia="zh-CN"/>
        </w:rPr>
      </w:pPr>
      <w:r>
        <w:rPr>
          <w:rFonts w:hint="eastAsia" w:hAnsi="宋体"/>
          <w:b/>
          <w:bCs/>
          <w:szCs w:val="28"/>
          <w:lang w:val="en-US" w:eastAsia="zh-CN"/>
        </w:rPr>
        <w:t>（2）产出指标</w:t>
      </w:r>
    </w:p>
    <w:p>
      <w:pPr>
        <w:keepNext w:val="0"/>
        <w:keepLines w:val="0"/>
        <w:pageBreakBefore w:val="0"/>
        <w:widowControl w:val="0"/>
        <w:kinsoku/>
        <w:wordWrap/>
        <w:overflowPunct/>
        <w:topLinePunct w:val="0"/>
        <w:autoSpaceDE/>
        <w:autoSpaceDN/>
        <w:bidi w:val="0"/>
        <w:adjustRightInd/>
        <w:snapToGrid/>
        <w:ind w:firstLine="562"/>
        <w:textAlignment w:val="auto"/>
        <w:rPr>
          <w:rFonts w:hint="eastAsia" w:ascii="仿宋" w:hAnsi="仿宋" w:eastAsia="仿宋" w:cs="仿宋"/>
          <w:spacing w:val="-5"/>
          <w:position w:val="26"/>
          <w:sz w:val="28"/>
          <w:szCs w:val="28"/>
          <w:lang w:val="en-US" w:eastAsia="zh-CN"/>
        </w:rPr>
      </w:pPr>
      <w:r>
        <w:rPr>
          <w:rFonts w:hint="eastAsia" w:ascii="仿宋" w:hAnsi="仿宋" w:eastAsia="仿宋" w:cs="仿宋"/>
          <w:spacing w:val="-5"/>
          <w:position w:val="26"/>
          <w:sz w:val="28"/>
          <w:szCs w:val="28"/>
          <w:lang w:val="en-US" w:eastAsia="zh-CN"/>
        </w:rPr>
        <w:t>产出指标主要包括数量、质量、时效3个二级指标。总分值40分，得分40分，得分率100.00%。</w:t>
      </w:r>
    </w:p>
    <w:tbl>
      <w:tblPr>
        <w:tblStyle w:val="24"/>
        <w:tblW w:w="906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00"/>
        <w:gridCol w:w="1428"/>
        <w:gridCol w:w="1484"/>
        <w:gridCol w:w="850"/>
        <w:gridCol w:w="1188"/>
        <w:gridCol w:w="1071"/>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0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2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84"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850"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18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71"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保障供暖面积</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10270㎡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10270㎡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保障基层法庭个数</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6个</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6个</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4.48</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4.48</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维修维护工作完成率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110%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质量指标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法庭正常运转保障率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lang w:val="en-US" w:eastAsia="zh-CN" w:bidi="ar-SA"/>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4"/>
                <w:szCs w:val="28"/>
                <w:highlight w:val="none"/>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维修维护合格率</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时效指标</w:t>
            </w: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法庭运维及时性</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日常维护工作完成及时性</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00"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水电暖服务保障工作及时性</w:t>
            </w:r>
          </w:p>
        </w:tc>
        <w:tc>
          <w:tcPr>
            <w:tcW w:w="142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及时</w:t>
            </w:r>
          </w:p>
        </w:tc>
        <w:tc>
          <w:tcPr>
            <w:tcW w:w="1484"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850"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188"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4.44</w:t>
            </w:r>
          </w:p>
        </w:tc>
        <w:tc>
          <w:tcPr>
            <w:tcW w:w="1071"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0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2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84"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850"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188"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40</w:t>
            </w:r>
          </w:p>
        </w:tc>
        <w:tc>
          <w:tcPr>
            <w:tcW w:w="1071"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数量指标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下设保障</w:t>
      </w:r>
      <w:r>
        <w:rPr>
          <w:rFonts w:hint="eastAsia" w:ascii="仿宋" w:hAnsi="仿宋" w:eastAsia="仿宋" w:cs="仿宋"/>
          <w:sz w:val="28"/>
          <w:shd w:val="clear" w:color="auto" w:fill="FFFFFF"/>
          <w:lang w:val="en-US" w:eastAsia="zh-CN"/>
        </w:rPr>
        <w:t>供暖面积、</w:t>
      </w:r>
      <w:r>
        <w:rPr>
          <w:rFonts w:hint="eastAsia" w:ascii="仿宋" w:hAnsi="仿宋" w:eastAsia="仿宋" w:cs="仿宋"/>
          <w:sz w:val="28"/>
          <w:shd w:val="clear" w:color="auto" w:fill="FFFFFF"/>
        </w:rPr>
        <w:t>保障基层法庭个数</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维修维护工作完成率</w:t>
      </w:r>
      <w:r>
        <w:rPr>
          <w:rFonts w:hint="eastAsia" w:ascii="仿宋" w:hAnsi="仿宋" w:eastAsia="仿宋" w:cs="仿宋"/>
          <w:sz w:val="28"/>
          <w:shd w:val="clear" w:color="auto" w:fill="FFFFFF"/>
          <w:lang w:val="en-US" w:eastAsia="zh-CN"/>
        </w:rPr>
        <w:t>3</w:t>
      </w:r>
      <w:r>
        <w:rPr>
          <w:rFonts w:hint="eastAsia" w:ascii="仿宋" w:hAnsi="仿宋" w:eastAsia="仿宋" w:cs="仿宋"/>
          <w:sz w:val="28"/>
          <w:shd w:val="clear" w:color="auto" w:fill="FFFFFF"/>
        </w:rPr>
        <w:t>个三级指标。该指标分值</w:t>
      </w:r>
      <w:r>
        <w:rPr>
          <w:rFonts w:hint="eastAsia" w:ascii="仿宋" w:hAnsi="仿宋" w:eastAsia="仿宋" w:cs="仿宋"/>
          <w:sz w:val="28"/>
          <w:shd w:val="clear" w:color="auto" w:fill="FFFFFF"/>
          <w:lang w:val="en-US" w:eastAsia="zh-CN"/>
        </w:rPr>
        <w:t>13.36</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13.36</w:t>
      </w:r>
      <w:r>
        <w:rPr>
          <w:rFonts w:hint="eastAsia" w:ascii="仿宋" w:hAnsi="仿宋" w:eastAsia="仿宋" w:cs="仿宋"/>
          <w:sz w:val="28"/>
          <w:shd w:val="clear" w:color="auto" w:fill="FFFFFF"/>
        </w:rPr>
        <w:t>分，得分率为</w:t>
      </w:r>
      <w:r>
        <w:rPr>
          <w:rFonts w:hint="eastAsia" w:ascii="仿宋" w:hAnsi="仿宋" w:eastAsia="仿宋" w:cs="仿宋"/>
          <w:sz w:val="28"/>
          <w:shd w:val="clear" w:color="auto" w:fill="FFFFFF"/>
          <w:lang w:val="en-US" w:eastAsia="zh-CN"/>
        </w:rPr>
        <w:t>100.00</w:t>
      </w:r>
      <w:r>
        <w:rPr>
          <w:rFonts w:hint="eastAsia" w:ascii="仿宋" w:hAnsi="仿宋" w:eastAsia="仿宋" w:cs="仿宋"/>
          <w:sz w:val="28"/>
          <w:shd w:val="clear" w:color="auto" w:fill="FFFFFF"/>
        </w:rPr>
        <w:t>%。</w:t>
      </w:r>
    </w:p>
    <w:p>
      <w:pPr>
        <w:spacing w:line="360" w:lineRule="auto"/>
        <w:ind w:firstLine="562" w:firstLineChars="200"/>
        <w:rPr>
          <w:rFonts w:hint="eastAsia" w:ascii="仿宋" w:hAnsi="仿宋" w:eastAsia="仿宋" w:cs="仿宋"/>
          <w:sz w:val="28"/>
          <w:shd w:val="clear" w:color="auto" w:fill="FFFFFF"/>
        </w:rPr>
      </w:pPr>
      <w:r>
        <w:rPr>
          <w:rFonts w:hint="eastAsia" w:ascii="仿宋" w:hAnsi="仿宋" w:eastAsia="仿宋" w:cs="仿宋"/>
          <w:b/>
          <w:bCs/>
          <w:sz w:val="28"/>
          <w:shd w:val="clear" w:color="auto" w:fill="FFFFFF"/>
        </w:rPr>
        <w:t>质量指标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下设法庭正常运转保障率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水电暖服务保障率</w:t>
      </w:r>
      <w:r>
        <w:rPr>
          <w:rFonts w:hint="eastAsia" w:ascii="仿宋" w:hAnsi="仿宋" w:eastAsia="仿宋" w:cs="仿宋"/>
          <w:sz w:val="28"/>
          <w:shd w:val="clear" w:color="auto" w:fill="FFFFFF"/>
          <w:lang w:eastAsia="zh-CN"/>
        </w:rPr>
        <w:t>、</w:t>
      </w:r>
      <w:r>
        <w:rPr>
          <w:rFonts w:hint="eastAsia" w:ascii="仿宋" w:hAnsi="仿宋" w:eastAsia="仿宋" w:cs="仿宋"/>
          <w:sz w:val="28"/>
          <w:shd w:val="clear" w:color="auto" w:fill="FFFFFF"/>
        </w:rPr>
        <w:t>维修维护合格率</w:t>
      </w:r>
      <w:r>
        <w:rPr>
          <w:rFonts w:hint="eastAsia" w:ascii="仿宋" w:hAnsi="仿宋" w:eastAsia="仿宋" w:cs="仿宋"/>
          <w:sz w:val="28"/>
          <w:shd w:val="clear" w:color="auto" w:fill="FFFFFF"/>
          <w:lang w:val="en-US" w:eastAsia="zh-CN"/>
        </w:rPr>
        <w:t>3</w:t>
      </w:r>
      <w:r>
        <w:rPr>
          <w:rFonts w:hint="eastAsia" w:ascii="仿宋" w:hAnsi="仿宋" w:eastAsia="仿宋" w:cs="仿宋"/>
          <w:sz w:val="28"/>
          <w:shd w:val="clear" w:color="auto" w:fill="FFFFFF"/>
        </w:rPr>
        <w:t>个三级指标。该指标分值</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分，得分率为100%。</w:t>
      </w:r>
    </w:p>
    <w:p>
      <w:pPr>
        <w:spacing w:line="360" w:lineRule="auto"/>
        <w:ind w:firstLine="562" w:firstLineChars="200"/>
        <w:rPr>
          <w:rFonts w:hint="eastAsia" w:ascii="仿宋" w:hAnsi="仿宋" w:eastAsia="仿宋" w:cs="仿宋"/>
          <w:b/>
          <w:bCs/>
          <w:sz w:val="28"/>
          <w:shd w:val="clear" w:color="auto" w:fill="FFFFFF"/>
        </w:rPr>
      </w:pPr>
      <w:r>
        <w:rPr>
          <w:rFonts w:hint="eastAsia" w:ascii="仿宋" w:hAnsi="仿宋" w:eastAsia="仿宋" w:cs="仿宋"/>
          <w:b/>
          <w:bCs/>
          <w:sz w:val="28"/>
          <w:shd w:val="clear" w:color="auto" w:fill="FFFFFF"/>
        </w:rPr>
        <w:t>时效指标</w:t>
      </w:r>
      <w:r>
        <w:rPr>
          <w:rFonts w:hint="eastAsia" w:ascii="仿宋" w:hAnsi="仿宋" w:eastAsia="仿宋" w:cs="仿宋"/>
          <w:b/>
          <w:bCs/>
          <w:sz w:val="28"/>
          <w:shd w:val="clear" w:color="auto" w:fill="FFFFFF"/>
          <w:lang w:val="en-US" w:eastAsia="zh-CN"/>
        </w:rPr>
        <w:t>:</w:t>
      </w:r>
      <w:r>
        <w:rPr>
          <w:rFonts w:hint="eastAsia" w:ascii="仿宋" w:hAnsi="仿宋" w:eastAsia="仿宋" w:cs="仿宋"/>
          <w:sz w:val="28"/>
          <w:shd w:val="clear" w:color="auto" w:fill="FFFFFF"/>
        </w:rPr>
        <w:t>下设</w:t>
      </w:r>
      <w:r>
        <w:rPr>
          <w:rFonts w:hint="eastAsia" w:ascii="仿宋" w:hAnsi="仿宋" w:eastAsia="仿宋" w:cs="仿宋"/>
          <w:sz w:val="28"/>
          <w:shd w:val="clear" w:color="auto" w:fill="FFFFFF"/>
          <w:lang w:val="en-US" w:eastAsia="zh-CN"/>
        </w:rPr>
        <w:t>法庭运维及时性</w:t>
      </w:r>
      <w:r>
        <w:rPr>
          <w:rFonts w:hint="eastAsia" w:ascii="仿宋" w:hAnsi="仿宋" w:eastAsia="仿宋" w:cs="仿宋"/>
          <w:sz w:val="28"/>
          <w:shd w:val="clear" w:color="auto" w:fill="FFFFFF"/>
        </w:rPr>
        <w:t>、</w:t>
      </w:r>
      <w:r>
        <w:rPr>
          <w:rFonts w:hint="eastAsia" w:ascii="仿宋" w:hAnsi="仿宋" w:eastAsia="仿宋" w:cs="仿宋"/>
          <w:sz w:val="28"/>
          <w:shd w:val="clear" w:color="auto" w:fill="FFFFFF"/>
          <w:lang w:val="en-US" w:eastAsia="zh-CN"/>
        </w:rPr>
        <w:t>日常维护工作完成及时性、水电暖服务保障工作及时性3</w:t>
      </w:r>
      <w:r>
        <w:rPr>
          <w:rFonts w:hint="eastAsia" w:ascii="仿宋" w:hAnsi="仿宋" w:eastAsia="仿宋" w:cs="仿宋"/>
          <w:sz w:val="28"/>
          <w:shd w:val="clear" w:color="auto" w:fill="FFFFFF"/>
        </w:rPr>
        <w:t>个三级指标，该指标分值</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分，按评价标准自评得分为</w:t>
      </w:r>
      <w:r>
        <w:rPr>
          <w:rFonts w:hint="eastAsia" w:ascii="仿宋" w:hAnsi="仿宋" w:eastAsia="仿宋" w:cs="仿宋"/>
          <w:sz w:val="28"/>
          <w:shd w:val="clear" w:color="auto" w:fill="FFFFFF"/>
          <w:lang w:val="en-US" w:eastAsia="zh-CN"/>
        </w:rPr>
        <w:t>13.32</w:t>
      </w:r>
      <w:r>
        <w:rPr>
          <w:rFonts w:hint="eastAsia" w:ascii="仿宋" w:hAnsi="仿宋" w:eastAsia="仿宋" w:cs="仿宋"/>
          <w:sz w:val="28"/>
          <w:shd w:val="clear" w:color="auto" w:fill="FFFFFF"/>
        </w:rPr>
        <w:t>分，得分率为100%。</w:t>
      </w:r>
    </w:p>
    <w:p>
      <w:pPr>
        <w:ind w:left="319" w:leftChars="114" w:firstLine="281" w:firstLineChars="100"/>
        <w:rPr>
          <w:rFonts w:ascii="仿宋" w:hAnsi="仿宋" w:eastAsia="仿宋"/>
          <w:b/>
          <w:bCs/>
          <w:sz w:val="28"/>
          <w:szCs w:val="28"/>
        </w:rPr>
      </w:pPr>
      <w:r>
        <w:rPr>
          <w:rFonts w:hint="eastAsia" w:ascii="仿宋" w:hAnsi="仿宋" w:eastAsia="仿宋"/>
          <w:b/>
          <w:bCs/>
          <w:sz w:val="28"/>
          <w:szCs w:val="28"/>
        </w:rPr>
        <w:t>（</w:t>
      </w:r>
      <w:r>
        <w:rPr>
          <w:rFonts w:hint="eastAsia" w:ascii="仿宋" w:hAnsi="仿宋" w:eastAsia="仿宋"/>
          <w:b/>
          <w:bCs/>
          <w:sz w:val="28"/>
          <w:szCs w:val="28"/>
          <w:lang w:val="en-US" w:eastAsia="zh-CN"/>
        </w:rPr>
        <w:t>3</w:t>
      </w:r>
      <w:r>
        <w:rPr>
          <w:rFonts w:ascii="仿宋" w:hAnsi="仿宋" w:eastAsia="仿宋"/>
          <w:b/>
          <w:bCs/>
          <w:sz w:val="28"/>
          <w:szCs w:val="28"/>
        </w:rPr>
        <w:t>）效益指标</w:t>
      </w:r>
    </w:p>
    <w:p>
      <w:pPr>
        <w:spacing w:line="360" w:lineRule="auto"/>
        <w:ind w:firstLine="560" w:firstLineChars="200"/>
        <w:rPr>
          <w:rFonts w:ascii="仿宋_GB2312" w:hAnsi="仿宋_GB2312" w:eastAsia="仿宋_GB2312"/>
          <w:sz w:val="28"/>
          <w:shd w:val="clear" w:color="auto" w:fill="FFFFFF"/>
        </w:rPr>
      </w:pPr>
      <w:r>
        <w:rPr>
          <w:rFonts w:hint="eastAsia" w:ascii="仿宋_GB2312" w:hAnsi="仿宋_GB2312" w:eastAsia="仿宋_GB2312"/>
          <w:sz w:val="28"/>
          <w:shd w:val="clear" w:color="auto" w:fill="FFFFFF"/>
        </w:rPr>
        <w:t>效益指标包括</w:t>
      </w:r>
      <w:r>
        <w:rPr>
          <w:rFonts w:hint="eastAsia"/>
          <w:sz w:val="28"/>
          <w:shd w:val="clear" w:color="auto" w:fill="FFFFFF"/>
          <w:lang w:val="en-US" w:eastAsia="zh-CN"/>
        </w:rPr>
        <w:t>社会</w:t>
      </w:r>
      <w:r>
        <w:rPr>
          <w:rFonts w:hint="eastAsia" w:ascii="仿宋_GB2312" w:hAnsi="仿宋_GB2312" w:eastAsia="仿宋_GB2312"/>
          <w:sz w:val="28"/>
          <w:shd w:val="clear" w:color="auto" w:fill="FFFFFF"/>
        </w:rPr>
        <w:t>效益</w:t>
      </w:r>
      <w:r>
        <w:rPr>
          <w:rFonts w:hint="eastAsia"/>
          <w:sz w:val="28"/>
          <w:shd w:val="clear" w:color="auto" w:fill="FFFFFF"/>
          <w:lang w:val="en-US" w:eastAsia="zh-CN"/>
        </w:rPr>
        <w:t>1</w:t>
      </w:r>
      <w:r>
        <w:rPr>
          <w:rFonts w:hint="eastAsia" w:ascii="仿宋_GB2312" w:hAnsi="仿宋_GB2312" w:eastAsia="仿宋_GB2312"/>
          <w:sz w:val="28"/>
          <w:shd w:val="clear" w:color="auto" w:fill="FFFFFF"/>
        </w:rPr>
        <w:t>个二级指标。总分值</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w:t>
      </w:r>
      <w:r>
        <w:rPr>
          <w:rFonts w:hint="eastAsia"/>
          <w:sz w:val="28"/>
          <w:shd w:val="clear" w:color="auto" w:fill="FFFFFF"/>
          <w:lang w:val="en-US" w:eastAsia="zh-CN"/>
        </w:rPr>
        <w:t>2</w:t>
      </w:r>
      <w:r>
        <w:rPr>
          <w:rFonts w:hint="eastAsia" w:ascii="仿宋_GB2312" w:hAnsi="仿宋_GB2312" w:eastAsia="仿宋_GB2312"/>
          <w:sz w:val="28"/>
          <w:shd w:val="clear" w:color="auto" w:fill="FFFFFF"/>
        </w:rPr>
        <w:t>0</w:t>
      </w:r>
      <w:r>
        <w:rPr>
          <w:rFonts w:ascii="仿宋_GB2312" w:hAnsi="仿宋_GB2312" w:eastAsia="仿宋_GB2312"/>
          <w:sz w:val="28"/>
          <w:shd w:val="clear" w:color="auto" w:fill="FFFFFF"/>
        </w:rPr>
        <w:t>分，得分率</w:t>
      </w:r>
      <w:r>
        <w:rPr>
          <w:rFonts w:hint="eastAsia" w:ascii="仿宋_GB2312" w:hAnsi="仿宋_GB2312" w:eastAsia="仿宋_GB2312"/>
          <w:sz w:val="28"/>
          <w:shd w:val="clear" w:color="auto" w:fill="FFFFFF"/>
        </w:rPr>
        <w:t>100</w:t>
      </w:r>
      <w:r>
        <w:rPr>
          <w:rFonts w:ascii="仿宋_GB2312" w:hAnsi="仿宋_GB2312" w:eastAsia="仿宋_GB2312"/>
          <w:sz w:val="28"/>
          <w:shd w:val="clear" w:color="auto" w:fill="FFFFFF"/>
        </w:rPr>
        <w:t>%。</w:t>
      </w:r>
    </w:p>
    <w:tbl>
      <w:tblPr>
        <w:tblStyle w:val="24"/>
        <w:tblW w:w="906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社会效益指标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有效保障审判服务</w:t>
            </w:r>
          </w:p>
        </w:tc>
        <w:tc>
          <w:tcPr>
            <w:tcW w:w="146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有效保障</w:t>
            </w:r>
          </w:p>
        </w:tc>
        <w:tc>
          <w:tcPr>
            <w:tcW w:w="1466"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w:t>
            </w:r>
          </w:p>
        </w:tc>
        <w:tc>
          <w:tcPr>
            <w:tcW w:w="717" w:type="dxa"/>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233"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20</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20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firstLine="562"/>
        <w:textAlignment w:val="auto"/>
        <w:rPr>
          <w:rFonts w:hint="eastAsia" w:hAnsi="宋体"/>
          <w:b w:val="0"/>
          <w:bCs w:val="0"/>
          <w:szCs w:val="28"/>
          <w:lang w:val="en-US" w:eastAsia="zh-CN"/>
        </w:rPr>
      </w:pPr>
      <w:r>
        <w:rPr>
          <w:rFonts w:hint="eastAsia" w:hAnsi="宋体"/>
          <w:b/>
          <w:bCs/>
          <w:szCs w:val="28"/>
          <w:lang w:val="en-US" w:eastAsia="zh-CN"/>
        </w:rPr>
        <w:t>有效保障审判服务：</w:t>
      </w:r>
      <w:r>
        <w:rPr>
          <w:rFonts w:hint="eastAsia" w:hAnsi="宋体"/>
          <w:b w:val="0"/>
          <w:bCs w:val="0"/>
          <w:szCs w:val="28"/>
          <w:lang w:val="en-US" w:eastAsia="zh-CN"/>
        </w:rPr>
        <w:t>我院积极开展法院审判工作，有效保障审判服务，达到年度指标值。该指标分值</w:t>
      </w:r>
      <w:r>
        <w:rPr>
          <w:rFonts w:hint="eastAsia" w:hAnsi="宋体"/>
          <w:b w:val="0"/>
          <w:bCs w:val="0"/>
          <w:color w:val="000000" w:themeColor="text1"/>
          <w:szCs w:val="28"/>
          <w:lang w:val="en-US" w:eastAsia="zh-CN"/>
          <w14:textFill>
            <w14:solidFill>
              <w14:schemeClr w14:val="tx1"/>
            </w14:solidFill>
          </w14:textFill>
        </w:rPr>
        <w:t>20</w:t>
      </w:r>
      <w:r>
        <w:rPr>
          <w:rFonts w:hint="eastAsia" w:hAnsi="宋体"/>
          <w:b w:val="0"/>
          <w:bCs w:val="0"/>
          <w:szCs w:val="28"/>
          <w:lang w:val="en-US" w:eastAsia="zh-CN"/>
        </w:rPr>
        <w:t>分，自评得分为</w:t>
      </w:r>
      <w:r>
        <w:rPr>
          <w:rFonts w:hint="eastAsia" w:hAnsi="宋体"/>
          <w:b w:val="0"/>
          <w:bCs w:val="0"/>
          <w:color w:val="000000" w:themeColor="text1"/>
          <w:szCs w:val="28"/>
          <w:lang w:val="en-US" w:eastAsia="zh-CN"/>
          <w14:textFill>
            <w14:solidFill>
              <w14:schemeClr w14:val="tx1"/>
            </w14:solidFill>
          </w14:textFill>
        </w:rPr>
        <w:t>20</w:t>
      </w:r>
      <w:r>
        <w:rPr>
          <w:rFonts w:hint="eastAsia" w:hAnsi="宋体"/>
          <w:b w:val="0"/>
          <w:bCs w:val="0"/>
          <w:szCs w:val="28"/>
          <w:lang w:val="en-US" w:eastAsia="zh-CN"/>
        </w:rPr>
        <w:t>分，得分率为100.00%。</w:t>
      </w:r>
    </w:p>
    <w:p>
      <w:pPr>
        <w:ind w:left="319" w:leftChars="114" w:firstLine="281" w:firstLineChars="10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（4）服务对象满意度指标</w:t>
      </w:r>
    </w:p>
    <w:p>
      <w:pPr>
        <w:pStyle w:val="46"/>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_GB2312" w:hAnsi="宋体" w:eastAsia="仿宋_GB2312" w:cstheme="minorBidi"/>
          <w:b w:val="0"/>
          <w:bCs w:val="0"/>
          <w:kern w:val="2"/>
          <w:sz w:val="28"/>
          <w:szCs w:val="28"/>
          <w:lang w:val="en-US" w:eastAsia="zh-CN" w:bidi="ar-SA"/>
        </w:rPr>
      </w:pPr>
      <w:r>
        <w:rPr>
          <w:rFonts w:hint="eastAsia" w:ascii="仿宋_GB2312" w:hAnsi="宋体" w:eastAsia="仿宋_GB2312" w:cstheme="minorBidi"/>
          <w:b w:val="0"/>
          <w:bCs w:val="0"/>
          <w:kern w:val="2"/>
          <w:sz w:val="28"/>
          <w:szCs w:val="28"/>
          <w:lang w:val="en-US" w:eastAsia="zh-CN" w:bidi="ar-SA"/>
        </w:rPr>
        <w:t>服务对象满意度指标指标根据我院向社会提供公共产品和服务的主要对象，主要考察服务群众对审判工作满意度</w:t>
      </w:r>
      <w:r>
        <w:rPr>
          <w:rFonts w:hint="eastAsia" w:hAnsi="宋体" w:cstheme="minorBidi"/>
          <w:b w:val="0"/>
          <w:bCs w:val="0"/>
          <w:kern w:val="2"/>
          <w:sz w:val="28"/>
          <w:szCs w:val="28"/>
          <w:lang w:val="en-US" w:eastAsia="zh-CN" w:bidi="ar-SA"/>
        </w:rPr>
        <w:t>、派出法庭工作人员满意度</w:t>
      </w:r>
      <w:r>
        <w:rPr>
          <w:rFonts w:hint="eastAsia" w:ascii="仿宋_GB2312" w:hAnsi="宋体" w:eastAsia="仿宋_GB2312" w:cstheme="minorBidi"/>
          <w:b w:val="0"/>
          <w:bCs w:val="0"/>
          <w:kern w:val="2"/>
          <w:sz w:val="28"/>
          <w:szCs w:val="28"/>
          <w:lang w:val="en-US" w:eastAsia="zh-CN" w:bidi="ar-SA"/>
        </w:rPr>
        <w:t>。该指标分值合计10分，自评得分10分，得分率</w:t>
      </w:r>
      <w:r>
        <w:rPr>
          <w:rFonts w:hint="eastAsia" w:hAnsi="宋体" w:cstheme="minorBidi"/>
          <w:b w:val="0"/>
          <w:bCs w:val="0"/>
          <w:kern w:val="2"/>
          <w:sz w:val="28"/>
          <w:szCs w:val="28"/>
          <w:lang w:val="en-US" w:eastAsia="zh-CN" w:bidi="ar-SA"/>
        </w:rPr>
        <w:t>100.00%</w:t>
      </w:r>
      <w:r>
        <w:rPr>
          <w:rFonts w:hint="eastAsia" w:ascii="仿宋_GB2312" w:hAnsi="宋体" w:eastAsia="仿宋_GB2312" w:cstheme="minorBidi"/>
          <w:b w:val="0"/>
          <w:bCs w:val="0"/>
          <w:kern w:val="2"/>
          <w:sz w:val="28"/>
          <w:szCs w:val="28"/>
          <w:lang w:val="en-US" w:eastAsia="zh-CN" w:bidi="ar-SA"/>
        </w:rPr>
        <w:t>。</w:t>
      </w:r>
    </w:p>
    <w:p>
      <w:pPr>
        <w:spacing w:line="121" w:lineRule="exact"/>
      </w:pPr>
    </w:p>
    <w:tbl>
      <w:tblPr>
        <w:tblStyle w:val="24"/>
        <w:tblW w:w="9069" w:type="dxa"/>
        <w:jc w:val="center"/>
        <w:tblInd w:w="0" w:type="dxa"/>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
      <w:tblGrid>
        <w:gridCol w:w="1248"/>
        <w:gridCol w:w="1845"/>
        <w:gridCol w:w="1467"/>
        <w:gridCol w:w="1466"/>
        <w:gridCol w:w="717"/>
        <w:gridCol w:w="1233"/>
        <w:gridCol w:w="1093"/>
      </w:tblGrid>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二级指标</w:t>
            </w:r>
          </w:p>
        </w:tc>
        <w:tc>
          <w:tcPr>
            <w:tcW w:w="1845"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三级指标</w:t>
            </w:r>
          </w:p>
        </w:tc>
        <w:tc>
          <w:tcPr>
            <w:tcW w:w="146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年度指标值</w:t>
            </w:r>
          </w:p>
        </w:tc>
        <w:tc>
          <w:tcPr>
            <w:tcW w:w="1466"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实际完成值</w:t>
            </w:r>
          </w:p>
        </w:tc>
        <w:tc>
          <w:tcPr>
            <w:tcW w:w="717"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分值</w:t>
            </w:r>
          </w:p>
        </w:tc>
        <w:tc>
          <w:tcPr>
            <w:tcW w:w="123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自评得分</w:t>
            </w:r>
          </w:p>
        </w:tc>
        <w:tc>
          <w:tcPr>
            <w:tcW w:w="1093" w:type="dxa"/>
            <w:shd w:val="clear" w:color="auto" w:fill="BDD6EE"/>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color w:val="000000"/>
                <w:kern w:val="0"/>
                <w:sz w:val="24"/>
                <w:highlight w:val="none"/>
              </w:rPr>
            </w:pPr>
            <w:r>
              <w:rPr>
                <w:rFonts w:hint="eastAsia" w:ascii="宋体" w:hAnsi="宋体" w:eastAsia="宋体" w:cs="宋体"/>
                <w:b/>
                <w:bCs/>
                <w:i w:val="0"/>
                <w:iCs w:val="0"/>
                <w:color w:val="000000"/>
                <w:kern w:val="0"/>
                <w:sz w:val="24"/>
                <w:szCs w:val="24"/>
                <w:u w:val="none"/>
                <w:lang w:val="en-US" w:eastAsia="zh-CN" w:bidi="ar"/>
              </w:rPr>
              <w:t>得分率</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restart"/>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服务对象满意度指标</w:t>
            </w: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服务群众对审批工作满意度</w:t>
            </w:r>
          </w:p>
        </w:tc>
        <w:tc>
          <w:tcPr>
            <w:tcW w:w="146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333333"/>
                <w:kern w:val="0"/>
                <w:sz w:val="20"/>
                <w:szCs w:val="20"/>
                <w:u w:val="none"/>
                <w:lang w:val="en-US" w:eastAsia="zh-CN" w:bidi="ar"/>
              </w:rPr>
              <w:t>92%</w:t>
            </w:r>
          </w:p>
        </w:tc>
        <w:tc>
          <w:tcPr>
            <w:tcW w:w="717" w:type="dxa"/>
            <w:vAlign w:val="center"/>
          </w:tcPr>
          <w:p>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firstLine="400" w:firstLineChars="200"/>
              <w:jc w:val="center"/>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color w:val="000000"/>
                <w:kern w:val="0"/>
                <w:sz w:val="22"/>
                <w:szCs w:val="22"/>
                <w:highlight w:val="none"/>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vMerge w:val="continue"/>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4"/>
                <w:szCs w:val="24"/>
                <w:u w:val="none"/>
                <w:lang w:val="en-US" w:eastAsia="zh-CN" w:bidi="ar"/>
              </w:rPr>
            </w:pPr>
          </w:p>
        </w:tc>
        <w:tc>
          <w:tcPr>
            <w:tcW w:w="1845"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派出法庭工作人员满意度</w:t>
            </w:r>
          </w:p>
        </w:tc>
        <w:tc>
          <w:tcPr>
            <w:tcW w:w="146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&gt;=90%</w:t>
            </w:r>
          </w:p>
        </w:tc>
        <w:tc>
          <w:tcPr>
            <w:tcW w:w="1466"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95%</w:t>
            </w:r>
          </w:p>
        </w:tc>
        <w:tc>
          <w:tcPr>
            <w:tcW w:w="717"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233" w:type="dxa"/>
            <w:vAlign w:val="center"/>
          </w:tcPr>
          <w:p>
            <w:pPr>
              <w:keepNext w:val="0"/>
              <w:keepLines w:val="0"/>
              <w:widowControl/>
              <w:suppressLineNumbers w:val="0"/>
              <w:ind w:firstLine="400" w:firstLineChars="200"/>
              <w:jc w:val="center"/>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5</w:t>
            </w:r>
          </w:p>
        </w:tc>
        <w:tc>
          <w:tcPr>
            <w:tcW w:w="1093" w:type="dxa"/>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333333"/>
                <w:kern w:val="0"/>
                <w:sz w:val="20"/>
                <w:szCs w:val="20"/>
                <w:u w:val="none"/>
                <w:lang w:val="en-US" w:eastAsia="zh-CN" w:bidi="ar"/>
              </w:rPr>
            </w:pPr>
            <w:r>
              <w:rPr>
                <w:rFonts w:hint="eastAsia" w:ascii="宋体" w:hAnsi="宋体" w:eastAsia="宋体" w:cs="宋体"/>
                <w:i w:val="0"/>
                <w:iCs w:val="0"/>
                <w:color w:val="333333"/>
                <w:kern w:val="0"/>
                <w:sz w:val="20"/>
                <w:szCs w:val="20"/>
                <w:u w:val="none"/>
                <w:lang w:val="en-US" w:eastAsia="zh-CN" w:bidi="ar"/>
              </w:rPr>
              <w:t>100.00%</w:t>
            </w:r>
          </w:p>
        </w:tc>
      </w:tr>
      <w:tr>
        <w:tblPrEx>
          <w:tblBorders>
            <w:top w:val="single" w:color="auto" w:sz="12" w:space="0"/>
            <w:left w:val="none" w:color="auto" w:sz="0" w:space="0"/>
            <w:bottom w:val="single" w:color="auto" w:sz="12" w:space="0"/>
            <w:right w:val="none" w:color="auto" w:sz="0" w:space="0"/>
            <w:insideH w:val="dotted" w:color="auto" w:sz="4" w:space="0"/>
            <w:insideV w:val="dotted" w:color="auto" w:sz="4" w:space="0"/>
          </w:tblBorders>
          <w:tblLayout w:type="fixed"/>
          <w:tblCellMar>
            <w:top w:w="0" w:type="dxa"/>
            <w:left w:w="108" w:type="dxa"/>
            <w:bottom w:w="0" w:type="dxa"/>
            <w:right w:w="108" w:type="dxa"/>
          </w:tblCellMar>
        </w:tblPrEx>
        <w:trPr>
          <w:cantSplit/>
          <w:trHeight w:val="397" w:hRule="atLeast"/>
          <w:tblHeader/>
          <w:jc w:val="center"/>
        </w:trPr>
        <w:tc>
          <w:tcPr>
            <w:tcW w:w="1248" w:type="dxa"/>
            <w:shd w:val="clear" w:color="auto" w:fill="BDD6EE"/>
            <w:vAlign w:val="center"/>
          </w:tcPr>
          <w:p>
            <w:pPr>
              <w:keepNext w:val="0"/>
              <w:keepLines w:val="0"/>
              <w:widowControl/>
              <w:suppressLineNumbers w:val="0"/>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合计</w:t>
            </w:r>
          </w:p>
        </w:tc>
        <w:tc>
          <w:tcPr>
            <w:tcW w:w="1845"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1466"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firstLine="442" w:firstLineChars="200"/>
              <w:jc w:val="center"/>
              <w:textAlignment w:val="center"/>
              <w:rPr>
                <w:rFonts w:hint="eastAsia" w:ascii="宋体" w:hAnsi="宋体" w:eastAsia="宋体" w:cs="宋体"/>
                <w:b/>
                <w:color w:val="000000"/>
                <w:kern w:val="0"/>
                <w:sz w:val="22"/>
                <w:szCs w:val="22"/>
                <w:highlight w:val="none"/>
                <w:lang w:val="en-US" w:eastAsia="zh-CN" w:bidi="ar-SA"/>
              </w:rPr>
            </w:pPr>
          </w:p>
        </w:tc>
        <w:tc>
          <w:tcPr>
            <w:tcW w:w="717"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23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center"/>
              <w:textAlignment w:val="center"/>
              <w:rPr>
                <w:rFonts w:hint="default" w:ascii="宋体" w:hAnsi="宋体" w:eastAsia="宋体" w:cs="宋体"/>
                <w:b/>
                <w:color w:val="000000"/>
                <w:kern w:val="0"/>
                <w:sz w:val="22"/>
                <w:szCs w:val="22"/>
                <w:highlight w:val="none"/>
                <w:lang w:val="en-US" w:eastAsia="zh-CN" w:bidi="ar-SA"/>
              </w:rPr>
            </w:pPr>
            <w:r>
              <w:rPr>
                <w:rFonts w:hint="eastAsia" w:ascii="宋体" w:hAnsi="宋体" w:eastAsia="宋体" w:cs="宋体"/>
                <w:b/>
                <w:color w:val="000000"/>
                <w:kern w:val="0"/>
                <w:sz w:val="22"/>
                <w:szCs w:val="22"/>
                <w:highlight w:val="none"/>
                <w:lang w:val="en-US" w:eastAsia="zh-CN" w:bidi="ar-SA"/>
              </w:rPr>
              <w:t>10</w:t>
            </w:r>
          </w:p>
        </w:tc>
        <w:tc>
          <w:tcPr>
            <w:tcW w:w="1093" w:type="dxa"/>
            <w:shd w:val="clear" w:color="auto" w:fill="BDD6EE"/>
            <w:vAlign w:val="center"/>
          </w:tcPr>
          <w:p>
            <w:pPr>
              <w:keepNext w:val="0"/>
              <w:keepLines w:val="0"/>
              <w:pageBreakBefore w:val="0"/>
              <w:widowControl/>
              <w:suppressLineNumbers w:val="0"/>
              <w:kinsoku/>
              <w:wordWrap/>
              <w:overflowPunct/>
              <w:topLinePunct w:val="0"/>
              <w:autoSpaceDE/>
              <w:autoSpaceDN/>
              <w:bidi w:val="0"/>
              <w:adjustRightInd/>
              <w:snapToGrid/>
              <w:ind w:left="0" w:leftChars="0" w:firstLine="0" w:firstLineChars="0"/>
              <w:jc w:val="both"/>
              <w:textAlignment w:val="center"/>
              <w:rPr>
                <w:rFonts w:hint="eastAsia" w:ascii="宋体" w:hAnsi="宋体" w:eastAsia="宋体" w:cs="宋体"/>
                <w:kern w:val="0"/>
                <w:sz w:val="22"/>
                <w:szCs w:val="22"/>
                <w:highlight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100.00%</w:t>
            </w:r>
          </w:p>
        </w:tc>
      </w:tr>
    </w:tbl>
    <w:p>
      <w:pPr>
        <w:keepNext w:val="0"/>
        <w:keepLines w:val="0"/>
        <w:pageBreakBefore w:val="0"/>
        <w:widowControl w:val="0"/>
        <w:kinsoku/>
        <w:wordWrap/>
        <w:overflowPunct/>
        <w:topLinePunct w:val="0"/>
        <w:autoSpaceDE/>
        <w:autoSpaceDN/>
        <w:bidi w:val="0"/>
        <w:adjustRightInd/>
        <w:snapToGrid/>
        <w:ind w:left="0" w:leftChars="0" w:firstLine="562" w:firstLineChars="200"/>
        <w:jc w:val="both"/>
        <w:textAlignment w:val="auto"/>
        <w:rPr>
          <w:rFonts w:hint="eastAsia"/>
        </w:rPr>
      </w:pPr>
      <w:r>
        <w:rPr>
          <w:rFonts w:hint="eastAsia" w:ascii="仿宋_GB2312" w:hAnsi="仿宋_GB2312" w:eastAsia="仿宋_GB2312" w:cs="仿宋_GB2312"/>
          <w:b/>
          <w:bCs/>
          <w:sz w:val="28"/>
          <w:szCs w:val="28"/>
          <w:lang w:val="en-US" w:eastAsia="zh-CN"/>
        </w:rPr>
        <w:t>服务群众对审判工作满意度</w:t>
      </w:r>
      <w:r>
        <w:rPr>
          <w:rFonts w:hint="eastAsia" w:ascii="仿宋_GB2312" w:hAnsi="仿宋_GB2312" w:eastAsia="仿宋_GB2312" w:cs="仿宋_GB2312"/>
          <w:b/>
          <w:bCs/>
          <w:sz w:val="28"/>
          <w:szCs w:val="28"/>
        </w:rPr>
        <w:t>：</w:t>
      </w:r>
      <w:r>
        <w:rPr>
          <w:rFonts w:hint="eastAsia"/>
        </w:rPr>
        <w:t>我院依法审理各类案件，妥善化解矛盾纠纷和行政争议，维护了法院审判工作的有序开展，积极保障人民群众生命财产安全，</w:t>
      </w:r>
      <w:r>
        <w:rPr>
          <w:rFonts w:hint="eastAsia"/>
          <w:lang w:val="en-US" w:eastAsia="zh-CN"/>
        </w:rPr>
        <w:t>服务群众对审判工作满意度92%，达到目标值。</w:t>
      </w:r>
      <w:r>
        <w:rPr>
          <w:rFonts w:hint="eastAsia"/>
        </w:rPr>
        <w:t>该指标分值</w:t>
      </w:r>
      <w:r>
        <w:rPr>
          <w:rFonts w:hint="eastAsia"/>
          <w:lang w:val="en-US" w:eastAsia="zh-CN"/>
        </w:rPr>
        <w:t>5</w:t>
      </w:r>
      <w:r>
        <w:rPr>
          <w:rFonts w:hint="eastAsia"/>
        </w:rPr>
        <w:t>分，自评得分</w:t>
      </w:r>
      <w:r>
        <w:rPr>
          <w:rFonts w:hint="eastAsia"/>
          <w:lang w:val="en-US" w:eastAsia="zh-CN"/>
        </w:rPr>
        <w:t>5</w:t>
      </w:r>
      <w:r>
        <w:rPr>
          <w:rFonts w:hint="eastAsia"/>
        </w:rPr>
        <w:t>分，得分率</w:t>
      </w:r>
      <w:r>
        <w:rPr>
          <w:rFonts w:hint="eastAsia"/>
          <w:lang w:eastAsia="zh-CN"/>
        </w:rPr>
        <w:t>100.00%</w:t>
      </w:r>
      <w:r>
        <w:rPr>
          <w:rFonts w:hint="eastAsia"/>
        </w:rPr>
        <w:t>。</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派出法庭工作人员满意度</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我院</w:t>
      </w:r>
      <w:r>
        <w:rPr>
          <w:rFonts w:hint="eastAsia" w:cs="仿宋_GB2312"/>
          <w:sz w:val="28"/>
          <w:szCs w:val="28"/>
          <w:lang w:val="en-US" w:eastAsia="zh-CN"/>
        </w:rPr>
        <w:t>2023年度</w:t>
      </w:r>
      <w:r>
        <w:rPr>
          <w:rFonts w:hint="eastAsia" w:ascii="仿宋_GB2312" w:hAnsi="仿宋_GB2312" w:eastAsia="仿宋_GB2312" w:cs="仿宋_GB2312"/>
          <w:color w:val="auto"/>
          <w:sz w:val="28"/>
          <w:szCs w:val="28"/>
        </w:rPr>
        <w:t>各项办案质效不断提升，</w:t>
      </w:r>
      <w:r>
        <w:rPr>
          <w:rFonts w:hint="eastAsia" w:ascii="仿宋_GB2312" w:hAnsi="仿宋_GB2312" w:eastAsia="仿宋_GB2312" w:cs="仿宋_GB2312"/>
          <w:sz w:val="28"/>
          <w:szCs w:val="28"/>
          <w:lang w:val="en-US" w:eastAsia="zh-CN"/>
        </w:rPr>
        <w:t>派出法庭工作人员满意度达到9</w:t>
      </w:r>
      <w:r>
        <w:rPr>
          <w:rFonts w:hint="eastAsia" w:cs="仿宋_GB2312"/>
          <w:sz w:val="28"/>
          <w:szCs w:val="28"/>
          <w:lang w:val="en-US" w:eastAsia="zh-CN"/>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年度目标值</w:t>
      </w:r>
      <w:r>
        <w:rPr>
          <w:rFonts w:hint="eastAsia" w:cs="仿宋_GB2312"/>
          <w:sz w:val="28"/>
          <w:szCs w:val="28"/>
          <w:lang w:eastAsia="zh-CN"/>
        </w:rPr>
        <w:t>为大于等于</w:t>
      </w:r>
      <w:r>
        <w:rPr>
          <w:rFonts w:hint="eastAsia" w:cs="仿宋_GB2312"/>
          <w:sz w:val="28"/>
          <w:szCs w:val="28"/>
          <w:lang w:val="en-US" w:eastAsia="zh-CN"/>
        </w:rPr>
        <w:t>90%，</w:t>
      </w:r>
      <w:r>
        <w:rPr>
          <w:rFonts w:hint="eastAsia" w:ascii="仿宋_GB2312" w:hAnsi="仿宋_GB2312" w:eastAsia="仿宋_GB2312" w:cs="仿宋_GB2312"/>
          <w:sz w:val="28"/>
          <w:szCs w:val="28"/>
        </w:rPr>
        <w:t>该指标分值</w:t>
      </w:r>
      <w:r>
        <w:rPr>
          <w:rFonts w:hint="eastAsia" w:cs="仿宋_GB2312"/>
          <w:sz w:val="28"/>
          <w:szCs w:val="28"/>
          <w:lang w:val="en-US" w:eastAsia="zh-CN"/>
        </w:rPr>
        <w:t>5</w:t>
      </w:r>
      <w:r>
        <w:rPr>
          <w:rFonts w:hint="eastAsia" w:ascii="仿宋_GB2312" w:hAnsi="仿宋_GB2312" w:eastAsia="仿宋_GB2312" w:cs="仿宋_GB2312"/>
          <w:sz w:val="28"/>
          <w:szCs w:val="28"/>
        </w:rPr>
        <w:t>分，自评得分</w:t>
      </w:r>
      <w:r>
        <w:rPr>
          <w:rFonts w:hint="eastAsia" w:cs="仿宋_GB2312"/>
          <w:sz w:val="28"/>
          <w:szCs w:val="28"/>
          <w:lang w:val="en-US" w:eastAsia="zh-CN"/>
        </w:rPr>
        <w:t>5</w:t>
      </w:r>
      <w:r>
        <w:rPr>
          <w:rFonts w:hint="eastAsia" w:ascii="仿宋_GB2312" w:hAnsi="仿宋_GB2312" w:eastAsia="仿宋_GB2312" w:cs="仿宋_GB2312"/>
          <w:sz w:val="28"/>
          <w:szCs w:val="28"/>
        </w:rPr>
        <w:t>分，得分率</w:t>
      </w:r>
      <w:r>
        <w:rPr>
          <w:rFonts w:hint="eastAsia" w:cs="仿宋_GB2312"/>
          <w:sz w:val="28"/>
          <w:szCs w:val="28"/>
          <w:lang w:eastAsia="zh-CN"/>
        </w:rPr>
        <w:t>100.00%</w:t>
      </w:r>
      <w:r>
        <w:rPr>
          <w:rFonts w:hint="eastAsia" w:ascii="仿宋_GB2312" w:hAnsi="仿宋_GB2312" w:eastAsia="仿宋_GB2312" w:cs="仿宋_GB2312"/>
          <w:sz w:val="28"/>
          <w:szCs w:val="28"/>
        </w:rPr>
        <w:t>。</w:t>
      </w:r>
    </w:p>
    <w:p>
      <w:pPr>
        <w:pStyle w:val="4"/>
        <w:bidi w:val="0"/>
      </w:pPr>
      <w:r>
        <w:t>4、偏离绩效目标的原因及下一步改进措施</w:t>
      </w:r>
    </w:p>
    <w:p>
      <w:pPr>
        <w:keepNext w:val="0"/>
        <w:keepLines w:val="0"/>
        <w:pageBreakBefore w:val="0"/>
        <w:widowControl w:val="0"/>
        <w:kinsoku/>
        <w:wordWrap/>
        <w:overflowPunct/>
        <w:topLinePunct w:val="0"/>
        <w:autoSpaceDE/>
        <w:autoSpaceDN/>
        <w:bidi w:val="0"/>
        <w:adjustRightInd/>
        <w:snapToGrid/>
        <w:ind w:firstLine="560"/>
        <w:jc w:val="both"/>
        <w:textAlignment w:val="auto"/>
        <w:rPr>
          <w:rFonts w:hint="eastAsia" w:ascii="仿宋_GB2312" w:hAnsi="仿宋_GB2312" w:eastAsia="仿宋_GB2312" w:cs="仿宋_GB2312"/>
          <w:color w:val="auto"/>
          <w:kern w:val="2"/>
          <w:sz w:val="28"/>
          <w:szCs w:val="28"/>
          <w:lang w:val="en-US" w:eastAsia="zh-CN" w:bidi="ar-SA"/>
        </w:rPr>
      </w:pPr>
      <w:r>
        <w:rPr>
          <w:rFonts w:hint="eastAsia" w:cs="仿宋_GB2312"/>
          <w:color w:val="auto"/>
          <w:kern w:val="2"/>
          <w:sz w:val="28"/>
          <w:szCs w:val="28"/>
          <w:lang w:val="en-US" w:eastAsia="zh-CN" w:bidi="ar-SA"/>
        </w:rPr>
        <w:t>无</w:t>
      </w:r>
    </w:p>
    <w:bookmarkEnd w:id="61"/>
    <w:bookmarkEnd w:id="62"/>
    <w:bookmarkEnd w:id="63"/>
    <w:bookmarkEnd w:id="64"/>
    <w:bookmarkEnd w:id="65"/>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69" w:name="_Toc6252"/>
      <w:bookmarkStart w:id="70" w:name="_Toc26665"/>
      <w:bookmarkStart w:id="71" w:name="_Toc32543"/>
      <w:bookmarkStart w:id="72" w:name="_Toc20584"/>
      <w:r>
        <w:rPr>
          <w:rFonts w:hint="eastAsia"/>
          <w:lang w:val="en-US" w:eastAsia="zh-CN"/>
        </w:rPr>
        <w:t>五、绩效自评结果拟应用和公开情况</w:t>
      </w:r>
      <w:bookmarkEnd w:id="66"/>
      <w:bookmarkEnd w:id="67"/>
      <w:bookmarkEnd w:id="69"/>
      <w:bookmarkEnd w:id="70"/>
      <w:bookmarkEnd w:id="71"/>
      <w:bookmarkEnd w:id="72"/>
    </w:p>
    <w:p>
      <w:pPr>
        <w:keepNext w:val="0"/>
        <w:keepLines w:val="0"/>
        <w:pageBreakBefore w:val="0"/>
        <w:widowControl/>
        <w:kinsoku/>
        <w:wordWrap/>
        <w:overflowPunct/>
        <w:topLinePunct w:val="0"/>
        <w:autoSpaceDE/>
        <w:autoSpaceDN/>
        <w:bidi w:val="0"/>
        <w:adjustRightInd/>
        <w:snapToGrid/>
        <w:ind w:firstLine="560"/>
        <w:jc w:val="both"/>
        <w:textAlignment w:val="auto"/>
        <w:rPr>
          <w:rFonts w:hAnsi="宋体"/>
          <w:szCs w:val="28"/>
        </w:rPr>
      </w:pPr>
      <w:r>
        <w:rPr>
          <w:rFonts w:hint="eastAsia" w:hAnsi="宋体"/>
          <w:szCs w:val="28"/>
        </w:rPr>
        <w:t>绩效自评结果的应用是部门完善政策和改进管理的重要依据，部门要加强评价结果的应用。根据政策文件规定，我院绩效自评结果将编入</w:t>
      </w:r>
      <w:r>
        <w:rPr>
          <w:rFonts w:hint="eastAsia" w:hAnsi="宋体"/>
          <w:szCs w:val="28"/>
          <w:lang w:eastAsia="zh-CN"/>
        </w:rPr>
        <w:t>2023年度</w:t>
      </w:r>
      <w:r>
        <w:rPr>
          <w:rFonts w:hint="eastAsia" w:hAnsi="宋体"/>
          <w:szCs w:val="28"/>
        </w:rPr>
        <w:t>决算中，随同</w:t>
      </w:r>
      <w:r>
        <w:rPr>
          <w:rFonts w:hint="eastAsia" w:hAnsi="宋体"/>
          <w:szCs w:val="28"/>
          <w:lang w:eastAsia="zh-CN"/>
        </w:rPr>
        <w:t>2023年度</w:t>
      </w:r>
      <w:r>
        <w:rPr>
          <w:rFonts w:hint="eastAsia" w:hAnsi="宋体"/>
          <w:szCs w:val="28"/>
        </w:rPr>
        <w:t>部门决算同步公开。</w:t>
      </w:r>
    </w:p>
    <w:p>
      <w:pPr>
        <w:pStyle w:val="2"/>
        <w:keepNext/>
        <w:keepLines/>
        <w:pageBreakBefore w:val="0"/>
        <w:widowControl w:val="0"/>
        <w:kinsoku/>
        <w:wordWrap/>
        <w:overflowPunct/>
        <w:topLinePunct w:val="0"/>
        <w:autoSpaceDE/>
        <w:autoSpaceDN/>
        <w:bidi w:val="0"/>
        <w:adjustRightInd/>
        <w:snapToGrid/>
        <w:spacing w:before="0" w:after="0"/>
        <w:textAlignment w:val="auto"/>
        <w:rPr>
          <w:rFonts w:hint="eastAsia"/>
          <w:lang w:val="en-US" w:eastAsia="zh-CN"/>
        </w:rPr>
      </w:pPr>
      <w:bookmarkStart w:id="73" w:name="_Toc17181"/>
      <w:bookmarkStart w:id="74" w:name="_Toc4491"/>
      <w:bookmarkStart w:id="75" w:name="_Toc21490"/>
      <w:bookmarkStart w:id="76" w:name="_Toc6781"/>
      <w:bookmarkStart w:id="77" w:name="_Toc40046066"/>
      <w:bookmarkStart w:id="78" w:name="_Toc5499"/>
      <w:r>
        <w:rPr>
          <w:rFonts w:hint="eastAsia"/>
          <w:lang w:val="en-US" w:eastAsia="zh-CN"/>
        </w:rPr>
        <w:t>六、其他需要说明的问题</w:t>
      </w:r>
      <w:bookmarkEnd w:id="73"/>
      <w:bookmarkEnd w:id="74"/>
      <w:bookmarkEnd w:id="75"/>
      <w:bookmarkEnd w:id="76"/>
      <w:bookmarkEnd w:id="77"/>
      <w:bookmarkEnd w:id="78"/>
    </w:p>
    <w:p>
      <w:pPr>
        <w:keepNext w:val="0"/>
        <w:keepLines w:val="0"/>
        <w:pageBreakBefore w:val="0"/>
        <w:widowControl/>
        <w:kinsoku/>
        <w:wordWrap/>
        <w:overflowPunct/>
        <w:topLinePunct w:val="0"/>
        <w:autoSpaceDE/>
        <w:autoSpaceDN/>
        <w:bidi w:val="0"/>
        <w:adjustRightInd/>
        <w:snapToGrid/>
        <w:ind w:firstLine="560"/>
        <w:jc w:val="both"/>
        <w:textAlignment w:val="auto"/>
      </w:pPr>
      <w:r>
        <w:rPr>
          <w:rFonts w:hint="eastAsia" w:hAnsi="宋体"/>
          <w:szCs w:val="28"/>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8059213"/>
    </w:sdtPr>
    <w:sdtContent>
      <w:p>
        <w:pPr>
          <w:pStyle w:val="15"/>
          <w:ind w:firstLine="360"/>
          <w:jc w:val="center"/>
        </w:pPr>
        <w:r>
          <w:fldChar w:fldCharType="begin"/>
        </w:r>
        <w:r>
          <w:instrText xml:space="preserve">PAGE   \* MERGEFORMAT</w:instrText>
        </w:r>
        <w:r>
          <w:fldChar w:fldCharType="separate"/>
        </w:r>
        <w:r>
          <w:rPr>
            <w:lang w:val="zh-CN"/>
          </w:rPr>
          <w:t>2</w:t>
        </w:r>
        <w:r>
          <w:fldChar w:fldCharType="end"/>
        </w:r>
      </w:p>
    </w:sdtContent>
  </w:sdt>
  <w:p>
    <w:pPr>
      <w:pStyle w:val="1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1D3CA2"/>
    <w:multiLevelType w:val="singleLevel"/>
    <w:tmpl w:val="BF1D3CA2"/>
    <w:lvl w:ilvl="0" w:tentative="0">
      <w:start w:val="2"/>
      <w:numFmt w:val="decimal"/>
      <w:suff w:val="nothing"/>
      <w:lvlText w:val="（%1）"/>
      <w:lvlJc w:val="left"/>
      <w:pPr>
        <w:ind w:left="-2"/>
      </w:pPr>
    </w:lvl>
  </w:abstractNum>
  <w:abstractNum w:abstractNumId="1">
    <w:nsid w:val="E3209D48"/>
    <w:multiLevelType w:val="singleLevel"/>
    <w:tmpl w:val="E3209D48"/>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zYWI3NGMzOGI4OTg3ZjFjNDYyYmI2NzQ1ZTNhYWEifQ=="/>
  </w:docVars>
  <w:rsids>
    <w:rsidRoot w:val="00172A27"/>
    <w:rsid w:val="00001220"/>
    <w:rsid w:val="000018E7"/>
    <w:rsid w:val="00011E89"/>
    <w:rsid w:val="00015C18"/>
    <w:rsid w:val="00021C2D"/>
    <w:rsid w:val="0002281D"/>
    <w:rsid w:val="00026B98"/>
    <w:rsid w:val="0002731E"/>
    <w:rsid w:val="00030A60"/>
    <w:rsid w:val="000421EC"/>
    <w:rsid w:val="00042353"/>
    <w:rsid w:val="0004248D"/>
    <w:rsid w:val="00044C91"/>
    <w:rsid w:val="000453DB"/>
    <w:rsid w:val="00050120"/>
    <w:rsid w:val="000508F8"/>
    <w:rsid w:val="00051A03"/>
    <w:rsid w:val="00052A18"/>
    <w:rsid w:val="000578E8"/>
    <w:rsid w:val="00057E84"/>
    <w:rsid w:val="00061833"/>
    <w:rsid w:val="00062D5D"/>
    <w:rsid w:val="0006376F"/>
    <w:rsid w:val="000639A6"/>
    <w:rsid w:val="0006593A"/>
    <w:rsid w:val="000670F2"/>
    <w:rsid w:val="0006765C"/>
    <w:rsid w:val="00070F2A"/>
    <w:rsid w:val="00071C48"/>
    <w:rsid w:val="00074885"/>
    <w:rsid w:val="00075C51"/>
    <w:rsid w:val="00075EFB"/>
    <w:rsid w:val="000846DD"/>
    <w:rsid w:val="00085481"/>
    <w:rsid w:val="00094E9D"/>
    <w:rsid w:val="000955EC"/>
    <w:rsid w:val="0009668A"/>
    <w:rsid w:val="000A0A51"/>
    <w:rsid w:val="000A57E0"/>
    <w:rsid w:val="000A5D46"/>
    <w:rsid w:val="000A6007"/>
    <w:rsid w:val="000A66CD"/>
    <w:rsid w:val="000B01A8"/>
    <w:rsid w:val="000B1A30"/>
    <w:rsid w:val="000B1FB4"/>
    <w:rsid w:val="000B68FD"/>
    <w:rsid w:val="000B791F"/>
    <w:rsid w:val="000C27EE"/>
    <w:rsid w:val="000C3048"/>
    <w:rsid w:val="000C3B2A"/>
    <w:rsid w:val="000C4AA0"/>
    <w:rsid w:val="000C5053"/>
    <w:rsid w:val="000C7790"/>
    <w:rsid w:val="000D0995"/>
    <w:rsid w:val="000D1BB6"/>
    <w:rsid w:val="000D228A"/>
    <w:rsid w:val="000D22CC"/>
    <w:rsid w:val="000D274B"/>
    <w:rsid w:val="000D53C1"/>
    <w:rsid w:val="000E2285"/>
    <w:rsid w:val="000E34DC"/>
    <w:rsid w:val="000E37E8"/>
    <w:rsid w:val="000E6E6C"/>
    <w:rsid w:val="000F0314"/>
    <w:rsid w:val="000F1E58"/>
    <w:rsid w:val="000F3CD2"/>
    <w:rsid w:val="000F3F1B"/>
    <w:rsid w:val="000F61A5"/>
    <w:rsid w:val="0010214F"/>
    <w:rsid w:val="0011122C"/>
    <w:rsid w:val="0011136E"/>
    <w:rsid w:val="001122B4"/>
    <w:rsid w:val="00112A98"/>
    <w:rsid w:val="00113E82"/>
    <w:rsid w:val="0011415E"/>
    <w:rsid w:val="00116A7E"/>
    <w:rsid w:val="00127EC6"/>
    <w:rsid w:val="001317A2"/>
    <w:rsid w:val="00132865"/>
    <w:rsid w:val="00132B05"/>
    <w:rsid w:val="001355FA"/>
    <w:rsid w:val="00136178"/>
    <w:rsid w:val="001416C7"/>
    <w:rsid w:val="00146829"/>
    <w:rsid w:val="00151D5C"/>
    <w:rsid w:val="00153BF6"/>
    <w:rsid w:val="001638F2"/>
    <w:rsid w:val="00163F5A"/>
    <w:rsid w:val="0016405A"/>
    <w:rsid w:val="001641ED"/>
    <w:rsid w:val="00164FA3"/>
    <w:rsid w:val="001650B3"/>
    <w:rsid w:val="00165504"/>
    <w:rsid w:val="00167955"/>
    <w:rsid w:val="00170518"/>
    <w:rsid w:val="0017060C"/>
    <w:rsid w:val="00171E2B"/>
    <w:rsid w:val="00172011"/>
    <w:rsid w:val="00172A27"/>
    <w:rsid w:val="0017370F"/>
    <w:rsid w:val="0017485C"/>
    <w:rsid w:val="0017706A"/>
    <w:rsid w:val="00182812"/>
    <w:rsid w:val="00183DE1"/>
    <w:rsid w:val="00186986"/>
    <w:rsid w:val="00186E2D"/>
    <w:rsid w:val="001978BF"/>
    <w:rsid w:val="00197986"/>
    <w:rsid w:val="001A0C07"/>
    <w:rsid w:val="001A2AD5"/>
    <w:rsid w:val="001A5729"/>
    <w:rsid w:val="001A5FBA"/>
    <w:rsid w:val="001A62D9"/>
    <w:rsid w:val="001A7026"/>
    <w:rsid w:val="001B2602"/>
    <w:rsid w:val="001B2689"/>
    <w:rsid w:val="001B780F"/>
    <w:rsid w:val="001B7F3F"/>
    <w:rsid w:val="001C3244"/>
    <w:rsid w:val="001C5292"/>
    <w:rsid w:val="001D06F7"/>
    <w:rsid w:val="001D0796"/>
    <w:rsid w:val="001D0C2E"/>
    <w:rsid w:val="001D1D2B"/>
    <w:rsid w:val="001E286D"/>
    <w:rsid w:val="001E4502"/>
    <w:rsid w:val="001F0586"/>
    <w:rsid w:val="001F0AAA"/>
    <w:rsid w:val="001F0E91"/>
    <w:rsid w:val="001F42CB"/>
    <w:rsid w:val="001F4E60"/>
    <w:rsid w:val="001F5079"/>
    <w:rsid w:val="001F7F88"/>
    <w:rsid w:val="00210C20"/>
    <w:rsid w:val="00211FDC"/>
    <w:rsid w:val="002136B8"/>
    <w:rsid w:val="00213991"/>
    <w:rsid w:val="00214A99"/>
    <w:rsid w:val="00214B82"/>
    <w:rsid w:val="00214BD7"/>
    <w:rsid w:val="00216F1A"/>
    <w:rsid w:val="00217B9E"/>
    <w:rsid w:val="00220973"/>
    <w:rsid w:val="00220FB5"/>
    <w:rsid w:val="0022251E"/>
    <w:rsid w:val="002238E6"/>
    <w:rsid w:val="00227184"/>
    <w:rsid w:val="00227B71"/>
    <w:rsid w:val="00227D63"/>
    <w:rsid w:val="00232ED7"/>
    <w:rsid w:val="00236C52"/>
    <w:rsid w:val="00236ED2"/>
    <w:rsid w:val="00241EBF"/>
    <w:rsid w:val="00242934"/>
    <w:rsid w:val="00251B45"/>
    <w:rsid w:val="0025236B"/>
    <w:rsid w:val="00252DBA"/>
    <w:rsid w:val="00253CB1"/>
    <w:rsid w:val="002544CC"/>
    <w:rsid w:val="002617E4"/>
    <w:rsid w:val="00262B43"/>
    <w:rsid w:val="0026306D"/>
    <w:rsid w:val="00265187"/>
    <w:rsid w:val="002667D4"/>
    <w:rsid w:val="00270726"/>
    <w:rsid w:val="002709D3"/>
    <w:rsid w:val="002726F7"/>
    <w:rsid w:val="00293B67"/>
    <w:rsid w:val="00297D07"/>
    <w:rsid w:val="002A0425"/>
    <w:rsid w:val="002A2B4C"/>
    <w:rsid w:val="002A2CE3"/>
    <w:rsid w:val="002A3228"/>
    <w:rsid w:val="002A4AEB"/>
    <w:rsid w:val="002A4C84"/>
    <w:rsid w:val="002A62A1"/>
    <w:rsid w:val="002A68A1"/>
    <w:rsid w:val="002B2949"/>
    <w:rsid w:val="002B4813"/>
    <w:rsid w:val="002B522C"/>
    <w:rsid w:val="002B54FA"/>
    <w:rsid w:val="002B6D76"/>
    <w:rsid w:val="002B7483"/>
    <w:rsid w:val="002C4C48"/>
    <w:rsid w:val="002C69AF"/>
    <w:rsid w:val="002C705C"/>
    <w:rsid w:val="002D3384"/>
    <w:rsid w:val="002D713D"/>
    <w:rsid w:val="002D7C6F"/>
    <w:rsid w:val="002E30F2"/>
    <w:rsid w:val="002E35A8"/>
    <w:rsid w:val="002E5F4C"/>
    <w:rsid w:val="002F102A"/>
    <w:rsid w:val="002F258F"/>
    <w:rsid w:val="002F28FB"/>
    <w:rsid w:val="002F49DB"/>
    <w:rsid w:val="002F614B"/>
    <w:rsid w:val="002F69BB"/>
    <w:rsid w:val="003001C4"/>
    <w:rsid w:val="00303027"/>
    <w:rsid w:val="003031D7"/>
    <w:rsid w:val="00304BDE"/>
    <w:rsid w:val="0030548E"/>
    <w:rsid w:val="003132C4"/>
    <w:rsid w:val="00313B92"/>
    <w:rsid w:val="00316876"/>
    <w:rsid w:val="003168FF"/>
    <w:rsid w:val="0031784F"/>
    <w:rsid w:val="00321DE0"/>
    <w:rsid w:val="00323410"/>
    <w:rsid w:val="00323BFC"/>
    <w:rsid w:val="0032574A"/>
    <w:rsid w:val="00327301"/>
    <w:rsid w:val="0032797F"/>
    <w:rsid w:val="00330ECF"/>
    <w:rsid w:val="0033476A"/>
    <w:rsid w:val="00335E92"/>
    <w:rsid w:val="003377C6"/>
    <w:rsid w:val="003405E3"/>
    <w:rsid w:val="00347BE2"/>
    <w:rsid w:val="00354A66"/>
    <w:rsid w:val="00355740"/>
    <w:rsid w:val="003563A4"/>
    <w:rsid w:val="00357F55"/>
    <w:rsid w:val="00361BF7"/>
    <w:rsid w:val="0036425D"/>
    <w:rsid w:val="00366851"/>
    <w:rsid w:val="00367071"/>
    <w:rsid w:val="00367C62"/>
    <w:rsid w:val="0037146B"/>
    <w:rsid w:val="0037297D"/>
    <w:rsid w:val="0037644C"/>
    <w:rsid w:val="00381DFC"/>
    <w:rsid w:val="00382C34"/>
    <w:rsid w:val="003902AE"/>
    <w:rsid w:val="00390A77"/>
    <w:rsid w:val="00390E0A"/>
    <w:rsid w:val="00392C10"/>
    <w:rsid w:val="00393B11"/>
    <w:rsid w:val="00396D6B"/>
    <w:rsid w:val="003A4775"/>
    <w:rsid w:val="003A7052"/>
    <w:rsid w:val="003B33E4"/>
    <w:rsid w:val="003B33F8"/>
    <w:rsid w:val="003B4445"/>
    <w:rsid w:val="003B52B9"/>
    <w:rsid w:val="003B5862"/>
    <w:rsid w:val="003C20C3"/>
    <w:rsid w:val="003C21AA"/>
    <w:rsid w:val="003C2223"/>
    <w:rsid w:val="003C2338"/>
    <w:rsid w:val="003C39CE"/>
    <w:rsid w:val="003C5CB5"/>
    <w:rsid w:val="003C69A2"/>
    <w:rsid w:val="003D336E"/>
    <w:rsid w:val="003D5BF2"/>
    <w:rsid w:val="003D6BB1"/>
    <w:rsid w:val="003D7492"/>
    <w:rsid w:val="003E06E7"/>
    <w:rsid w:val="003E17F2"/>
    <w:rsid w:val="003E337A"/>
    <w:rsid w:val="003E5716"/>
    <w:rsid w:val="003E6D55"/>
    <w:rsid w:val="003E721E"/>
    <w:rsid w:val="003F03FA"/>
    <w:rsid w:val="003F106A"/>
    <w:rsid w:val="003F19D5"/>
    <w:rsid w:val="003F1FF5"/>
    <w:rsid w:val="003F4020"/>
    <w:rsid w:val="003F404D"/>
    <w:rsid w:val="003F463C"/>
    <w:rsid w:val="003F490F"/>
    <w:rsid w:val="003F7D85"/>
    <w:rsid w:val="004004B3"/>
    <w:rsid w:val="00404A4E"/>
    <w:rsid w:val="00404E5D"/>
    <w:rsid w:val="00404F5E"/>
    <w:rsid w:val="004058B9"/>
    <w:rsid w:val="00405AAF"/>
    <w:rsid w:val="00411640"/>
    <w:rsid w:val="00411999"/>
    <w:rsid w:val="00412FB1"/>
    <w:rsid w:val="00421E38"/>
    <w:rsid w:val="00422C44"/>
    <w:rsid w:val="00423C6D"/>
    <w:rsid w:val="0042725E"/>
    <w:rsid w:val="00427A0D"/>
    <w:rsid w:val="004328FC"/>
    <w:rsid w:val="0043408E"/>
    <w:rsid w:val="00436CF5"/>
    <w:rsid w:val="00437030"/>
    <w:rsid w:val="00440055"/>
    <w:rsid w:val="00443CEA"/>
    <w:rsid w:val="00443EB0"/>
    <w:rsid w:val="00444E55"/>
    <w:rsid w:val="0045052D"/>
    <w:rsid w:val="00450701"/>
    <w:rsid w:val="004555C6"/>
    <w:rsid w:val="00460270"/>
    <w:rsid w:val="00462257"/>
    <w:rsid w:val="00472F1A"/>
    <w:rsid w:val="00474265"/>
    <w:rsid w:val="00474E7C"/>
    <w:rsid w:val="0047699B"/>
    <w:rsid w:val="004770B8"/>
    <w:rsid w:val="00480C03"/>
    <w:rsid w:val="00481546"/>
    <w:rsid w:val="00483296"/>
    <w:rsid w:val="00486086"/>
    <w:rsid w:val="004905A1"/>
    <w:rsid w:val="00491DC9"/>
    <w:rsid w:val="00492E57"/>
    <w:rsid w:val="004940DF"/>
    <w:rsid w:val="004951D2"/>
    <w:rsid w:val="004960A8"/>
    <w:rsid w:val="00496DA9"/>
    <w:rsid w:val="004972EB"/>
    <w:rsid w:val="004A31A3"/>
    <w:rsid w:val="004A639F"/>
    <w:rsid w:val="004A6467"/>
    <w:rsid w:val="004A6727"/>
    <w:rsid w:val="004B5AB7"/>
    <w:rsid w:val="004B6903"/>
    <w:rsid w:val="004C19E4"/>
    <w:rsid w:val="004C2319"/>
    <w:rsid w:val="004C262F"/>
    <w:rsid w:val="004C3A54"/>
    <w:rsid w:val="004C461C"/>
    <w:rsid w:val="004C4F85"/>
    <w:rsid w:val="004C5119"/>
    <w:rsid w:val="004C74C2"/>
    <w:rsid w:val="004D1269"/>
    <w:rsid w:val="004D238B"/>
    <w:rsid w:val="004D43C5"/>
    <w:rsid w:val="004D441B"/>
    <w:rsid w:val="004D4863"/>
    <w:rsid w:val="004D5388"/>
    <w:rsid w:val="004D56A6"/>
    <w:rsid w:val="004E12BF"/>
    <w:rsid w:val="004E45EA"/>
    <w:rsid w:val="004E5916"/>
    <w:rsid w:val="004E7D2E"/>
    <w:rsid w:val="004F10AE"/>
    <w:rsid w:val="004F1270"/>
    <w:rsid w:val="004F20F5"/>
    <w:rsid w:val="004F65F1"/>
    <w:rsid w:val="0050326C"/>
    <w:rsid w:val="00504BFD"/>
    <w:rsid w:val="00506988"/>
    <w:rsid w:val="00511BB3"/>
    <w:rsid w:val="00512345"/>
    <w:rsid w:val="005140D5"/>
    <w:rsid w:val="0051422B"/>
    <w:rsid w:val="005167DA"/>
    <w:rsid w:val="00520C7C"/>
    <w:rsid w:val="005219BD"/>
    <w:rsid w:val="005234E2"/>
    <w:rsid w:val="00523C41"/>
    <w:rsid w:val="00524EAC"/>
    <w:rsid w:val="0052622F"/>
    <w:rsid w:val="00526EC4"/>
    <w:rsid w:val="005301F8"/>
    <w:rsid w:val="00530C6C"/>
    <w:rsid w:val="00533D03"/>
    <w:rsid w:val="00536313"/>
    <w:rsid w:val="0053668C"/>
    <w:rsid w:val="0053738C"/>
    <w:rsid w:val="00540992"/>
    <w:rsid w:val="00541820"/>
    <w:rsid w:val="00541F93"/>
    <w:rsid w:val="0054275A"/>
    <w:rsid w:val="00542D33"/>
    <w:rsid w:val="00543BBC"/>
    <w:rsid w:val="00544620"/>
    <w:rsid w:val="0054665C"/>
    <w:rsid w:val="00546D13"/>
    <w:rsid w:val="0054793B"/>
    <w:rsid w:val="00550479"/>
    <w:rsid w:val="00555954"/>
    <w:rsid w:val="00560C11"/>
    <w:rsid w:val="00561060"/>
    <w:rsid w:val="00562FB1"/>
    <w:rsid w:val="00567347"/>
    <w:rsid w:val="00567D8A"/>
    <w:rsid w:val="00571E8A"/>
    <w:rsid w:val="00576291"/>
    <w:rsid w:val="00577AC9"/>
    <w:rsid w:val="00581041"/>
    <w:rsid w:val="00582E53"/>
    <w:rsid w:val="00583A9E"/>
    <w:rsid w:val="00583C26"/>
    <w:rsid w:val="00584CAA"/>
    <w:rsid w:val="0058515C"/>
    <w:rsid w:val="0058712D"/>
    <w:rsid w:val="0058734E"/>
    <w:rsid w:val="005918AE"/>
    <w:rsid w:val="00591A5D"/>
    <w:rsid w:val="00594F20"/>
    <w:rsid w:val="005A00E1"/>
    <w:rsid w:val="005A18FE"/>
    <w:rsid w:val="005A445D"/>
    <w:rsid w:val="005A6622"/>
    <w:rsid w:val="005A7178"/>
    <w:rsid w:val="005B1DEB"/>
    <w:rsid w:val="005B25E7"/>
    <w:rsid w:val="005B2CEA"/>
    <w:rsid w:val="005B70CF"/>
    <w:rsid w:val="005C092B"/>
    <w:rsid w:val="005C4A34"/>
    <w:rsid w:val="005C4E75"/>
    <w:rsid w:val="005D3005"/>
    <w:rsid w:val="005D4CF3"/>
    <w:rsid w:val="005D7147"/>
    <w:rsid w:val="005D7514"/>
    <w:rsid w:val="005E03B7"/>
    <w:rsid w:val="005E08AC"/>
    <w:rsid w:val="005E0967"/>
    <w:rsid w:val="005E1613"/>
    <w:rsid w:val="005E20E6"/>
    <w:rsid w:val="005E23F3"/>
    <w:rsid w:val="005E5342"/>
    <w:rsid w:val="005F3E7C"/>
    <w:rsid w:val="005F4EFE"/>
    <w:rsid w:val="005F4F02"/>
    <w:rsid w:val="005F7783"/>
    <w:rsid w:val="00601427"/>
    <w:rsid w:val="00607027"/>
    <w:rsid w:val="00612085"/>
    <w:rsid w:val="006138FB"/>
    <w:rsid w:val="00614221"/>
    <w:rsid w:val="00615661"/>
    <w:rsid w:val="00615EA8"/>
    <w:rsid w:val="00616513"/>
    <w:rsid w:val="006168E9"/>
    <w:rsid w:val="006301CF"/>
    <w:rsid w:val="00630462"/>
    <w:rsid w:val="00631386"/>
    <w:rsid w:val="006317B7"/>
    <w:rsid w:val="00633564"/>
    <w:rsid w:val="00633C6E"/>
    <w:rsid w:val="0063448A"/>
    <w:rsid w:val="00635807"/>
    <w:rsid w:val="00641532"/>
    <w:rsid w:val="00645311"/>
    <w:rsid w:val="0064705B"/>
    <w:rsid w:val="00650213"/>
    <w:rsid w:val="00650B27"/>
    <w:rsid w:val="006511BC"/>
    <w:rsid w:val="006523E1"/>
    <w:rsid w:val="00653CE9"/>
    <w:rsid w:val="0066113E"/>
    <w:rsid w:val="006629C3"/>
    <w:rsid w:val="00664215"/>
    <w:rsid w:val="00664601"/>
    <w:rsid w:val="00664BCF"/>
    <w:rsid w:val="00664F64"/>
    <w:rsid w:val="00665FCF"/>
    <w:rsid w:val="00667680"/>
    <w:rsid w:val="00670162"/>
    <w:rsid w:val="00674996"/>
    <w:rsid w:val="00682AED"/>
    <w:rsid w:val="00687849"/>
    <w:rsid w:val="00687A52"/>
    <w:rsid w:val="006903F9"/>
    <w:rsid w:val="006911C4"/>
    <w:rsid w:val="00691C2C"/>
    <w:rsid w:val="0069312D"/>
    <w:rsid w:val="00696E08"/>
    <w:rsid w:val="006974DE"/>
    <w:rsid w:val="006A1EB9"/>
    <w:rsid w:val="006A4784"/>
    <w:rsid w:val="006A657C"/>
    <w:rsid w:val="006B0AF4"/>
    <w:rsid w:val="006B4A0C"/>
    <w:rsid w:val="006B7656"/>
    <w:rsid w:val="006C25DB"/>
    <w:rsid w:val="006C54AB"/>
    <w:rsid w:val="006C7775"/>
    <w:rsid w:val="006D0988"/>
    <w:rsid w:val="006D2D7A"/>
    <w:rsid w:val="006D3D71"/>
    <w:rsid w:val="006D61EA"/>
    <w:rsid w:val="006D6694"/>
    <w:rsid w:val="006E6810"/>
    <w:rsid w:val="006E6831"/>
    <w:rsid w:val="006F31A0"/>
    <w:rsid w:val="006F407A"/>
    <w:rsid w:val="006F6B16"/>
    <w:rsid w:val="0070004A"/>
    <w:rsid w:val="0070070A"/>
    <w:rsid w:val="007007E8"/>
    <w:rsid w:val="00700CC2"/>
    <w:rsid w:val="00705BA4"/>
    <w:rsid w:val="007075AC"/>
    <w:rsid w:val="007104B3"/>
    <w:rsid w:val="00710978"/>
    <w:rsid w:val="007153B6"/>
    <w:rsid w:val="00717D14"/>
    <w:rsid w:val="007214F9"/>
    <w:rsid w:val="007304DF"/>
    <w:rsid w:val="0073281E"/>
    <w:rsid w:val="00734E65"/>
    <w:rsid w:val="0074325F"/>
    <w:rsid w:val="007432BB"/>
    <w:rsid w:val="0075170E"/>
    <w:rsid w:val="00754D8D"/>
    <w:rsid w:val="0075663D"/>
    <w:rsid w:val="00756C8C"/>
    <w:rsid w:val="007603D0"/>
    <w:rsid w:val="007616B0"/>
    <w:rsid w:val="00762702"/>
    <w:rsid w:val="00762D1B"/>
    <w:rsid w:val="00763D10"/>
    <w:rsid w:val="00766BD6"/>
    <w:rsid w:val="00767A49"/>
    <w:rsid w:val="00767B36"/>
    <w:rsid w:val="00771113"/>
    <w:rsid w:val="00771F15"/>
    <w:rsid w:val="0077240E"/>
    <w:rsid w:val="00781095"/>
    <w:rsid w:val="00781FF3"/>
    <w:rsid w:val="00786E2D"/>
    <w:rsid w:val="0079566D"/>
    <w:rsid w:val="00797F6D"/>
    <w:rsid w:val="007A1F84"/>
    <w:rsid w:val="007A59AC"/>
    <w:rsid w:val="007A658F"/>
    <w:rsid w:val="007A7F3D"/>
    <w:rsid w:val="007B0B4D"/>
    <w:rsid w:val="007B25B1"/>
    <w:rsid w:val="007B509F"/>
    <w:rsid w:val="007B599C"/>
    <w:rsid w:val="007C15E8"/>
    <w:rsid w:val="007C3263"/>
    <w:rsid w:val="007C3784"/>
    <w:rsid w:val="007C52D7"/>
    <w:rsid w:val="007C59A3"/>
    <w:rsid w:val="007C5BBC"/>
    <w:rsid w:val="007C64D0"/>
    <w:rsid w:val="007C706D"/>
    <w:rsid w:val="007C78AD"/>
    <w:rsid w:val="007D1562"/>
    <w:rsid w:val="007D1D1C"/>
    <w:rsid w:val="007D2489"/>
    <w:rsid w:val="007D30BC"/>
    <w:rsid w:val="007D33DF"/>
    <w:rsid w:val="007D4F65"/>
    <w:rsid w:val="007D53B3"/>
    <w:rsid w:val="007D58A3"/>
    <w:rsid w:val="007D5F5D"/>
    <w:rsid w:val="007D7D6C"/>
    <w:rsid w:val="007E07E5"/>
    <w:rsid w:val="007E0CE6"/>
    <w:rsid w:val="007E455D"/>
    <w:rsid w:val="007F185A"/>
    <w:rsid w:val="007F2626"/>
    <w:rsid w:val="007F4BC5"/>
    <w:rsid w:val="007F5FAD"/>
    <w:rsid w:val="007F7EF8"/>
    <w:rsid w:val="00800FD0"/>
    <w:rsid w:val="00802E61"/>
    <w:rsid w:val="00803D76"/>
    <w:rsid w:val="00806ACF"/>
    <w:rsid w:val="00807B49"/>
    <w:rsid w:val="00810B3B"/>
    <w:rsid w:val="00811E05"/>
    <w:rsid w:val="00814620"/>
    <w:rsid w:val="00814F13"/>
    <w:rsid w:val="0081585E"/>
    <w:rsid w:val="008160E8"/>
    <w:rsid w:val="00816543"/>
    <w:rsid w:val="0082040B"/>
    <w:rsid w:val="0082233A"/>
    <w:rsid w:val="00823E65"/>
    <w:rsid w:val="008246FE"/>
    <w:rsid w:val="00826821"/>
    <w:rsid w:val="00826D27"/>
    <w:rsid w:val="008275B1"/>
    <w:rsid w:val="00830317"/>
    <w:rsid w:val="00832908"/>
    <w:rsid w:val="00832EF2"/>
    <w:rsid w:val="00833469"/>
    <w:rsid w:val="008338D7"/>
    <w:rsid w:val="00834F37"/>
    <w:rsid w:val="00835CA9"/>
    <w:rsid w:val="00837254"/>
    <w:rsid w:val="00837FE8"/>
    <w:rsid w:val="00840456"/>
    <w:rsid w:val="00841222"/>
    <w:rsid w:val="00844388"/>
    <w:rsid w:val="00851970"/>
    <w:rsid w:val="00852A90"/>
    <w:rsid w:val="00854F16"/>
    <w:rsid w:val="008559BB"/>
    <w:rsid w:val="00856A28"/>
    <w:rsid w:val="0085761A"/>
    <w:rsid w:val="00863176"/>
    <w:rsid w:val="0086319C"/>
    <w:rsid w:val="0086342F"/>
    <w:rsid w:val="008665D7"/>
    <w:rsid w:val="00866E61"/>
    <w:rsid w:val="008674AD"/>
    <w:rsid w:val="008709B0"/>
    <w:rsid w:val="00872337"/>
    <w:rsid w:val="0087277F"/>
    <w:rsid w:val="00872C90"/>
    <w:rsid w:val="00872E6E"/>
    <w:rsid w:val="0087306E"/>
    <w:rsid w:val="0087475A"/>
    <w:rsid w:val="008755F6"/>
    <w:rsid w:val="00877F36"/>
    <w:rsid w:val="00880A05"/>
    <w:rsid w:val="00882EC1"/>
    <w:rsid w:val="008853F4"/>
    <w:rsid w:val="00886145"/>
    <w:rsid w:val="0088616A"/>
    <w:rsid w:val="008901DE"/>
    <w:rsid w:val="00892EF5"/>
    <w:rsid w:val="008937D2"/>
    <w:rsid w:val="008945CE"/>
    <w:rsid w:val="008949AA"/>
    <w:rsid w:val="008949C2"/>
    <w:rsid w:val="00895481"/>
    <w:rsid w:val="0089667F"/>
    <w:rsid w:val="0089680C"/>
    <w:rsid w:val="00897B22"/>
    <w:rsid w:val="00897F78"/>
    <w:rsid w:val="008A5180"/>
    <w:rsid w:val="008A61D9"/>
    <w:rsid w:val="008B0491"/>
    <w:rsid w:val="008B0628"/>
    <w:rsid w:val="008B0DFD"/>
    <w:rsid w:val="008B1245"/>
    <w:rsid w:val="008B1492"/>
    <w:rsid w:val="008B1EB1"/>
    <w:rsid w:val="008B34AF"/>
    <w:rsid w:val="008B35AB"/>
    <w:rsid w:val="008B3CDF"/>
    <w:rsid w:val="008B7212"/>
    <w:rsid w:val="008B7A39"/>
    <w:rsid w:val="008B7E4E"/>
    <w:rsid w:val="008C143C"/>
    <w:rsid w:val="008D0417"/>
    <w:rsid w:val="008D1BA8"/>
    <w:rsid w:val="008D4175"/>
    <w:rsid w:val="008E136B"/>
    <w:rsid w:val="008E1B52"/>
    <w:rsid w:val="008E24F6"/>
    <w:rsid w:val="008E2EB0"/>
    <w:rsid w:val="008E4186"/>
    <w:rsid w:val="008E53AF"/>
    <w:rsid w:val="008E5595"/>
    <w:rsid w:val="008E732B"/>
    <w:rsid w:val="008E773C"/>
    <w:rsid w:val="008F0FDB"/>
    <w:rsid w:val="008F3D7B"/>
    <w:rsid w:val="008F58A3"/>
    <w:rsid w:val="00902BF4"/>
    <w:rsid w:val="00902E9C"/>
    <w:rsid w:val="00905E3A"/>
    <w:rsid w:val="00911824"/>
    <w:rsid w:val="00911B80"/>
    <w:rsid w:val="009125B6"/>
    <w:rsid w:val="009165DD"/>
    <w:rsid w:val="0091764C"/>
    <w:rsid w:val="00917BEE"/>
    <w:rsid w:val="00917D75"/>
    <w:rsid w:val="0092140C"/>
    <w:rsid w:val="009219D6"/>
    <w:rsid w:val="00921CA2"/>
    <w:rsid w:val="0092304F"/>
    <w:rsid w:val="00923290"/>
    <w:rsid w:val="00923A59"/>
    <w:rsid w:val="009302C0"/>
    <w:rsid w:val="00930302"/>
    <w:rsid w:val="00931D6E"/>
    <w:rsid w:val="00934351"/>
    <w:rsid w:val="0093445E"/>
    <w:rsid w:val="009349CC"/>
    <w:rsid w:val="00934C45"/>
    <w:rsid w:val="00934DA9"/>
    <w:rsid w:val="00940A9F"/>
    <w:rsid w:val="009422DE"/>
    <w:rsid w:val="00942431"/>
    <w:rsid w:val="0094402F"/>
    <w:rsid w:val="009452F1"/>
    <w:rsid w:val="0094643C"/>
    <w:rsid w:val="009478C6"/>
    <w:rsid w:val="00947FFD"/>
    <w:rsid w:val="009539B4"/>
    <w:rsid w:val="009563E9"/>
    <w:rsid w:val="009569C1"/>
    <w:rsid w:val="0096486E"/>
    <w:rsid w:val="0096492B"/>
    <w:rsid w:val="009703FF"/>
    <w:rsid w:val="0097077A"/>
    <w:rsid w:val="009768E6"/>
    <w:rsid w:val="00976E70"/>
    <w:rsid w:val="009803BF"/>
    <w:rsid w:val="00982408"/>
    <w:rsid w:val="00983054"/>
    <w:rsid w:val="00983E8F"/>
    <w:rsid w:val="00984072"/>
    <w:rsid w:val="00984D6B"/>
    <w:rsid w:val="00991366"/>
    <w:rsid w:val="009A1144"/>
    <w:rsid w:val="009A3B6D"/>
    <w:rsid w:val="009A6DCA"/>
    <w:rsid w:val="009B057B"/>
    <w:rsid w:val="009B1D2C"/>
    <w:rsid w:val="009B1DE7"/>
    <w:rsid w:val="009B1EEC"/>
    <w:rsid w:val="009B6330"/>
    <w:rsid w:val="009B68E1"/>
    <w:rsid w:val="009B6B99"/>
    <w:rsid w:val="009B786D"/>
    <w:rsid w:val="009C15A4"/>
    <w:rsid w:val="009C2D36"/>
    <w:rsid w:val="009C3198"/>
    <w:rsid w:val="009C6635"/>
    <w:rsid w:val="009C6B8A"/>
    <w:rsid w:val="009C7AB2"/>
    <w:rsid w:val="009D0816"/>
    <w:rsid w:val="009D0FAB"/>
    <w:rsid w:val="009D53F7"/>
    <w:rsid w:val="009D6CBF"/>
    <w:rsid w:val="009D7267"/>
    <w:rsid w:val="009D7449"/>
    <w:rsid w:val="009D7ABF"/>
    <w:rsid w:val="009E2286"/>
    <w:rsid w:val="009E4683"/>
    <w:rsid w:val="009E488B"/>
    <w:rsid w:val="009E6FDA"/>
    <w:rsid w:val="009E78F5"/>
    <w:rsid w:val="009F0370"/>
    <w:rsid w:val="00A02799"/>
    <w:rsid w:val="00A031C7"/>
    <w:rsid w:val="00A04E2C"/>
    <w:rsid w:val="00A07C9C"/>
    <w:rsid w:val="00A07D91"/>
    <w:rsid w:val="00A07DD2"/>
    <w:rsid w:val="00A10229"/>
    <w:rsid w:val="00A11842"/>
    <w:rsid w:val="00A1328B"/>
    <w:rsid w:val="00A149C3"/>
    <w:rsid w:val="00A17E50"/>
    <w:rsid w:val="00A20C73"/>
    <w:rsid w:val="00A24A5B"/>
    <w:rsid w:val="00A268ED"/>
    <w:rsid w:val="00A26E10"/>
    <w:rsid w:val="00A302E0"/>
    <w:rsid w:val="00A3052D"/>
    <w:rsid w:val="00A30E09"/>
    <w:rsid w:val="00A321F7"/>
    <w:rsid w:val="00A32385"/>
    <w:rsid w:val="00A35B65"/>
    <w:rsid w:val="00A369A4"/>
    <w:rsid w:val="00A441FB"/>
    <w:rsid w:val="00A473CC"/>
    <w:rsid w:val="00A50448"/>
    <w:rsid w:val="00A54D49"/>
    <w:rsid w:val="00A55A67"/>
    <w:rsid w:val="00A55CA9"/>
    <w:rsid w:val="00A60F20"/>
    <w:rsid w:val="00A6179B"/>
    <w:rsid w:val="00A62F65"/>
    <w:rsid w:val="00A64832"/>
    <w:rsid w:val="00A67590"/>
    <w:rsid w:val="00A67B6F"/>
    <w:rsid w:val="00A67BF8"/>
    <w:rsid w:val="00A73039"/>
    <w:rsid w:val="00A752A1"/>
    <w:rsid w:val="00A75A69"/>
    <w:rsid w:val="00A75E0B"/>
    <w:rsid w:val="00A80546"/>
    <w:rsid w:val="00A80642"/>
    <w:rsid w:val="00A83D5F"/>
    <w:rsid w:val="00A83E67"/>
    <w:rsid w:val="00A84A4D"/>
    <w:rsid w:val="00A84D6F"/>
    <w:rsid w:val="00A851CC"/>
    <w:rsid w:val="00A86073"/>
    <w:rsid w:val="00A90F15"/>
    <w:rsid w:val="00A92110"/>
    <w:rsid w:val="00A92C83"/>
    <w:rsid w:val="00A92ECA"/>
    <w:rsid w:val="00A93344"/>
    <w:rsid w:val="00A9349A"/>
    <w:rsid w:val="00A942A6"/>
    <w:rsid w:val="00A959C7"/>
    <w:rsid w:val="00AA0073"/>
    <w:rsid w:val="00AA38A0"/>
    <w:rsid w:val="00AA3BF0"/>
    <w:rsid w:val="00AA56E3"/>
    <w:rsid w:val="00AA7897"/>
    <w:rsid w:val="00AB04A1"/>
    <w:rsid w:val="00AB0C26"/>
    <w:rsid w:val="00AB0D2C"/>
    <w:rsid w:val="00AB25A2"/>
    <w:rsid w:val="00AB6BAF"/>
    <w:rsid w:val="00AC17ED"/>
    <w:rsid w:val="00AC3169"/>
    <w:rsid w:val="00AC575F"/>
    <w:rsid w:val="00AC683A"/>
    <w:rsid w:val="00AC6FD6"/>
    <w:rsid w:val="00AD1F6C"/>
    <w:rsid w:val="00AD3BA8"/>
    <w:rsid w:val="00AD3DD7"/>
    <w:rsid w:val="00AD4457"/>
    <w:rsid w:val="00AE078A"/>
    <w:rsid w:val="00AE1D23"/>
    <w:rsid w:val="00AE4493"/>
    <w:rsid w:val="00AF11AC"/>
    <w:rsid w:val="00AF1294"/>
    <w:rsid w:val="00AF1CE3"/>
    <w:rsid w:val="00AF1EF7"/>
    <w:rsid w:val="00AF5876"/>
    <w:rsid w:val="00AF590F"/>
    <w:rsid w:val="00B01AE7"/>
    <w:rsid w:val="00B03A5F"/>
    <w:rsid w:val="00B03D0A"/>
    <w:rsid w:val="00B049BB"/>
    <w:rsid w:val="00B04FF9"/>
    <w:rsid w:val="00B05355"/>
    <w:rsid w:val="00B05D7B"/>
    <w:rsid w:val="00B06CB5"/>
    <w:rsid w:val="00B070EA"/>
    <w:rsid w:val="00B07762"/>
    <w:rsid w:val="00B12255"/>
    <w:rsid w:val="00B14693"/>
    <w:rsid w:val="00B1492C"/>
    <w:rsid w:val="00B200A2"/>
    <w:rsid w:val="00B215DD"/>
    <w:rsid w:val="00B216B8"/>
    <w:rsid w:val="00B217BA"/>
    <w:rsid w:val="00B22F33"/>
    <w:rsid w:val="00B236B6"/>
    <w:rsid w:val="00B236CB"/>
    <w:rsid w:val="00B25944"/>
    <w:rsid w:val="00B27AF0"/>
    <w:rsid w:val="00B31FEB"/>
    <w:rsid w:val="00B37CFF"/>
    <w:rsid w:val="00B42316"/>
    <w:rsid w:val="00B43004"/>
    <w:rsid w:val="00B43006"/>
    <w:rsid w:val="00B43344"/>
    <w:rsid w:val="00B435CF"/>
    <w:rsid w:val="00B4390B"/>
    <w:rsid w:val="00B43C08"/>
    <w:rsid w:val="00B43F84"/>
    <w:rsid w:val="00B4473E"/>
    <w:rsid w:val="00B4527C"/>
    <w:rsid w:val="00B45783"/>
    <w:rsid w:val="00B46EE8"/>
    <w:rsid w:val="00B50957"/>
    <w:rsid w:val="00B57918"/>
    <w:rsid w:val="00B60AEC"/>
    <w:rsid w:val="00B62C67"/>
    <w:rsid w:val="00B64A61"/>
    <w:rsid w:val="00B64FEB"/>
    <w:rsid w:val="00B661E3"/>
    <w:rsid w:val="00B67014"/>
    <w:rsid w:val="00B67FF2"/>
    <w:rsid w:val="00B746BA"/>
    <w:rsid w:val="00B75E58"/>
    <w:rsid w:val="00B80D0C"/>
    <w:rsid w:val="00B81938"/>
    <w:rsid w:val="00B828D8"/>
    <w:rsid w:val="00B92FCC"/>
    <w:rsid w:val="00B961F1"/>
    <w:rsid w:val="00B96DF3"/>
    <w:rsid w:val="00BA140A"/>
    <w:rsid w:val="00BA20F0"/>
    <w:rsid w:val="00BA284C"/>
    <w:rsid w:val="00BA3576"/>
    <w:rsid w:val="00BA3630"/>
    <w:rsid w:val="00BA5306"/>
    <w:rsid w:val="00BA582C"/>
    <w:rsid w:val="00BB0D22"/>
    <w:rsid w:val="00BB1279"/>
    <w:rsid w:val="00BB2292"/>
    <w:rsid w:val="00BB57C0"/>
    <w:rsid w:val="00BB76EC"/>
    <w:rsid w:val="00BC1FD8"/>
    <w:rsid w:val="00BC2D56"/>
    <w:rsid w:val="00BC40F0"/>
    <w:rsid w:val="00BC40F1"/>
    <w:rsid w:val="00BC6A5B"/>
    <w:rsid w:val="00BD231A"/>
    <w:rsid w:val="00BD7002"/>
    <w:rsid w:val="00BE0319"/>
    <w:rsid w:val="00BE11F0"/>
    <w:rsid w:val="00BE1B97"/>
    <w:rsid w:val="00BE200E"/>
    <w:rsid w:val="00BE6D2F"/>
    <w:rsid w:val="00BE6E83"/>
    <w:rsid w:val="00BE7A39"/>
    <w:rsid w:val="00BF068F"/>
    <w:rsid w:val="00BF244E"/>
    <w:rsid w:val="00BF36DC"/>
    <w:rsid w:val="00BF5A94"/>
    <w:rsid w:val="00BF7258"/>
    <w:rsid w:val="00BF7886"/>
    <w:rsid w:val="00C02232"/>
    <w:rsid w:val="00C032DA"/>
    <w:rsid w:val="00C05C1D"/>
    <w:rsid w:val="00C07477"/>
    <w:rsid w:val="00C07BEA"/>
    <w:rsid w:val="00C10425"/>
    <w:rsid w:val="00C11524"/>
    <w:rsid w:val="00C129FB"/>
    <w:rsid w:val="00C1632C"/>
    <w:rsid w:val="00C17260"/>
    <w:rsid w:val="00C17906"/>
    <w:rsid w:val="00C17C37"/>
    <w:rsid w:val="00C17F9E"/>
    <w:rsid w:val="00C20FD4"/>
    <w:rsid w:val="00C21C7C"/>
    <w:rsid w:val="00C2479F"/>
    <w:rsid w:val="00C253A6"/>
    <w:rsid w:val="00C276A7"/>
    <w:rsid w:val="00C30225"/>
    <w:rsid w:val="00C322AC"/>
    <w:rsid w:val="00C33C5C"/>
    <w:rsid w:val="00C36B99"/>
    <w:rsid w:val="00C41531"/>
    <w:rsid w:val="00C41967"/>
    <w:rsid w:val="00C42295"/>
    <w:rsid w:val="00C42428"/>
    <w:rsid w:val="00C4276C"/>
    <w:rsid w:val="00C44682"/>
    <w:rsid w:val="00C45D12"/>
    <w:rsid w:val="00C469F6"/>
    <w:rsid w:val="00C470A4"/>
    <w:rsid w:val="00C47561"/>
    <w:rsid w:val="00C52C8C"/>
    <w:rsid w:val="00C543AD"/>
    <w:rsid w:val="00C561AA"/>
    <w:rsid w:val="00C56267"/>
    <w:rsid w:val="00C5703E"/>
    <w:rsid w:val="00C5770C"/>
    <w:rsid w:val="00C60031"/>
    <w:rsid w:val="00C61860"/>
    <w:rsid w:val="00C62832"/>
    <w:rsid w:val="00C62B58"/>
    <w:rsid w:val="00C64224"/>
    <w:rsid w:val="00C65841"/>
    <w:rsid w:val="00C65DED"/>
    <w:rsid w:val="00C67190"/>
    <w:rsid w:val="00C708BA"/>
    <w:rsid w:val="00C7393B"/>
    <w:rsid w:val="00C749F0"/>
    <w:rsid w:val="00C74E96"/>
    <w:rsid w:val="00C74FBF"/>
    <w:rsid w:val="00C7613F"/>
    <w:rsid w:val="00C81FC4"/>
    <w:rsid w:val="00C85DA5"/>
    <w:rsid w:val="00C86B82"/>
    <w:rsid w:val="00C9230C"/>
    <w:rsid w:val="00C940B9"/>
    <w:rsid w:val="00C94255"/>
    <w:rsid w:val="00C94360"/>
    <w:rsid w:val="00CA4117"/>
    <w:rsid w:val="00CA4E22"/>
    <w:rsid w:val="00CA530B"/>
    <w:rsid w:val="00CA6255"/>
    <w:rsid w:val="00CA7BFE"/>
    <w:rsid w:val="00CB091C"/>
    <w:rsid w:val="00CB1A87"/>
    <w:rsid w:val="00CB1DB5"/>
    <w:rsid w:val="00CB2D94"/>
    <w:rsid w:val="00CB3DA2"/>
    <w:rsid w:val="00CB4074"/>
    <w:rsid w:val="00CB4D45"/>
    <w:rsid w:val="00CB52BA"/>
    <w:rsid w:val="00CB7F32"/>
    <w:rsid w:val="00CC0538"/>
    <w:rsid w:val="00CC09FA"/>
    <w:rsid w:val="00CC1AEC"/>
    <w:rsid w:val="00CC5DFE"/>
    <w:rsid w:val="00CD3417"/>
    <w:rsid w:val="00CD3E74"/>
    <w:rsid w:val="00CD47E6"/>
    <w:rsid w:val="00CD4DA0"/>
    <w:rsid w:val="00CD62B1"/>
    <w:rsid w:val="00CD6A11"/>
    <w:rsid w:val="00CE165E"/>
    <w:rsid w:val="00CE2008"/>
    <w:rsid w:val="00CE3838"/>
    <w:rsid w:val="00CE4222"/>
    <w:rsid w:val="00CE76E7"/>
    <w:rsid w:val="00CE7C26"/>
    <w:rsid w:val="00CE7F24"/>
    <w:rsid w:val="00CF0CD7"/>
    <w:rsid w:val="00CF1319"/>
    <w:rsid w:val="00CF186B"/>
    <w:rsid w:val="00CF24ED"/>
    <w:rsid w:val="00CF4BCB"/>
    <w:rsid w:val="00CF4BFE"/>
    <w:rsid w:val="00CF4F52"/>
    <w:rsid w:val="00D00B36"/>
    <w:rsid w:val="00D017EF"/>
    <w:rsid w:val="00D0323B"/>
    <w:rsid w:val="00D04F03"/>
    <w:rsid w:val="00D13C1C"/>
    <w:rsid w:val="00D13E81"/>
    <w:rsid w:val="00D167E2"/>
    <w:rsid w:val="00D21222"/>
    <w:rsid w:val="00D304F0"/>
    <w:rsid w:val="00D348D8"/>
    <w:rsid w:val="00D36B2B"/>
    <w:rsid w:val="00D36FF9"/>
    <w:rsid w:val="00D37907"/>
    <w:rsid w:val="00D37AF4"/>
    <w:rsid w:val="00D42D7D"/>
    <w:rsid w:val="00D5275C"/>
    <w:rsid w:val="00D55D04"/>
    <w:rsid w:val="00D56B4D"/>
    <w:rsid w:val="00D60F2A"/>
    <w:rsid w:val="00D6144E"/>
    <w:rsid w:val="00D62102"/>
    <w:rsid w:val="00D63E4D"/>
    <w:rsid w:val="00D63EDB"/>
    <w:rsid w:val="00D645FA"/>
    <w:rsid w:val="00D65327"/>
    <w:rsid w:val="00D70390"/>
    <w:rsid w:val="00D71E37"/>
    <w:rsid w:val="00D72976"/>
    <w:rsid w:val="00D754F9"/>
    <w:rsid w:val="00D75BC6"/>
    <w:rsid w:val="00D75EE8"/>
    <w:rsid w:val="00D77F39"/>
    <w:rsid w:val="00D80AEE"/>
    <w:rsid w:val="00D81AB4"/>
    <w:rsid w:val="00D86AA9"/>
    <w:rsid w:val="00D90BB4"/>
    <w:rsid w:val="00D96038"/>
    <w:rsid w:val="00D9623B"/>
    <w:rsid w:val="00D97084"/>
    <w:rsid w:val="00D977D5"/>
    <w:rsid w:val="00DA066E"/>
    <w:rsid w:val="00DA0FE0"/>
    <w:rsid w:val="00DA4915"/>
    <w:rsid w:val="00DA52A2"/>
    <w:rsid w:val="00DB4261"/>
    <w:rsid w:val="00DB52FB"/>
    <w:rsid w:val="00DB5971"/>
    <w:rsid w:val="00DC0D4D"/>
    <w:rsid w:val="00DC252A"/>
    <w:rsid w:val="00DC4802"/>
    <w:rsid w:val="00DC511C"/>
    <w:rsid w:val="00DD35D3"/>
    <w:rsid w:val="00DD41C1"/>
    <w:rsid w:val="00DE5B0C"/>
    <w:rsid w:val="00DE66AB"/>
    <w:rsid w:val="00DE6F07"/>
    <w:rsid w:val="00DF1989"/>
    <w:rsid w:val="00DF1F53"/>
    <w:rsid w:val="00DF30F6"/>
    <w:rsid w:val="00DF353D"/>
    <w:rsid w:val="00DF3C12"/>
    <w:rsid w:val="00DF45F3"/>
    <w:rsid w:val="00DF4817"/>
    <w:rsid w:val="00DF6245"/>
    <w:rsid w:val="00DF6B8B"/>
    <w:rsid w:val="00E02218"/>
    <w:rsid w:val="00E0463E"/>
    <w:rsid w:val="00E04776"/>
    <w:rsid w:val="00E111A5"/>
    <w:rsid w:val="00E12212"/>
    <w:rsid w:val="00E12C3B"/>
    <w:rsid w:val="00E14E24"/>
    <w:rsid w:val="00E16F21"/>
    <w:rsid w:val="00E2030F"/>
    <w:rsid w:val="00E2059D"/>
    <w:rsid w:val="00E21162"/>
    <w:rsid w:val="00E21E4F"/>
    <w:rsid w:val="00E254BE"/>
    <w:rsid w:val="00E2631E"/>
    <w:rsid w:val="00E2714D"/>
    <w:rsid w:val="00E2738A"/>
    <w:rsid w:val="00E343E5"/>
    <w:rsid w:val="00E3709E"/>
    <w:rsid w:val="00E40286"/>
    <w:rsid w:val="00E40E3A"/>
    <w:rsid w:val="00E417D3"/>
    <w:rsid w:val="00E504E9"/>
    <w:rsid w:val="00E513FB"/>
    <w:rsid w:val="00E5234E"/>
    <w:rsid w:val="00E52A31"/>
    <w:rsid w:val="00E55B19"/>
    <w:rsid w:val="00E57317"/>
    <w:rsid w:val="00E602F0"/>
    <w:rsid w:val="00E618AA"/>
    <w:rsid w:val="00E63D2C"/>
    <w:rsid w:val="00E63FE2"/>
    <w:rsid w:val="00E65CC5"/>
    <w:rsid w:val="00E66D6F"/>
    <w:rsid w:val="00E66E0F"/>
    <w:rsid w:val="00E703D9"/>
    <w:rsid w:val="00E71216"/>
    <w:rsid w:val="00E71DC5"/>
    <w:rsid w:val="00E73235"/>
    <w:rsid w:val="00E733A7"/>
    <w:rsid w:val="00E74576"/>
    <w:rsid w:val="00E76D59"/>
    <w:rsid w:val="00E774BD"/>
    <w:rsid w:val="00E83FF3"/>
    <w:rsid w:val="00E8755D"/>
    <w:rsid w:val="00E92328"/>
    <w:rsid w:val="00E940FA"/>
    <w:rsid w:val="00E95A75"/>
    <w:rsid w:val="00E95AD4"/>
    <w:rsid w:val="00EA1ADE"/>
    <w:rsid w:val="00EA5914"/>
    <w:rsid w:val="00EA77BA"/>
    <w:rsid w:val="00EA7EDB"/>
    <w:rsid w:val="00EB1ED7"/>
    <w:rsid w:val="00EB581F"/>
    <w:rsid w:val="00EB5F05"/>
    <w:rsid w:val="00EC60C0"/>
    <w:rsid w:val="00EC69A8"/>
    <w:rsid w:val="00EC7D50"/>
    <w:rsid w:val="00ED198B"/>
    <w:rsid w:val="00ED55E9"/>
    <w:rsid w:val="00ED5887"/>
    <w:rsid w:val="00ED7537"/>
    <w:rsid w:val="00ED764C"/>
    <w:rsid w:val="00EE3519"/>
    <w:rsid w:val="00EE5AD9"/>
    <w:rsid w:val="00EF2D61"/>
    <w:rsid w:val="00EF6132"/>
    <w:rsid w:val="00EF6281"/>
    <w:rsid w:val="00EF6784"/>
    <w:rsid w:val="00F03935"/>
    <w:rsid w:val="00F07377"/>
    <w:rsid w:val="00F15996"/>
    <w:rsid w:val="00F16D80"/>
    <w:rsid w:val="00F2176C"/>
    <w:rsid w:val="00F21868"/>
    <w:rsid w:val="00F22957"/>
    <w:rsid w:val="00F279CA"/>
    <w:rsid w:val="00F4135C"/>
    <w:rsid w:val="00F41574"/>
    <w:rsid w:val="00F44D5F"/>
    <w:rsid w:val="00F44FAC"/>
    <w:rsid w:val="00F47413"/>
    <w:rsid w:val="00F50291"/>
    <w:rsid w:val="00F53998"/>
    <w:rsid w:val="00F5461D"/>
    <w:rsid w:val="00F55904"/>
    <w:rsid w:val="00F57F91"/>
    <w:rsid w:val="00F611AA"/>
    <w:rsid w:val="00F64560"/>
    <w:rsid w:val="00F64727"/>
    <w:rsid w:val="00F664BA"/>
    <w:rsid w:val="00F677A2"/>
    <w:rsid w:val="00F7160F"/>
    <w:rsid w:val="00F748F8"/>
    <w:rsid w:val="00F74A57"/>
    <w:rsid w:val="00F80E17"/>
    <w:rsid w:val="00F8256F"/>
    <w:rsid w:val="00F85E0E"/>
    <w:rsid w:val="00F869BE"/>
    <w:rsid w:val="00F86ECC"/>
    <w:rsid w:val="00F90F29"/>
    <w:rsid w:val="00FA0A2B"/>
    <w:rsid w:val="00FA157B"/>
    <w:rsid w:val="00FA768B"/>
    <w:rsid w:val="00FB0161"/>
    <w:rsid w:val="00FB313A"/>
    <w:rsid w:val="00FB4EB0"/>
    <w:rsid w:val="00FB5205"/>
    <w:rsid w:val="00FC2071"/>
    <w:rsid w:val="00FC22AF"/>
    <w:rsid w:val="00FC2391"/>
    <w:rsid w:val="00FC28C9"/>
    <w:rsid w:val="00FC291F"/>
    <w:rsid w:val="00FC3320"/>
    <w:rsid w:val="00FC4CB6"/>
    <w:rsid w:val="00FC64BF"/>
    <w:rsid w:val="00FD0812"/>
    <w:rsid w:val="00FD100E"/>
    <w:rsid w:val="00FD3BA8"/>
    <w:rsid w:val="00FD4D59"/>
    <w:rsid w:val="00FD7044"/>
    <w:rsid w:val="00FE1E0E"/>
    <w:rsid w:val="00FE3611"/>
    <w:rsid w:val="00FE40F6"/>
    <w:rsid w:val="00FE4A6A"/>
    <w:rsid w:val="00FE508B"/>
    <w:rsid w:val="00FF046F"/>
    <w:rsid w:val="00FF2592"/>
    <w:rsid w:val="00FF2935"/>
    <w:rsid w:val="00FF2BDA"/>
    <w:rsid w:val="01183111"/>
    <w:rsid w:val="0125204F"/>
    <w:rsid w:val="016210FD"/>
    <w:rsid w:val="0166457E"/>
    <w:rsid w:val="01865733"/>
    <w:rsid w:val="01A06E9D"/>
    <w:rsid w:val="023A109F"/>
    <w:rsid w:val="02441F1E"/>
    <w:rsid w:val="0294218E"/>
    <w:rsid w:val="02CA7215"/>
    <w:rsid w:val="02D93C69"/>
    <w:rsid w:val="0305754E"/>
    <w:rsid w:val="032D4760"/>
    <w:rsid w:val="032D7033"/>
    <w:rsid w:val="0333242E"/>
    <w:rsid w:val="03586C8C"/>
    <w:rsid w:val="03B80F4C"/>
    <w:rsid w:val="03B93EF4"/>
    <w:rsid w:val="03DE64EE"/>
    <w:rsid w:val="04417E07"/>
    <w:rsid w:val="045D1075"/>
    <w:rsid w:val="046D109D"/>
    <w:rsid w:val="04AE1CD1"/>
    <w:rsid w:val="04AE6573"/>
    <w:rsid w:val="04C826FC"/>
    <w:rsid w:val="04D710AE"/>
    <w:rsid w:val="05431AC5"/>
    <w:rsid w:val="055B4129"/>
    <w:rsid w:val="058F525E"/>
    <w:rsid w:val="05D64F65"/>
    <w:rsid w:val="05E41A4E"/>
    <w:rsid w:val="06347F2F"/>
    <w:rsid w:val="064F716B"/>
    <w:rsid w:val="068B5D38"/>
    <w:rsid w:val="06B8742D"/>
    <w:rsid w:val="06D575E9"/>
    <w:rsid w:val="06E8731C"/>
    <w:rsid w:val="06F265AD"/>
    <w:rsid w:val="06F90833"/>
    <w:rsid w:val="071E5658"/>
    <w:rsid w:val="07930250"/>
    <w:rsid w:val="07AF39D1"/>
    <w:rsid w:val="07DE28D4"/>
    <w:rsid w:val="080E4270"/>
    <w:rsid w:val="084A7B62"/>
    <w:rsid w:val="087F1930"/>
    <w:rsid w:val="088272FC"/>
    <w:rsid w:val="08A7247E"/>
    <w:rsid w:val="08A728CF"/>
    <w:rsid w:val="08A84A40"/>
    <w:rsid w:val="08F834BD"/>
    <w:rsid w:val="09077DF6"/>
    <w:rsid w:val="091241C8"/>
    <w:rsid w:val="09376339"/>
    <w:rsid w:val="09952194"/>
    <w:rsid w:val="09B13A45"/>
    <w:rsid w:val="09B72FD5"/>
    <w:rsid w:val="09BE6112"/>
    <w:rsid w:val="0A6C3DC0"/>
    <w:rsid w:val="0AAC7535"/>
    <w:rsid w:val="0AE41BA8"/>
    <w:rsid w:val="0AFC15E8"/>
    <w:rsid w:val="0AFD6D5D"/>
    <w:rsid w:val="0B0D109F"/>
    <w:rsid w:val="0B3D575C"/>
    <w:rsid w:val="0B440899"/>
    <w:rsid w:val="0B4E404E"/>
    <w:rsid w:val="0B8D6294"/>
    <w:rsid w:val="0B904D38"/>
    <w:rsid w:val="0B987180"/>
    <w:rsid w:val="0BA35E5E"/>
    <w:rsid w:val="0BA70E60"/>
    <w:rsid w:val="0BE1433A"/>
    <w:rsid w:val="0C040E46"/>
    <w:rsid w:val="0C126BE9"/>
    <w:rsid w:val="0C6032F9"/>
    <w:rsid w:val="0C6C6699"/>
    <w:rsid w:val="0C801DA5"/>
    <w:rsid w:val="0C8F023A"/>
    <w:rsid w:val="0D7352E0"/>
    <w:rsid w:val="0DD248FB"/>
    <w:rsid w:val="0DD423A8"/>
    <w:rsid w:val="0DE74A3D"/>
    <w:rsid w:val="0DF0188C"/>
    <w:rsid w:val="0DF46805"/>
    <w:rsid w:val="0E071816"/>
    <w:rsid w:val="0E130328"/>
    <w:rsid w:val="0E14510B"/>
    <w:rsid w:val="0E5E4367"/>
    <w:rsid w:val="0E791344"/>
    <w:rsid w:val="0E975183"/>
    <w:rsid w:val="0E9E4764"/>
    <w:rsid w:val="0EB9159E"/>
    <w:rsid w:val="0ECB20BE"/>
    <w:rsid w:val="0ECC7523"/>
    <w:rsid w:val="0F087E2F"/>
    <w:rsid w:val="0F0E7B3C"/>
    <w:rsid w:val="0F5301E5"/>
    <w:rsid w:val="0F821592"/>
    <w:rsid w:val="0F96368D"/>
    <w:rsid w:val="0FAD1102"/>
    <w:rsid w:val="0FBE7ED7"/>
    <w:rsid w:val="0FC91CB4"/>
    <w:rsid w:val="0FE30140"/>
    <w:rsid w:val="106D6186"/>
    <w:rsid w:val="10795489"/>
    <w:rsid w:val="108C51BC"/>
    <w:rsid w:val="10953945"/>
    <w:rsid w:val="109A22B0"/>
    <w:rsid w:val="10ED0DA6"/>
    <w:rsid w:val="112278CE"/>
    <w:rsid w:val="115B7B4E"/>
    <w:rsid w:val="119368FA"/>
    <w:rsid w:val="11A11963"/>
    <w:rsid w:val="11C03DEA"/>
    <w:rsid w:val="11C20FE9"/>
    <w:rsid w:val="11CF41B2"/>
    <w:rsid w:val="11E85901"/>
    <w:rsid w:val="126D4DDF"/>
    <w:rsid w:val="129465AA"/>
    <w:rsid w:val="12F942BB"/>
    <w:rsid w:val="13970B4D"/>
    <w:rsid w:val="13C4619A"/>
    <w:rsid w:val="13DA4490"/>
    <w:rsid w:val="14055456"/>
    <w:rsid w:val="14074F34"/>
    <w:rsid w:val="1410241B"/>
    <w:rsid w:val="141B23B3"/>
    <w:rsid w:val="146A4AEC"/>
    <w:rsid w:val="14A1264A"/>
    <w:rsid w:val="14A14FAE"/>
    <w:rsid w:val="14A237DC"/>
    <w:rsid w:val="14C17805"/>
    <w:rsid w:val="14FB2910"/>
    <w:rsid w:val="15455939"/>
    <w:rsid w:val="154D47EE"/>
    <w:rsid w:val="1578500A"/>
    <w:rsid w:val="15937A9B"/>
    <w:rsid w:val="15B716F5"/>
    <w:rsid w:val="160A3D95"/>
    <w:rsid w:val="16133C89"/>
    <w:rsid w:val="169A0A5A"/>
    <w:rsid w:val="16EA10E2"/>
    <w:rsid w:val="16F13FCB"/>
    <w:rsid w:val="171A2DA3"/>
    <w:rsid w:val="17364B64"/>
    <w:rsid w:val="17400B06"/>
    <w:rsid w:val="17914727"/>
    <w:rsid w:val="17A22D12"/>
    <w:rsid w:val="17A41D79"/>
    <w:rsid w:val="17D30465"/>
    <w:rsid w:val="17D45E88"/>
    <w:rsid w:val="18657FD3"/>
    <w:rsid w:val="187529D9"/>
    <w:rsid w:val="187F540D"/>
    <w:rsid w:val="18CA4D24"/>
    <w:rsid w:val="19167A27"/>
    <w:rsid w:val="19444033"/>
    <w:rsid w:val="194F153B"/>
    <w:rsid w:val="1980048D"/>
    <w:rsid w:val="19855E4D"/>
    <w:rsid w:val="198804EA"/>
    <w:rsid w:val="199708B4"/>
    <w:rsid w:val="19A35684"/>
    <w:rsid w:val="19A8223C"/>
    <w:rsid w:val="19C01A32"/>
    <w:rsid w:val="19C85E69"/>
    <w:rsid w:val="19E809E3"/>
    <w:rsid w:val="1A1A43C2"/>
    <w:rsid w:val="1A645D78"/>
    <w:rsid w:val="1A913C2A"/>
    <w:rsid w:val="1AB901AA"/>
    <w:rsid w:val="1ABA3711"/>
    <w:rsid w:val="1ACC2EC5"/>
    <w:rsid w:val="1B3604F2"/>
    <w:rsid w:val="1B367A94"/>
    <w:rsid w:val="1B391536"/>
    <w:rsid w:val="1B7D7F7E"/>
    <w:rsid w:val="1BE0460E"/>
    <w:rsid w:val="1C276F4A"/>
    <w:rsid w:val="1C770035"/>
    <w:rsid w:val="1C934265"/>
    <w:rsid w:val="1CA9356C"/>
    <w:rsid w:val="1CB60D97"/>
    <w:rsid w:val="1CC41839"/>
    <w:rsid w:val="1CCC06EE"/>
    <w:rsid w:val="1CD540C4"/>
    <w:rsid w:val="1CE82FAE"/>
    <w:rsid w:val="1CF87735"/>
    <w:rsid w:val="1D172F01"/>
    <w:rsid w:val="1D4B7A4A"/>
    <w:rsid w:val="1D6B5FA6"/>
    <w:rsid w:val="1DE5415D"/>
    <w:rsid w:val="1E0730ED"/>
    <w:rsid w:val="1E2C7696"/>
    <w:rsid w:val="1E4A23BC"/>
    <w:rsid w:val="1E5D0198"/>
    <w:rsid w:val="1EC73863"/>
    <w:rsid w:val="1EFC175F"/>
    <w:rsid w:val="1FDB5818"/>
    <w:rsid w:val="201C2D22"/>
    <w:rsid w:val="204131A1"/>
    <w:rsid w:val="20462111"/>
    <w:rsid w:val="205A1343"/>
    <w:rsid w:val="206A11BC"/>
    <w:rsid w:val="20B724D5"/>
    <w:rsid w:val="21132B7C"/>
    <w:rsid w:val="215313DE"/>
    <w:rsid w:val="216E0AF3"/>
    <w:rsid w:val="21A10725"/>
    <w:rsid w:val="21D94E53"/>
    <w:rsid w:val="21E94BEF"/>
    <w:rsid w:val="227B280E"/>
    <w:rsid w:val="22C541CF"/>
    <w:rsid w:val="22D93B65"/>
    <w:rsid w:val="22F26762"/>
    <w:rsid w:val="22F3461B"/>
    <w:rsid w:val="23A31DC3"/>
    <w:rsid w:val="23AF71DA"/>
    <w:rsid w:val="23C10B07"/>
    <w:rsid w:val="23C75000"/>
    <w:rsid w:val="24223CEC"/>
    <w:rsid w:val="247C56A2"/>
    <w:rsid w:val="248C0A40"/>
    <w:rsid w:val="24A819DF"/>
    <w:rsid w:val="24E54A43"/>
    <w:rsid w:val="256A4B38"/>
    <w:rsid w:val="25AB104A"/>
    <w:rsid w:val="25D37B28"/>
    <w:rsid w:val="25E12217"/>
    <w:rsid w:val="26323CB8"/>
    <w:rsid w:val="26555BF8"/>
    <w:rsid w:val="26893043"/>
    <w:rsid w:val="269A7D3C"/>
    <w:rsid w:val="26D0702D"/>
    <w:rsid w:val="270E5FB0"/>
    <w:rsid w:val="27EC5A7D"/>
    <w:rsid w:val="27F751B9"/>
    <w:rsid w:val="27FA58DE"/>
    <w:rsid w:val="281C4006"/>
    <w:rsid w:val="2841391F"/>
    <w:rsid w:val="28452D46"/>
    <w:rsid w:val="2872534E"/>
    <w:rsid w:val="28A571DE"/>
    <w:rsid w:val="28BB61E6"/>
    <w:rsid w:val="28F33A63"/>
    <w:rsid w:val="29121B7F"/>
    <w:rsid w:val="29440026"/>
    <w:rsid w:val="29447DE6"/>
    <w:rsid w:val="295973BD"/>
    <w:rsid w:val="298720F0"/>
    <w:rsid w:val="29C0782D"/>
    <w:rsid w:val="29D52BB5"/>
    <w:rsid w:val="29E81930"/>
    <w:rsid w:val="29F55728"/>
    <w:rsid w:val="29FA3933"/>
    <w:rsid w:val="2A273408"/>
    <w:rsid w:val="2A723A7C"/>
    <w:rsid w:val="2A731D21"/>
    <w:rsid w:val="2A7F3244"/>
    <w:rsid w:val="2AB949A8"/>
    <w:rsid w:val="2ACD0453"/>
    <w:rsid w:val="2ACE3A90"/>
    <w:rsid w:val="2B0A5203"/>
    <w:rsid w:val="2B1238AE"/>
    <w:rsid w:val="2B252A91"/>
    <w:rsid w:val="2B4017F0"/>
    <w:rsid w:val="2B6348E0"/>
    <w:rsid w:val="2B786611"/>
    <w:rsid w:val="2B970537"/>
    <w:rsid w:val="2BE76212"/>
    <w:rsid w:val="2C09185D"/>
    <w:rsid w:val="2C0F7531"/>
    <w:rsid w:val="2C7A0167"/>
    <w:rsid w:val="2C8F33BD"/>
    <w:rsid w:val="2C8F54B1"/>
    <w:rsid w:val="2D03015C"/>
    <w:rsid w:val="2D5662C8"/>
    <w:rsid w:val="2DF56335"/>
    <w:rsid w:val="2DF9286A"/>
    <w:rsid w:val="2ED6443A"/>
    <w:rsid w:val="2EE138F7"/>
    <w:rsid w:val="2F0C4BE3"/>
    <w:rsid w:val="2F2B5748"/>
    <w:rsid w:val="2F377CAB"/>
    <w:rsid w:val="2F4D1ED1"/>
    <w:rsid w:val="2FCB61DD"/>
    <w:rsid w:val="2FE34275"/>
    <w:rsid w:val="30952D41"/>
    <w:rsid w:val="30DD0CC4"/>
    <w:rsid w:val="30E271B6"/>
    <w:rsid w:val="31397F4B"/>
    <w:rsid w:val="31541DBA"/>
    <w:rsid w:val="315471D8"/>
    <w:rsid w:val="317070E4"/>
    <w:rsid w:val="31775428"/>
    <w:rsid w:val="318F7220"/>
    <w:rsid w:val="31B63FAB"/>
    <w:rsid w:val="31D25FD2"/>
    <w:rsid w:val="31D65E3F"/>
    <w:rsid w:val="31EB672C"/>
    <w:rsid w:val="31F02617"/>
    <w:rsid w:val="329A6E6D"/>
    <w:rsid w:val="32DC4272"/>
    <w:rsid w:val="32EF7DB5"/>
    <w:rsid w:val="32F72511"/>
    <w:rsid w:val="33150BE9"/>
    <w:rsid w:val="3364565D"/>
    <w:rsid w:val="336C775A"/>
    <w:rsid w:val="33725861"/>
    <w:rsid w:val="33CF4883"/>
    <w:rsid w:val="33D62126"/>
    <w:rsid w:val="33D75E9F"/>
    <w:rsid w:val="33DE375D"/>
    <w:rsid w:val="33F71B1A"/>
    <w:rsid w:val="342E014E"/>
    <w:rsid w:val="346A0719"/>
    <w:rsid w:val="34B306BA"/>
    <w:rsid w:val="34BC46A1"/>
    <w:rsid w:val="34D36666"/>
    <w:rsid w:val="34F146C2"/>
    <w:rsid w:val="351358AA"/>
    <w:rsid w:val="35303AB8"/>
    <w:rsid w:val="35324607"/>
    <w:rsid w:val="356D6ABA"/>
    <w:rsid w:val="36070CBD"/>
    <w:rsid w:val="363277FD"/>
    <w:rsid w:val="36483084"/>
    <w:rsid w:val="365E57FF"/>
    <w:rsid w:val="366A70C8"/>
    <w:rsid w:val="36AF7935"/>
    <w:rsid w:val="36B928EF"/>
    <w:rsid w:val="36D901FE"/>
    <w:rsid w:val="37164F30"/>
    <w:rsid w:val="37215DAE"/>
    <w:rsid w:val="372B7BCD"/>
    <w:rsid w:val="376728C4"/>
    <w:rsid w:val="376E08C8"/>
    <w:rsid w:val="379067CC"/>
    <w:rsid w:val="37F60FE9"/>
    <w:rsid w:val="38021539"/>
    <w:rsid w:val="380A28CA"/>
    <w:rsid w:val="383A2C56"/>
    <w:rsid w:val="38514471"/>
    <w:rsid w:val="388C6E04"/>
    <w:rsid w:val="389A5030"/>
    <w:rsid w:val="38A327F3"/>
    <w:rsid w:val="38BA2FC6"/>
    <w:rsid w:val="38E250CA"/>
    <w:rsid w:val="395835DE"/>
    <w:rsid w:val="39AA5B2A"/>
    <w:rsid w:val="39B95231"/>
    <w:rsid w:val="39E7313A"/>
    <w:rsid w:val="39EC1C54"/>
    <w:rsid w:val="3A1F19CA"/>
    <w:rsid w:val="3A2F206E"/>
    <w:rsid w:val="3A8B731D"/>
    <w:rsid w:val="3A946897"/>
    <w:rsid w:val="3A9B7C32"/>
    <w:rsid w:val="3AAE4F93"/>
    <w:rsid w:val="3ACB48BB"/>
    <w:rsid w:val="3AD25272"/>
    <w:rsid w:val="3AFC6ED7"/>
    <w:rsid w:val="3B0112DE"/>
    <w:rsid w:val="3B282FD3"/>
    <w:rsid w:val="3B375346"/>
    <w:rsid w:val="3B5129DA"/>
    <w:rsid w:val="3B5B20B0"/>
    <w:rsid w:val="3BA33E48"/>
    <w:rsid w:val="3BBB7E54"/>
    <w:rsid w:val="3BBD0A54"/>
    <w:rsid w:val="3BBE58F0"/>
    <w:rsid w:val="3BDA41CF"/>
    <w:rsid w:val="3BE4409F"/>
    <w:rsid w:val="3C1557B6"/>
    <w:rsid w:val="3C663A24"/>
    <w:rsid w:val="3C75422F"/>
    <w:rsid w:val="3C7F41CC"/>
    <w:rsid w:val="3C9F32D2"/>
    <w:rsid w:val="3CAE272D"/>
    <w:rsid w:val="3D015D3A"/>
    <w:rsid w:val="3D386234"/>
    <w:rsid w:val="3D6406AA"/>
    <w:rsid w:val="3D7B0470"/>
    <w:rsid w:val="3D9D034F"/>
    <w:rsid w:val="3DD07A03"/>
    <w:rsid w:val="3DE32F0A"/>
    <w:rsid w:val="3E23065E"/>
    <w:rsid w:val="3E585D6B"/>
    <w:rsid w:val="3EC75511"/>
    <w:rsid w:val="3F41523B"/>
    <w:rsid w:val="3F5D34CD"/>
    <w:rsid w:val="3F620D12"/>
    <w:rsid w:val="3F9B2476"/>
    <w:rsid w:val="3FC12A9B"/>
    <w:rsid w:val="40287B7C"/>
    <w:rsid w:val="402B55A8"/>
    <w:rsid w:val="403A4B1E"/>
    <w:rsid w:val="40516350"/>
    <w:rsid w:val="4081490E"/>
    <w:rsid w:val="408F79A5"/>
    <w:rsid w:val="40B17223"/>
    <w:rsid w:val="40C96B6F"/>
    <w:rsid w:val="4113146D"/>
    <w:rsid w:val="41B62723"/>
    <w:rsid w:val="41C474D0"/>
    <w:rsid w:val="41C8474B"/>
    <w:rsid w:val="41CD47B2"/>
    <w:rsid w:val="41D45E19"/>
    <w:rsid w:val="423B584A"/>
    <w:rsid w:val="43166C1A"/>
    <w:rsid w:val="43291B47"/>
    <w:rsid w:val="432F247C"/>
    <w:rsid w:val="43625A2A"/>
    <w:rsid w:val="437F06E0"/>
    <w:rsid w:val="43C31F9B"/>
    <w:rsid w:val="43D14C90"/>
    <w:rsid w:val="44093E52"/>
    <w:rsid w:val="44475071"/>
    <w:rsid w:val="445E3AFF"/>
    <w:rsid w:val="44612E7B"/>
    <w:rsid w:val="44753B35"/>
    <w:rsid w:val="448160DE"/>
    <w:rsid w:val="4490793F"/>
    <w:rsid w:val="44A571E8"/>
    <w:rsid w:val="45343151"/>
    <w:rsid w:val="456F5F37"/>
    <w:rsid w:val="45BE1410"/>
    <w:rsid w:val="45CA5863"/>
    <w:rsid w:val="45E00434"/>
    <w:rsid w:val="45F047F0"/>
    <w:rsid w:val="45F4583A"/>
    <w:rsid w:val="46054912"/>
    <w:rsid w:val="46112717"/>
    <w:rsid w:val="46307B3F"/>
    <w:rsid w:val="46317690"/>
    <w:rsid w:val="466513CA"/>
    <w:rsid w:val="469448BA"/>
    <w:rsid w:val="46C422B2"/>
    <w:rsid w:val="46C818F2"/>
    <w:rsid w:val="46DC1289"/>
    <w:rsid w:val="472655E6"/>
    <w:rsid w:val="472D42FC"/>
    <w:rsid w:val="477D2815"/>
    <w:rsid w:val="47982EAF"/>
    <w:rsid w:val="47CA38F8"/>
    <w:rsid w:val="481B63B6"/>
    <w:rsid w:val="487550B7"/>
    <w:rsid w:val="48B40105"/>
    <w:rsid w:val="48C20A74"/>
    <w:rsid w:val="48D569F9"/>
    <w:rsid w:val="48D83D6A"/>
    <w:rsid w:val="48F202EF"/>
    <w:rsid w:val="49747127"/>
    <w:rsid w:val="49B35FD2"/>
    <w:rsid w:val="49B45B0A"/>
    <w:rsid w:val="49BF4D9E"/>
    <w:rsid w:val="49D337CF"/>
    <w:rsid w:val="4A2319E6"/>
    <w:rsid w:val="4A642CF0"/>
    <w:rsid w:val="4AC565F9"/>
    <w:rsid w:val="4AF07AF1"/>
    <w:rsid w:val="4B4439C2"/>
    <w:rsid w:val="4BD110E2"/>
    <w:rsid w:val="4C261319"/>
    <w:rsid w:val="4C261844"/>
    <w:rsid w:val="4C3E48B5"/>
    <w:rsid w:val="4C5E4F57"/>
    <w:rsid w:val="4C6F4027"/>
    <w:rsid w:val="4C975D73"/>
    <w:rsid w:val="4CDF1128"/>
    <w:rsid w:val="4D0B54AD"/>
    <w:rsid w:val="4D16026A"/>
    <w:rsid w:val="4D2A1AB4"/>
    <w:rsid w:val="4D633045"/>
    <w:rsid w:val="4DBA72D7"/>
    <w:rsid w:val="4DBD57AB"/>
    <w:rsid w:val="4E471E75"/>
    <w:rsid w:val="4E64507F"/>
    <w:rsid w:val="4E8D3684"/>
    <w:rsid w:val="4E957926"/>
    <w:rsid w:val="4F1E7270"/>
    <w:rsid w:val="4F224D8D"/>
    <w:rsid w:val="4F2C30EB"/>
    <w:rsid w:val="4F974A08"/>
    <w:rsid w:val="4FB54E8E"/>
    <w:rsid w:val="4FCD667C"/>
    <w:rsid w:val="4FE237A9"/>
    <w:rsid w:val="4FEB4368"/>
    <w:rsid w:val="501D04CE"/>
    <w:rsid w:val="501D387E"/>
    <w:rsid w:val="50493828"/>
    <w:rsid w:val="50591CBD"/>
    <w:rsid w:val="5076286F"/>
    <w:rsid w:val="50957359"/>
    <w:rsid w:val="509F6EC6"/>
    <w:rsid w:val="510D6CCE"/>
    <w:rsid w:val="511E659C"/>
    <w:rsid w:val="512B1283"/>
    <w:rsid w:val="51493A4C"/>
    <w:rsid w:val="517D5E7F"/>
    <w:rsid w:val="520143BB"/>
    <w:rsid w:val="520E29DF"/>
    <w:rsid w:val="5237602E"/>
    <w:rsid w:val="52397BDB"/>
    <w:rsid w:val="5261421A"/>
    <w:rsid w:val="52874813"/>
    <w:rsid w:val="52986A2B"/>
    <w:rsid w:val="52A068B2"/>
    <w:rsid w:val="53034162"/>
    <w:rsid w:val="53051C89"/>
    <w:rsid w:val="53182FAD"/>
    <w:rsid w:val="53283BC9"/>
    <w:rsid w:val="53542C10"/>
    <w:rsid w:val="535A78E2"/>
    <w:rsid w:val="536F17F8"/>
    <w:rsid w:val="53874D93"/>
    <w:rsid w:val="53932FF4"/>
    <w:rsid w:val="53CC09F8"/>
    <w:rsid w:val="53DC53F9"/>
    <w:rsid w:val="543071D9"/>
    <w:rsid w:val="543C16DA"/>
    <w:rsid w:val="54843081"/>
    <w:rsid w:val="54E720BB"/>
    <w:rsid w:val="551B4A12"/>
    <w:rsid w:val="5588094F"/>
    <w:rsid w:val="558A2919"/>
    <w:rsid w:val="55D752C5"/>
    <w:rsid w:val="5634588C"/>
    <w:rsid w:val="56615E0C"/>
    <w:rsid w:val="567846EC"/>
    <w:rsid w:val="56AC0B61"/>
    <w:rsid w:val="56B45E9F"/>
    <w:rsid w:val="5714693E"/>
    <w:rsid w:val="57272B15"/>
    <w:rsid w:val="575C16B2"/>
    <w:rsid w:val="57966F2A"/>
    <w:rsid w:val="57AD207D"/>
    <w:rsid w:val="5806097D"/>
    <w:rsid w:val="58134E48"/>
    <w:rsid w:val="583A6878"/>
    <w:rsid w:val="587873A1"/>
    <w:rsid w:val="5889335C"/>
    <w:rsid w:val="58B80B09"/>
    <w:rsid w:val="58C500FD"/>
    <w:rsid w:val="58DC7930"/>
    <w:rsid w:val="590C03A2"/>
    <w:rsid w:val="596334BB"/>
    <w:rsid w:val="59727BBE"/>
    <w:rsid w:val="59964C22"/>
    <w:rsid w:val="59A541C5"/>
    <w:rsid w:val="59A97E57"/>
    <w:rsid w:val="59BB12F3"/>
    <w:rsid w:val="5A112DD4"/>
    <w:rsid w:val="5A4A24F3"/>
    <w:rsid w:val="5A5B1C29"/>
    <w:rsid w:val="5A7F2300"/>
    <w:rsid w:val="5AED49A0"/>
    <w:rsid w:val="5B92709A"/>
    <w:rsid w:val="5BDA5CF3"/>
    <w:rsid w:val="5BFE0297"/>
    <w:rsid w:val="5C161EDE"/>
    <w:rsid w:val="5C207B33"/>
    <w:rsid w:val="5C880D1C"/>
    <w:rsid w:val="5CA91A5D"/>
    <w:rsid w:val="5D04082A"/>
    <w:rsid w:val="5D2914FD"/>
    <w:rsid w:val="5D5E4DB7"/>
    <w:rsid w:val="5D611791"/>
    <w:rsid w:val="5D755C5D"/>
    <w:rsid w:val="5DAE0264"/>
    <w:rsid w:val="5DD5494D"/>
    <w:rsid w:val="5DDE74C5"/>
    <w:rsid w:val="5DFB2A3C"/>
    <w:rsid w:val="5E8819C0"/>
    <w:rsid w:val="5E916AC6"/>
    <w:rsid w:val="5E9640DD"/>
    <w:rsid w:val="5E992621"/>
    <w:rsid w:val="5EC67DA5"/>
    <w:rsid w:val="5ED247CC"/>
    <w:rsid w:val="5F3A0F0C"/>
    <w:rsid w:val="5F58262D"/>
    <w:rsid w:val="5F6419A2"/>
    <w:rsid w:val="5F6817F6"/>
    <w:rsid w:val="5F775691"/>
    <w:rsid w:val="600414DC"/>
    <w:rsid w:val="603319A6"/>
    <w:rsid w:val="605F1472"/>
    <w:rsid w:val="60A0022D"/>
    <w:rsid w:val="60A12843"/>
    <w:rsid w:val="60BA744E"/>
    <w:rsid w:val="60BB23FA"/>
    <w:rsid w:val="60FB49D2"/>
    <w:rsid w:val="6138147B"/>
    <w:rsid w:val="618164DD"/>
    <w:rsid w:val="61D474C9"/>
    <w:rsid w:val="61F77A0A"/>
    <w:rsid w:val="62950A8E"/>
    <w:rsid w:val="629774D1"/>
    <w:rsid w:val="62B339C2"/>
    <w:rsid w:val="62BE64F4"/>
    <w:rsid w:val="62C9714A"/>
    <w:rsid w:val="635A48B1"/>
    <w:rsid w:val="635B3466"/>
    <w:rsid w:val="637B00FA"/>
    <w:rsid w:val="63C90AB0"/>
    <w:rsid w:val="63DC4C88"/>
    <w:rsid w:val="64234172"/>
    <w:rsid w:val="6431668F"/>
    <w:rsid w:val="644D7933"/>
    <w:rsid w:val="64803EF5"/>
    <w:rsid w:val="64835103"/>
    <w:rsid w:val="64970BAF"/>
    <w:rsid w:val="64AA6F1D"/>
    <w:rsid w:val="64F8164D"/>
    <w:rsid w:val="6502427A"/>
    <w:rsid w:val="655C1F5A"/>
    <w:rsid w:val="656C3DE9"/>
    <w:rsid w:val="65715BFD"/>
    <w:rsid w:val="65732D00"/>
    <w:rsid w:val="65B34C8C"/>
    <w:rsid w:val="65C37EAD"/>
    <w:rsid w:val="66050395"/>
    <w:rsid w:val="661A0932"/>
    <w:rsid w:val="66302426"/>
    <w:rsid w:val="66364452"/>
    <w:rsid w:val="6651710F"/>
    <w:rsid w:val="66624588"/>
    <w:rsid w:val="66624590"/>
    <w:rsid w:val="669B6734"/>
    <w:rsid w:val="66BE68C6"/>
    <w:rsid w:val="66C739CD"/>
    <w:rsid w:val="66D90189"/>
    <w:rsid w:val="66E85FB4"/>
    <w:rsid w:val="67330E86"/>
    <w:rsid w:val="674033C8"/>
    <w:rsid w:val="67614E4C"/>
    <w:rsid w:val="679C7C07"/>
    <w:rsid w:val="67B37AAD"/>
    <w:rsid w:val="67D03874"/>
    <w:rsid w:val="67F524F3"/>
    <w:rsid w:val="67F92005"/>
    <w:rsid w:val="68025435"/>
    <w:rsid w:val="687E630D"/>
    <w:rsid w:val="688F22C8"/>
    <w:rsid w:val="68C267B6"/>
    <w:rsid w:val="68CF738C"/>
    <w:rsid w:val="68F20812"/>
    <w:rsid w:val="69021FA8"/>
    <w:rsid w:val="69137A07"/>
    <w:rsid w:val="697415F1"/>
    <w:rsid w:val="697F3ADF"/>
    <w:rsid w:val="69935DE8"/>
    <w:rsid w:val="69DA3ABA"/>
    <w:rsid w:val="6A3762A4"/>
    <w:rsid w:val="6A631F51"/>
    <w:rsid w:val="6A887F5F"/>
    <w:rsid w:val="6AAB7162"/>
    <w:rsid w:val="6AC3566F"/>
    <w:rsid w:val="6B037C3A"/>
    <w:rsid w:val="6B2B4A32"/>
    <w:rsid w:val="6B3A67D0"/>
    <w:rsid w:val="6B4B7556"/>
    <w:rsid w:val="6B6179F5"/>
    <w:rsid w:val="6B7C13D5"/>
    <w:rsid w:val="6BCE135A"/>
    <w:rsid w:val="6BD72D2C"/>
    <w:rsid w:val="6C0652F9"/>
    <w:rsid w:val="6C53512B"/>
    <w:rsid w:val="6C560EC1"/>
    <w:rsid w:val="6C8E0AE9"/>
    <w:rsid w:val="6CA04267"/>
    <w:rsid w:val="6CA63EB8"/>
    <w:rsid w:val="6CB227F2"/>
    <w:rsid w:val="6CC30793"/>
    <w:rsid w:val="6CC8224D"/>
    <w:rsid w:val="6D18328F"/>
    <w:rsid w:val="6D6A3304"/>
    <w:rsid w:val="6D8C5C0C"/>
    <w:rsid w:val="6D8D7335"/>
    <w:rsid w:val="6DF95048"/>
    <w:rsid w:val="6E0472B5"/>
    <w:rsid w:val="6E09753D"/>
    <w:rsid w:val="6E7320EC"/>
    <w:rsid w:val="6EB73860"/>
    <w:rsid w:val="6EF255E1"/>
    <w:rsid w:val="6F3C1C82"/>
    <w:rsid w:val="6F4B5004"/>
    <w:rsid w:val="6F9E02F2"/>
    <w:rsid w:val="6FF00AC7"/>
    <w:rsid w:val="700F01D3"/>
    <w:rsid w:val="7015387B"/>
    <w:rsid w:val="705A41AE"/>
    <w:rsid w:val="70B30B1E"/>
    <w:rsid w:val="70D07922"/>
    <w:rsid w:val="70E14841"/>
    <w:rsid w:val="7113156F"/>
    <w:rsid w:val="713A123F"/>
    <w:rsid w:val="718524BB"/>
    <w:rsid w:val="718631F8"/>
    <w:rsid w:val="71CE1DE8"/>
    <w:rsid w:val="71E60A7F"/>
    <w:rsid w:val="72A11576"/>
    <w:rsid w:val="72B56CCB"/>
    <w:rsid w:val="72D46929"/>
    <w:rsid w:val="72D57472"/>
    <w:rsid w:val="72D729DB"/>
    <w:rsid w:val="72EC0317"/>
    <w:rsid w:val="73353469"/>
    <w:rsid w:val="73644117"/>
    <w:rsid w:val="736D3FC9"/>
    <w:rsid w:val="73BF6E3A"/>
    <w:rsid w:val="73D03795"/>
    <w:rsid w:val="74026044"/>
    <w:rsid w:val="74035919"/>
    <w:rsid w:val="741D30BD"/>
    <w:rsid w:val="74213FF1"/>
    <w:rsid w:val="74962374"/>
    <w:rsid w:val="7499627D"/>
    <w:rsid w:val="74C07CAE"/>
    <w:rsid w:val="74FB38D2"/>
    <w:rsid w:val="74FF3D98"/>
    <w:rsid w:val="750E0A19"/>
    <w:rsid w:val="75606932"/>
    <w:rsid w:val="75685790"/>
    <w:rsid w:val="756E5918"/>
    <w:rsid w:val="75712C55"/>
    <w:rsid w:val="75734D20"/>
    <w:rsid w:val="757B7431"/>
    <w:rsid w:val="75D7226C"/>
    <w:rsid w:val="76332FB4"/>
    <w:rsid w:val="763C3364"/>
    <w:rsid w:val="763E5F57"/>
    <w:rsid w:val="76740D50"/>
    <w:rsid w:val="769C1001"/>
    <w:rsid w:val="76D8244A"/>
    <w:rsid w:val="76EB38E3"/>
    <w:rsid w:val="775547B2"/>
    <w:rsid w:val="777404D2"/>
    <w:rsid w:val="77F35CA4"/>
    <w:rsid w:val="781D7C27"/>
    <w:rsid w:val="7875145D"/>
    <w:rsid w:val="788809AD"/>
    <w:rsid w:val="78A23E67"/>
    <w:rsid w:val="78AF7473"/>
    <w:rsid w:val="78BB3CBA"/>
    <w:rsid w:val="79291DBD"/>
    <w:rsid w:val="79463D2A"/>
    <w:rsid w:val="79584959"/>
    <w:rsid w:val="796E3278"/>
    <w:rsid w:val="7984574E"/>
    <w:rsid w:val="79B80DE0"/>
    <w:rsid w:val="7A574C10"/>
    <w:rsid w:val="7A7F1A71"/>
    <w:rsid w:val="7AAC0AB8"/>
    <w:rsid w:val="7AAF2356"/>
    <w:rsid w:val="7AC901A9"/>
    <w:rsid w:val="7AD06AA1"/>
    <w:rsid w:val="7B011F41"/>
    <w:rsid w:val="7B0C59FB"/>
    <w:rsid w:val="7B101CDA"/>
    <w:rsid w:val="7B587A97"/>
    <w:rsid w:val="7B7209AE"/>
    <w:rsid w:val="7B991A45"/>
    <w:rsid w:val="7BD644A9"/>
    <w:rsid w:val="7C162517"/>
    <w:rsid w:val="7C2D3A49"/>
    <w:rsid w:val="7C5950EA"/>
    <w:rsid w:val="7D657644"/>
    <w:rsid w:val="7D670C49"/>
    <w:rsid w:val="7D9A5540"/>
    <w:rsid w:val="7DA16686"/>
    <w:rsid w:val="7DB40352"/>
    <w:rsid w:val="7DF67493"/>
    <w:rsid w:val="7E3B4056"/>
    <w:rsid w:val="7E8640F9"/>
    <w:rsid w:val="7E8E06E9"/>
    <w:rsid w:val="7EA31D98"/>
    <w:rsid w:val="7EC81C39"/>
    <w:rsid w:val="7EF700DD"/>
    <w:rsid w:val="7F2655FA"/>
    <w:rsid w:val="7F3160FD"/>
    <w:rsid w:val="7F951BF0"/>
    <w:rsid w:val="7FBD6760"/>
    <w:rsid w:val="EEB3F4F2"/>
    <w:rsid w:val="F97FDFF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nhideWhenUsed="0" w:uiPriority="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仿宋_GB2312" w:eastAsia="仿宋_GB2312" w:cstheme="minorBidi"/>
      <w:kern w:val="2"/>
      <w:sz w:val="28"/>
      <w:szCs w:val="22"/>
      <w:lang w:val="en-US" w:eastAsia="zh-CN" w:bidi="ar-SA"/>
    </w:rPr>
  </w:style>
  <w:style w:type="paragraph" w:styleId="2">
    <w:name w:val="heading 1"/>
    <w:basedOn w:val="1"/>
    <w:next w:val="1"/>
    <w:link w:val="35"/>
    <w:qFormat/>
    <w:uiPriority w:val="9"/>
    <w:pPr>
      <w:keepNext/>
      <w:keepLines/>
      <w:spacing w:before="200" w:after="200"/>
      <w:ind w:firstLine="0" w:firstLineChars="0"/>
      <w:outlineLvl w:val="0"/>
    </w:pPr>
    <w:rPr>
      <w:rFonts w:ascii="黑体" w:hAnsi="黑体" w:eastAsia="黑体"/>
      <w:b/>
      <w:bCs/>
      <w:kern w:val="44"/>
      <w:sz w:val="32"/>
      <w:szCs w:val="44"/>
    </w:rPr>
  </w:style>
  <w:style w:type="paragraph" w:styleId="3">
    <w:name w:val="heading 2"/>
    <w:basedOn w:val="1"/>
    <w:next w:val="1"/>
    <w:link w:val="36"/>
    <w:unhideWhenUsed/>
    <w:qFormat/>
    <w:uiPriority w:val="9"/>
    <w:pPr>
      <w:keepNext/>
      <w:keepLines/>
      <w:spacing w:before="100" w:after="100"/>
      <w:outlineLvl w:val="1"/>
    </w:pPr>
    <w:rPr>
      <w:rFonts w:ascii="楷体" w:hAnsi="楷体" w:eastAsia="楷体" w:cstheme="majorBidi"/>
      <w:b/>
      <w:bCs/>
      <w:sz w:val="32"/>
      <w:szCs w:val="32"/>
    </w:rPr>
  </w:style>
  <w:style w:type="paragraph" w:styleId="4">
    <w:name w:val="heading 3"/>
    <w:basedOn w:val="1"/>
    <w:next w:val="1"/>
    <w:link w:val="37"/>
    <w:unhideWhenUsed/>
    <w:qFormat/>
    <w:uiPriority w:val="9"/>
    <w:pPr>
      <w:keepNext/>
      <w:keepLines/>
      <w:outlineLvl w:val="2"/>
    </w:pPr>
    <w:rPr>
      <w:b/>
      <w:bCs/>
      <w:szCs w:val="32"/>
    </w:rPr>
  </w:style>
  <w:style w:type="paragraph" w:styleId="5">
    <w:name w:val="heading 4"/>
    <w:basedOn w:val="1"/>
    <w:next w:val="1"/>
    <w:link w:val="47"/>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6">
    <w:name w:val="heading 5"/>
    <w:basedOn w:val="1"/>
    <w:next w:val="1"/>
    <w:link w:val="48"/>
    <w:unhideWhenUsed/>
    <w:qFormat/>
    <w:uiPriority w:val="9"/>
    <w:pPr>
      <w:keepNext/>
      <w:keepLines/>
      <w:spacing w:before="280" w:after="290" w:line="376" w:lineRule="auto"/>
      <w:outlineLvl w:val="4"/>
    </w:pPr>
    <w:rPr>
      <w:b/>
      <w:bCs/>
      <w:szCs w:val="28"/>
    </w:rPr>
  </w:style>
  <w:style w:type="paragraph" w:styleId="7">
    <w:name w:val="heading 6"/>
    <w:basedOn w:val="1"/>
    <w:next w:val="1"/>
    <w:unhideWhenUsed/>
    <w:qFormat/>
    <w:uiPriority w:val="9"/>
    <w:pPr>
      <w:keepNext/>
      <w:keepLines/>
      <w:outlineLvl w:val="5"/>
    </w:pPr>
    <w:rPr>
      <w:rFonts w:ascii="Cambria" w:hAnsi="Cambria"/>
      <w:bCs/>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8">
    <w:name w:val="caption"/>
    <w:basedOn w:val="1"/>
    <w:next w:val="1"/>
    <w:unhideWhenUsed/>
    <w:qFormat/>
    <w:uiPriority w:val="0"/>
    <w:rPr>
      <w:rFonts w:eastAsia="黑体" w:asciiTheme="majorHAnsi" w:hAnsiTheme="majorHAnsi" w:cstheme="majorBidi"/>
      <w:sz w:val="20"/>
      <w:szCs w:val="20"/>
    </w:rPr>
  </w:style>
  <w:style w:type="paragraph" w:styleId="9">
    <w:name w:val="annotation text"/>
    <w:basedOn w:val="1"/>
    <w:link w:val="39"/>
    <w:unhideWhenUsed/>
    <w:qFormat/>
    <w:uiPriority w:val="99"/>
    <w:pPr>
      <w:jc w:val="left"/>
    </w:pPr>
  </w:style>
  <w:style w:type="paragraph" w:styleId="10">
    <w:name w:val="index 6"/>
    <w:basedOn w:val="1"/>
    <w:next w:val="1"/>
    <w:semiHidden/>
    <w:qFormat/>
    <w:uiPriority w:val="0"/>
    <w:pPr>
      <w:ind w:firstLine="640" w:firstLineChars="200"/>
    </w:pPr>
    <w:rPr>
      <w:rFonts w:ascii="仿宋_GB2312" w:hAnsi="仿宋_GB2312" w:eastAsia="仿宋_GB2312" w:cs="仿宋_GB2312"/>
      <w:color w:val="0000FF"/>
      <w:sz w:val="32"/>
      <w:szCs w:val="32"/>
    </w:rPr>
  </w:style>
  <w:style w:type="paragraph" w:styleId="11">
    <w:name w:val="Body Text"/>
    <w:basedOn w:val="1"/>
    <w:next w:val="1"/>
    <w:qFormat/>
    <w:uiPriority w:val="99"/>
    <w:rPr>
      <w:szCs w:val="21"/>
    </w:rPr>
  </w:style>
  <w:style w:type="paragraph" w:styleId="12">
    <w:name w:val="Body Text Indent"/>
    <w:basedOn w:val="1"/>
    <w:link w:val="49"/>
    <w:qFormat/>
    <w:uiPriority w:val="0"/>
    <w:pPr>
      <w:ind w:left="200" w:leftChars="200"/>
    </w:pPr>
    <w:rPr>
      <w:szCs w:val="21"/>
    </w:rPr>
  </w:style>
  <w:style w:type="paragraph" w:styleId="13">
    <w:name w:val="Plain Text"/>
    <w:basedOn w:val="1"/>
    <w:qFormat/>
    <w:uiPriority w:val="0"/>
    <w:rPr>
      <w:rFonts w:hint="eastAsia" w:ascii="宋体" w:hAnsi="Courier New" w:eastAsia="宋体" w:cs="Times New Roman"/>
      <w:szCs w:val="20"/>
    </w:rPr>
  </w:style>
  <w:style w:type="paragraph" w:styleId="14">
    <w:name w:val="Body Text Indent 2"/>
    <w:basedOn w:val="1"/>
    <w:next w:val="13"/>
    <w:qFormat/>
    <w:uiPriority w:val="0"/>
    <w:pPr>
      <w:ind w:left="-718" w:leftChars="-342" w:firstLine="720" w:firstLineChars="225"/>
      <w:jc w:val="left"/>
    </w:pPr>
    <w:rPr>
      <w:sz w:val="32"/>
      <w:szCs w:val="32"/>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8296"/>
      </w:tabs>
      <w:ind w:firstLine="0" w:firstLineChars="0"/>
    </w:pPr>
    <w:rPr>
      <w:rFonts w:hAnsi="宋体"/>
      <w:b/>
      <w:bCs/>
    </w:rPr>
  </w:style>
  <w:style w:type="paragraph" w:styleId="18">
    <w:name w:val="toc 2"/>
    <w:basedOn w:val="1"/>
    <w:next w:val="1"/>
    <w:unhideWhenUsed/>
    <w:qFormat/>
    <w:uiPriority w:val="39"/>
    <w:pPr>
      <w:tabs>
        <w:tab w:val="right" w:leader="dot" w:pos="8296"/>
      </w:tabs>
      <w:ind w:left="560" w:leftChars="200" w:firstLine="0" w:firstLineChars="0"/>
    </w:pPr>
  </w:style>
  <w:style w:type="paragraph" w:styleId="1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20">
    <w:name w:val="Normal (Web)"/>
    <w:basedOn w:val="1"/>
    <w:semiHidden/>
    <w:unhideWhenUsed/>
    <w:qFormat/>
    <w:uiPriority w:val="99"/>
    <w:pPr>
      <w:spacing w:beforeAutospacing="1" w:afterAutospacing="1"/>
      <w:jc w:val="left"/>
    </w:pPr>
    <w:rPr>
      <w:rFonts w:cs="Times New Roman"/>
      <w:kern w:val="0"/>
      <w:sz w:val="24"/>
    </w:rPr>
  </w:style>
  <w:style w:type="paragraph" w:styleId="21">
    <w:name w:val="index 1"/>
    <w:basedOn w:val="1"/>
    <w:next w:val="1"/>
    <w:qFormat/>
    <w:uiPriority w:val="0"/>
  </w:style>
  <w:style w:type="paragraph" w:styleId="22">
    <w:name w:val="annotation subject"/>
    <w:basedOn w:val="9"/>
    <w:next w:val="9"/>
    <w:link w:val="40"/>
    <w:semiHidden/>
    <w:unhideWhenUsed/>
    <w:qFormat/>
    <w:uiPriority w:val="99"/>
    <w:rPr>
      <w:b/>
      <w:bCs/>
    </w:rPr>
  </w:style>
  <w:style w:type="paragraph" w:styleId="23">
    <w:name w:val="Body Text First Indent 2"/>
    <w:basedOn w:val="12"/>
    <w:link w:val="50"/>
    <w:unhideWhenUsed/>
    <w:qFormat/>
    <w:uiPriority w:val="0"/>
    <w:pPr>
      <w:spacing w:after="120"/>
      <w:ind w:left="420" w:firstLine="420"/>
    </w:pPr>
    <w:rPr>
      <w:szCs w:val="22"/>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Hyperlink"/>
    <w:basedOn w:val="26"/>
    <w:unhideWhenUsed/>
    <w:qFormat/>
    <w:uiPriority w:val="99"/>
    <w:rPr>
      <w:color w:val="0563C1" w:themeColor="hyperlink"/>
      <w:u w:val="single"/>
      <w14:textFill>
        <w14:solidFill>
          <w14:schemeClr w14:val="hlink"/>
        </w14:solidFill>
      </w14:textFill>
    </w:rPr>
  </w:style>
  <w:style w:type="character" w:styleId="28">
    <w:name w:val="annotation reference"/>
    <w:basedOn w:val="26"/>
    <w:semiHidden/>
    <w:unhideWhenUsed/>
    <w:qFormat/>
    <w:uiPriority w:val="99"/>
    <w:rPr>
      <w:sz w:val="21"/>
      <w:szCs w:val="21"/>
    </w:rPr>
  </w:style>
  <w:style w:type="paragraph" w:customStyle="1" w:styleId="29">
    <w:name w:val="正文文本首行缩进 21"/>
    <w:basedOn w:val="1"/>
    <w:qFormat/>
    <w:uiPriority w:val="0"/>
    <w:pPr>
      <w:ind w:left="420" w:leftChars="200" w:firstLine="420"/>
    </w:pPr>
  </w:style>
  <w:style w:type="paragraph" w:customStyle="1" w:styleId="30">
    <w:name w:val="Body Text First Indent 21"/>
    <w:basedOn w:val="1"/>
    <w:qFormat/>
    <w:uiPriority w:val="0"/>
    <w:pPr>
      <w:ind w:left="420" w:leftChars="200" w:firstLine="420"/>
    </w:pPr>
  </w:style>
  <w:style w:type="paragraph" w:customStyle="1" w:styleId="31">
    <w:name w:val="BodyTextIndent"/>
    <w:basedOn w:val="1"/>
    <w:qFormat/>
    <w:uiPriority w:val="0"/>
    <w:pPr>
      <w:widowControl/>
      <w:ind w:left="200" w:leftChars="200"/>
      <w:textAlignment w:val="baseline"/>
    </w:pPr>
    <w:rPr>
      <w:sz w:val="21"/>
      <w:szCs w:val="21"/>
    </w:rPr>
  </w:style>
  <w:style w:type="character" w:customStyle="1" w:styleId="32">
    <w:name w:val="页眉 字符"/>
    <w:basedOn w:val="26"/>
    <w:link w:val="16"/>
    <w:qFormat/>
    <w:uiPriority w:val="99"/>
    <w:rPr>
      <w:sz w:val="18"/>
      <w:szCs w:val="18"/>
    </w:rPr>
  </w:style>
  <w:style w:type="character" w:customStyle="1" w:styleId="33">
    <w:name w:val="页脚 字符"/>
    <w:basedOn w:val="26"/>
    <w:link w:val="15"/>
    <w:qFormat/>
    <w:uiPriority w:val="99"/>
    <w:rPr>
      <w:sz w:val="18"/>
      <w:szCs w:val="18"/>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Cs w:val="32"/>
    </w:rPr>
  </w:style>
  <w:style w:type="character" w:customStyle="1" w:styleId="35">
    <w:name w:val="标题 1 字符"/>
    <w:basedOn w:val="26"/>
    <w:link w:val="2"/>
    <w:qFormat/>
    <w:uiPriority w:val="9"/>
    <w:rPr>
      <w:rFonts w:ascii="黑体" w:hAnsi="黑体" w:eastAsia="黑体"/>
      <w:b/>
      <w:bCs/>
      <w:kern w:val="44"/>
      <w:sz w:val="32"/>
      <w:szCs w:val="44"/>
    </w:rPr>
  </w:style>
  <w:style w:type="character" w:customStyle="1" w:styleId="36">
    <w:name w:val="标题 2 字符"/>
    <w:basedOn w:val="26"/>
    <w:link w:val="3"/>
    <w:qFormat/>
    <w:uiPriority w:val="9"/>
    <w:rPr>
      <w:rFonts w:ascii="楷体" w:hAnsi="楷体" w:eastAsia="楷体" w:cstheme="majorBidi"/>
      <w:b/>
      <w:bCs/>
      <w:sz w:val="32"/>
      <w:szCs w:val="32"/>
    </w:rPr>
  </w:style>
  <w:style w:type="character" w:customStyle="1" w:styleId="37">
    <w:name w:val="标题 3 字符"/>
    <w:basedOn w:val="26"/>
    <w:link w:val="4"/>
    <w:qFormat/>
    <w:uiPriority w:val="9"/>
    <w:rPr>
      <w:rFonts w:ascii="仿宋_GB2312" w:hAnsi="仿宋_GB2312" w:eastAsia="仿宋_GB2312"/>
      <w:b/>
      <w:bCs/>
      <w:sz w:val="28"/>
      <w:szCs w:val="32"/>
    </w:rPr>
  </w:style>
  <w:style w:type="character" w:customStyle="1" w:styleId="38">
    <w:name w:val="font01"/>
    <w:basedOn w:val="26"/>
    <w:qFormat/>
    <w:uiPriority w:val="0"/>
    <w:rPr>
      <w:rFonts w:hint="eastAsia" w:ascii="宋体" w:hAnsi="宋体" w:eastAsia="宋体" w:cs="宋体"/>
      <w:color w:val="000000"/>
      <w:sz w:val="21"/>
      <w:szCs w:val="21"/>
      <w:u w:val="none"/>
    </w:rPr>
  </w:style>
  <w:style w:type="character" w:customStyle="1" w:styleId="39">
    <w:name w:val="批注文字 字符"/>
    <w:basedOn w:val="26"/>
    <w:link w:val="9"/>
    <w:qFormat/>
    <w:uiPriority w:val="99"/>
    <w:rPr>
      <w:rFonts w:ascii="仿宋_GB2312" w:hAnsi="仿宋_GB2312" w:eastAsia="仿宋_GB2312" w:cstheme="minorBidi"/>
      <w:kern w:val="2"/>
      <w:sz w:val="28"/>
      <w:szCs w:val="22"/>
    </w:rPr>
  </w:style>
  <w:style w:type="character" w:customStyle="1" w:styleId="40">
    <w:name w:val="批注主题 字符"/>
    <w:basedOn w:val="39"/>
    <w:link w:val="22"/>
    <w:semiHidden/>
    <w:qFormat/>
    <w:uiPriority w:val="99"/>
    <w:rPr>
      <w:rFonts w:ascii="仿宋_GB2312" w:hAnsi="仿宋_GB2312" w:eastAsia="仿宋_GB2312" w:cstheme="minorBidi"/>
      <w:b/>
      <w:bCs/>
      <w:kern w:val="2"/>
      <w:sz w:val="28"/>
      <w:szCs w:val="22"/>
    </w:rPr>
  </w:style>
  <w:style w:type="paragraph" w:customStyle="1" w:styleId="41">
    <w:name w:val="NormalIndent"/>
    <w:basedOn w:val="1"/>
    <w:qFormat/>
    <w:uiPriority w:val="99"/>
    <w:pPr>
      <w:ind w:firstLine="420"/>
      <w:textAlignment w:val="baseline"/>
    </w:pPr>
    <w:rPr>
      <w:szCs w:val="21"/>
    </w:rPr>
  </w:style>
  <w:style w:type="character" w:customStyle="1" w:styleId="42">
    <w:name w:val="content1"/>
    <w:basedOn w:val="26"/>
    <w:qFormat/>
    <w:uiPriority w:val="0"/>
    <w:rPr>
      <w:rFonts w:hint="default"/>
      <w:sz w:val="21"/>
    </w:rPr>
  </w:style>
  <w:style w:type="paragraph" w:customStyle="1" w:styleId="43">
    <w:name w:val="Char2"/>
    <w:basedOn w:val="1"/>
    <w:qFormat/>
    <w:uiPriority w:val="0"/>
    <w:rPr>
      <w:rFonts w:ascii="Courier" w:hAnsi="Courier" w:cs="Courier"/>
      <w:szCs w:val="21"/>
    </w:rPr>
  </w:style>
  <w:style w:type="character" w:customStyle="1" w:styleId="44">
    <w:name w:val="NormalCharacter"/>
    <w:semiHidden/>
    <w:qFormat/>
    <w:uiPriority w:val="0"/>
  </w:style>
  <w:style w:type="paragraph" w:customStyle="1" w:styleId="45">
    <w:name w:val="Normal Indent1"/>
    <w:basedOn w:val="1"/>
    <w:qFormat/>
    <w:uiPriority w:val="99"/>
    <w:pPr>
      <w:ind w:firstLine="420"/>
    </w:pPr>
  </w:style>
  <w:style w:type="paragraph" w:styleId="46">
    <w:name w:val="List Paragraph"/>
    <w:basedOn w:val="1"/>
    <w:qFormat/>
    <w:uiPriority w:val="99"/>
    <w:pPr>
      <w:ind w:firstLine="420"/>
    </w:pPr>
  </w:style>
  <w:style w:type="character" w:customStyle="1" w:styleId="47">
    <w:name w:val="标题 4 字符"/>
    <w:basedOn w:val="26"/>
    <w:link w:val="5"/>
    <w:qFormat/>
    <w:uiPriority w:val="9"/>
    <w:rPr>
      <w:rFonts w:asciiTheme="majorHAnsi" w:hAnsiTheme="majorHAnsi" w:eastAsiaTheme="majorEastAsia" w:cstheme="majorBidi"/>
      <w:b/>
      <w:bCs/>
      <w:kern w:val="2"/>
      <w:sz w:val="28"/>
      <w:szCs w:val="28"/>
    </w:rPr>
  </w:style>
  <w:style w:type="character" w:customStyle="1" w:styleId="48">
    <w:name w:val="标题 5 字符"/>
    <w:basedOn w:val="26"/>
    <w:link w:val="6"/>
    <w:qFormat/>
    <w:uiPriority w:val="9"/>
    <w:rPr>
      <w:rFonts w:ascii="仿宋_GB2312" w:hAnsi="仿宋_GB2312" w:eastAsia="仿宋_GB2312" w:cstheme="minorBidi"/>
      <w:b/>
      <w:bCs/>
      <w:kern w:val="2"/>
      <w:sz w:val="28"/>
      <w:szCs w:val="28"/>
    </w:rPr>
  </w:style>
  <w:style w:type="character" w:customStyle="1" w:styleId="49">
    <w:name w:val="正文文本缩进 字符"/>
    <w:basedOn w:val="26"/>
    <w:link w:val="12"/>
    <w:qFormat/>
    <w:uiPriority w:val="0"/>
    <w:rPr>
      <w:rFonts w:ascii="仿宋_GB2312" w:hAnsi="仿宋_GB2312" w:eastAsia="仿宋_GB2312" w:cstheme="minorBidi"/>
      <w:kern w:val="2"/>
      <w:sz w:val="28"/>
      <w:szCs w:val="21"/>
    </w:rPr>
  </w:style>
  <w:style w:type="character" w:customStyle="1" w:styleId="50">
    <w:name w:val="正文文本首行缩进 2 字符"/>
    <w:basedOn w:val="49"/>
    <w:link w:val="23"/>
    <w:qFormat/>
    <w:uiPriority w:val="0"/>
    <w:rPr>
      <w:rFonts w:ascii="仿宋_GB2312" w:hAnsi="仿宋_GB2312" w:eastAsia="仿宋_GB2312" w:cstheme="minorBidi"/>
      <w:kern w:val="2"/>
      <w:sz w:val="28"/>
      <w:szCs w:val="22"/>
    </w:rPr>
  </w:style>
  <w:style w:type="paragraph" w:customStyle="1" w:styleId="51">
    <w:name w:val="Body Text First Indent 2"/>
    <w:basedOn w:val="1"/>
    <w:qFormat/>
    <w:uiPriority w:val="0"/>
    <w:pPr>
      <w:ind w:left="420" w:leftChars="200" w:firstLine="420" w:firstLineChars="200"/>
    </w:pPr>
  </w:style>
  <w:style w:type="character" w:customStyle="1" w:styleId="52">
    <w:name w:val="font41"/>
    <w:basedOn w:val="26"/>
    <w:qFormat/>
    <w:uiPriority w:val="0"/>
    <w:rPr>
      <w:rFonts w:hint="eastAsia" w:ascii="仿宋_GB2312" w:eastAsia="仿宋_GB2312" w:cs="仿宋_GB2312"/>
      <w:b/>
      <w:bCs/>
      <w:color w:val="000000"/>
      <w:sz w:val="24"/>
      <w:szCs w:val="24"/>
      <w:u w:val="none"/>
    </w:rPr>
  </w:style>
  <w:style w:type="character" w:customStyle="1" w:styleId="53">
    <w:name w:val="font31"/>
    <w:basedOn w:val="26"/>
    <w:qFormat/>
    <w:uiPriority w:val="0"/>
    <w:rPr>
      <w:rFonts w:hint="eastAsia" w:ascii="仿宋_GB2312" w:eastAsia="仿宋_GB2312" w:cs="仿宋_GB2312"/>
      <w:color w:val="000000"/>
      <w:sz w:val="24"/>
      <w:szCs w:val="24"/>
      <w:u w:val="none"/>
    </w:rPr>
  </w:style>
  <w:style w:type="character" w:customStyle="1" w:styleId="54">
    <w:name w:val="font21"/>
    <w:basedOn w:val="26"/>
    <w:qFormat/>
    <w:uiPriority w:val="0"/>
    <w:rPr>
      <w:rFonts w:hint="eastAsia" w:ascii="仿宋_GB2312" w:eastAsia="仿宋_GB2312" w:cs="仿宋_GB2312"/>
      <w:b/>
      <w:bCs/>
      <w:color w:val="000000"/>
      <w:sz w:val="24"/>
      <w:szCs w:val="24"/>
      <w:u w:val="none"/>
    </w:rPr>
  </w:style>
  <w:style w:type="paragraph" w:customStyle="1" w:styleId="55">
    <w:name w:val="列出段落1"/>
    <w:basedOn w:val="1"/>
    <w:qFormat/>
    <w:uiPriority w:val="0"/>
    <w:pPr>
      <w:ind w:firstLine="420" w:firstLineChars="200"/>
    </w:pPr>
    <w:rPr>
      <w:rFonts w:ascii="Calibri" w:hAnsi="Calibri" w:eastAsia="宋体" w:cs="Times New Roman"/>
    </w:rPr>
  </w:style>
  <w:style w:type="table" w:customStyle="1" w:styleId="5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C2C69-E3FB-4C5F-A190-99F251BE86AF}">
  <ds:schemaRefs/>
</ds:datastoreItem>
</file>

<file path=docProps/app.xml><?xml version="1.0" encoding="utf-8"?>
<Properties xmlns="http://schemas.openxmlformats.org/officeDocument/2006/extended-properties" xmlns:vt="http://schemas.openxmlformats.org/officeDocument/2006/docPropsVTypes">
  <Template>Normal</Template>
  <Pages>29</Pages>
  <Words>12261</Words>
  <Characters>13587</Characters>
  <Lines>109</Lines>
  <Paragraphs>30</Paragraphs>
  <TotalTime>1</TotalTime>
  <ScaleCrop>false</ScaleCrop>
  <LinksUpToDate>false</LinksUpToDate>
  <CharactersWithSpaces>13650</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2021-02-04T23:55:00Z</dcterms:created>
  <dc:creator>张敏</dc:creator>
  <cp:lastModifiedBy>Administrator</cp:lastModifiedBy>
  <cp:lastPrinted>2021-04-25T06:46:00Z</cp:lastPrinted>
  <dcterms:modified xsi:type="dcterms:W3CDTF">2024-08-12T02:06:40Z</dcterms:modified>
  <cp:revision>1084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C221DF2160174E7483952646F9253BF4_13</vt:lpwstr>
  </property>
</Properties>
</file>