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61DDE">
      <w:pPr>
        <w:spacing w:line="480" w:lineRule="auto"/>
        <w:ind w:firstLine="883"/>
        <w:jc w:val="center"/>
        <w:rPr>
          <w:rFonts w:ascii="宋体" w:hAnsi="宋体" w:eastAsia="宋体"/>
          <w:b/>
          <w:bCs/>
          <w:sz w:val="44"/>
          <w:szCs w:val="44"/>
        </w:rPr>
      </w:pPr>
    </w:p>
    <w:p w14:paraId="73BCE1D4">
      <w:pPr>
        <w:spacing w:line="480" w:lineRule="auto"/>
        <w:ind w:firstLine="883"/>
        <w:jc w:val="center"/>
        <w:rPr>
          <w:rFonts w:ascii="宋体" w:hAnsi="宋体" w:eastAsia="宋体"/>
          <w:b/>
          <w:bCs/>
          <w:sz w:val="44"/>
          <w:szCs w:val="44"/>
        </w:rPr>
      </w:pPr>
    </w:p>
    <w:p w14:paraId="3961B7EB">
      <w:pPr>
        <w:spacing w:line="480" w:lineRule="auto"/>
        <w:ind w:firstLine="883"/>
        <w:jc w:val="center"/>
        <w:rPr>
          <w:rFonts w:ascii="宋体" w:hAnsi="宋体" w:eastAsia="宋体"/>
          <w:b/>
          <w:bCs/>
          <w:sz w:val="44"/>
          <w:szCs w:val="44"/>
        </w:rPr>
      </w:pPr>
    </w:p>
    <w:p w14:paraId="15ACF577">
      <w:pPr>
        <w:spacing w:line="720" w:lineRule="auto"/>
        <w:ind w:firstLine="0" w:firstLineChars="0"/>
        <w:jc w:val="center"/>
        <w:rPr>
          <w:rFonts w:ascii="宋体" w:hAnsi="宋体" w:eastAsia="宋体"/>
          <w:b/>
          <w:bCs/>
          <w:sz w:val="44"/>
          <w:szCs w:val="44"/>
        </w:rPr>
      </w:pPr>
      <w:r>
        <w:rPr>
          <w:rFonts w:hint="eastAsia" w:ascii="宋体" w:hAnsi="宋体" w:eastAsia="宋体"/>
          <w:b/>
          <w:bCs/>
          <w:sz w:val="44"/>
          <w:szCs w:val="44"/>
          <w:lang w:eastAsia="zh-CN"/>
        </w:rPr>
        <w:t>2023</w:t>
      </w:r>
      <w:r>
        <w:rPr>
          <w:rFonts w:ascii="宋体" w:hAnsi="宋体" w:eastAsia="宋体"/>
          <w:b/>
          <w:bCs/>
          <w:sz w:val="44"/>
          <w:szCs w:val="44"/>
        </w:rPr>
        <w:t>年度</w:t>
      </w:r>
      <w:r>
        <w:rPr>
          <w:rFonts w:hint="eastAsia" w:ascii="宋体" w:hAnsi="宋体" w:eastAsia="宋体"/>
          <w:b/>
          <w:bCs/>
          <w:sz w:val="44"/>
          <w:szCs w:val="44"/>
          <w:lang w:eastAsia="zh-CN"/>
        </w:rPr>
        <w:t>华池县</w:t>
      </w:r>
      <w:r>
        <w:rPr>
          <w:rFonts w:hint="eastAsia" w:ascii="宋体" w:hAnsi="宋体" w:eastAsia="宋体"/>
          <w:b/>
          <w:bCs/>
          <w:sz w:val="44"/>
          <w:szCs w:val="44"/>
        </w:rPr>
        <w:t>人民法院</w:t>
      </w:r>
    </w:p>
    <w:p w14:paraId="1D31B446">
      <w:pPr>
        <w:spacing w:line="720" w:lineRule="auto"/>
        <w:ind w:firstLine="0" w:firstLineChars="0"/>
        <w:jc w:val="center"/>
        <w:rPr>
          <w:rFonts w:ascii="宋体" w:hAnsi="宋体" w:eastAsia="宋体"/>
          <w:b/>
          <w:bCs/>
          <w:sz w:val="44"/>
          <w:szCs w:val="44"/>
        </w:rPr>
      </w:pPr>
      <w:r>
        <w:rPr>
          <w:rFonts w:ascii="宋体" w:hAnsi="宋体" w:eastAsia="宋体"/>
          <w:b/>
          <w:bCs/>
          <w:sz w:val="44"/>
          <w:szCs w:val="44"/>
        </w:rPr>
        <w:t>预算执行情况</w:t>
      </w:r>
      <w:r>
        <w:rPr>
          <w:rFonts w:hint="eastAsia" w:ascii="宋体" w:hAnsi="宋体" w:eastAsia="宋体"/>
          <w:b/>
          <w:bCs/>
          <w:sz w:val="44"/>
          <w:szCs w:val="44"/>
        </w:rPr>
        <w:t>绩效</w:t>
      </w:r>
      <w:r>
        <w:rPr>
          <w:rFonts w:ascii="宋体" w:hAnsi="宋体" w:eastAsia="宋体"/>
          <w:b/>
          <w:bCs/>
          <w:sz w:val="44"/>
          <w:szCs w:val="44"/>
        </w:rPr>
        <w:t>自评报告</w:t>
      </w:r>
    </w:p>
    <w:p w14:paraId="59A5BA96">
      <w:pPr>
        <w:widowControl/>
        <w:spacing w:line="240" w:lineRule="auto"/>
        <w:ind w:firstLine="0" w:firstLineChars="0"/>
        <w:jc w:val="left"/>
        <w:rPr>
          <w:rFonts w:ascii="宋体" w:hAnsi="宋体" w:eastAsia="宋体"/>
          <w:b/>
          <w:bCs/>
          <w:sz w:val="44"/>
          <w:szCs w:val="44"/>
        </w:rPr>
      </w:pPr>
    </w:p>
    <w:p w14:paraId="6F834AFC">
      <w:pPr>
        <w:ind w:firstLine="883"/>
        <w:jc w:val="center"/>
        <w:rPr>
          <w:rFonts w:ascii="宋体" w:hAnsi="宋体" w:eastAsia="宋体"/>
          <w:b/>
          <w:bCs/>
          <w:sz w:val="44"/>
          <w:szCs w:val="44"/>
        </w:rPr>
      </w:pPr>
    </w:p>
    <w:p w14:paraId="1D106BA9">
      <w:pPr>
        <w:ind w:firstLine="883"/>
        <w:jc w:val="center"/>
        <w:rPr>
          <w:rFonts w:ascii="宋体" w:hAnsi="宋体" w:eastAsia="宋体"/>
          <w:b/>
          <w:bCs/>
          <w:sz w:val="44"/>
          <w:szCs w:val="44"/>
        </w:rPr>
      </w:pPr>
    </w:p>
    <w:p w14:paraId="654D4BA3">
      <w:pPr>
        <w:ind w:firstLine="883"/>
        <w:jc w:val="center"/>
        <w:rPr>
          <w:rFonts w:ascii="宋体" w:hAnsi="宋体" w:eastAsia="宋体"/>
          <w:b/>
          <w:bCs/>
          <w:sz w:val="44"/>
          <w:szCs w:val="44"/>
        </w:rPr>
      </w:pPr>
    </w:p>
    <w:p w14:paraId="2F542F62">
      <w:pPr>
        <w:ind w:firstLine="883"/>
        <w:jc w:val="center"/>
        <w:rPr>
          <w:rFonts w:ascii="宋体" w:hAnsi="宋体" w:eastAsia="宋体"/>
          <w:b/>
          <w:bCs/>
          <w:sz w:val="44"/>
          <w:szCs w:val="44"/>
        </w:rPr>
      </w:pPr>
    </w:p>
    <w:p w14:paraId="7C263E7C">
      <w:pPr>
        <w:ind w:firstLine="883"/>
        <w:jc w:val="center"/>
        <w:rPr>
          <w:rFonts w:ascii="宋体" w:hAnsi="宋体" w:eastAsia="宋体"/>
          <w:b/>
          <w:bCs/>
          <w:sz w:val="44"/>
          <w:szCs w:val="44"/>
        </w:rPr>
      </w:pPr>
    </w:p>
    <w:p w14:paraId="0E22EAA4">
      <w:pPr>
        <w:ind w:firstLine="883"/>
        <w:jc w:val="center"/>
        <w:rPr>
          <w:rFonts w:ascii="宋体" w:hAnsi="宋体" w:eastAsia="宋体"/>
          <w:b/>
          <w:bCs/>
          <w:sz w:val="44"/>
          <w:szCs w:val="44"/>
        </w:rPr>
      </w:pPr>
    </w:p>
    <w:p w14:paraId="1821AEF5">
      <w:pPr>
        <w:ind w:firstLine="883"/>
        <w:jc w:val="center"/>
        <w:rPr>
          <w:rFonts w:ascii="宋体" w:hAnsi="宋体" w:eastAsia="宋体"/>
          <w:b/>
          <w:bCs/>
          <w:sz w:val="44"/>
          <w:szCs w:val="44"/>
        </w:rPr>
      </w:pPr>
    </w:p>
    <w:p w14:paraId="74087865">
      <w:pPr>
        <w:ind w:firstLine="883"/>
        <w:jc w:val="center"/>
        <w:rPr>
          <w:rFonts w:ascii="宋体" w:hAnsi="宋体" w:eastAsia="宋体"/>
          <w:b/>
          <w:bCs/>
          <w:sz w:val="44"/>
          <w:szCs w:val="44"/>
        </w:rPr>
      </w:pPr>
    </w:p>
    <w:p w14:paraId="2CB47B9A">
      <w:pPr>
        <w:ind w:firstLine="883"/>
        <w:jc w:val="center"/>
        <w:rPr>
          <w:rFonts w:ascii="宋体" w:hAnsi="宋体" w:eastAsia="宋体"/>
          <w:b/>
          <w:bCs/>
          <w:sz w:val="44"/>
          <w:szCs w:val="44"/>
        </w:rPr>
      </w:pPr>
    </w:p>
    <w:p w14:paraId="30C7E731">
      <w:pPr>
        <w:ind w:firstLine="883"/>
        <w:jc w:val="center"/>
        <w:rPr>
          <w:rFonts w:ascii="宋体" w:hAnsi="宋体" w:eastAsia="宋体"/>
          <w:b/>
          <w:bCs/>
          <w:sz w:val="44"/>
          <w:szCs w:val="44"/>
        </w:rPr>
      </w:pPr>
    </w:p>
    <w:p w14:paraId="5D34D9CD">
      <w:pPr>
        <w:ind w:firstLine="883"/>
        <w:jc w:val="center"/>
        <w:rPr>
          <w:rFonts w:ascii="宋体" w:hAnsi="宋体" w:eastAsia="宋体"/>
          <w:b/>
          <w:bCs/>
          <w:sz w:val="44"/>
          <w:szCs w:val="44"/>
        </w:rPr>
      </w:pPr>
    </w:p>
    <w:p w14:paraId="5962A7E2">
      <w:pPr>
        <w:ind w:firstLine="0" w:firstLineChars="0"/>
        <w:jc w:val="center"/>
        <w:rPr>
          <w:rFonts w:ascii="宋体" w:hAnsi="宋体" w:eastAsia="宋体"/>
          <w:b/>
          <w:bCs/>
          <w:sz w:val="32"/>
          <w:szCs w:val="32"/>
        </w:rPr>
      </w:pPr>
      <w:r>
        <w:rPr>
          <w:rFonts w:hint="eastAsia" w:ascii="宋体" w:hAnsi="宋体" w:eastAsia="宋体"/>
          <w:b/>
          <w:bCs/>
          <w:sz w:val="32"/>
          <w:szCs w:val="32"/>
          <w:lang w:eastAsia="zh-CN"/>
        </w:rPr>
        <w:t>华池县</w:t>
      </w:r>
      <w:r>
        <w:rPr>
          <w:rFonts w:hint="eastAsia" w:ascii="宋体" w:hAnsi="宋体" w:eastAsia="宋体"/>
          <w:b/>
          <w:bCs/>
          <w:sz w:val="32"/>
          <w:szCs w:val="32"/>
        </w:rPr>
        <w:t>人民法院</w:t>
      </w:r>
    </w:p>
    <w:p w14:paraId="0A8CC291">
      <w:pPr>
        <w:ind w:firstLine="0" w:firstLineChars="0"/>
        <w:jc w:val="center"/>
        <w:rPr>
          <w:rFonts w:ascii="宋体" w:hAnsi="宋体" w:eastAsia="宋体"/>
          <w:b/>
          <w:bCs/>
          <w:sz w:val="32"/>
          <w:szCs w:val="32"/>
          <w:highlight w:val="none"/>
        </w:rPr>
      </w:pPr>
      <w:r>
        <w:rPr>
          <w:rFonts w:hint="eastAsia" w:ascii="宋体" w:hAnsi="宋体" w:eastAsia="宋体"/>
          <w:b/>
          <w:bCs/>
          <w:sz w:val="32"/>
          <w:szCs w:val="32"/>
          <w:highlight w:val="none"/>
        </w:rPr>
        <w:t>202</w:t>
      </w:r>
      <w:r>
        <w:rPr>
          <w:rFonts w:hint="eastAsia" w:ascii="宋体" w:hAnsi="宋体" w:eastAsia="宋体"/>
          <w:b/>
          <w:bCs/>
          <w:sz w:val="32"/>
          <w:szCs w:val="32"/>
          <w:highlight w:val="none"/>
          <w:lang w:val="en-US" w:eastAsia="zh-CN"/>
        </w:rPr>
        <w:t>4</w:t>
      </w:r>
      <w:r>
        <w:rPr>
          <w:rFonts w:hint="eastAsia" w:ascii="宋体" w:hAnsi="宋体" w:eastAsia="宋体"/>
          <w:b/>
          <w:bCs/>
          <w:sz w:val="32"/>
          <w:szCs w:val="32"/>
          <w:highlight w:val="none"/>
        </w:rPr>
        <w:t>年</w:t>
      </w:r>
      <w:r>
        <w:rPr>
          <w:rFonts w:hint="eastAsia" w:ascii="宋体" w:hAnsi="宋体" w:eastAsia="宋体"/>
          <w:b/>
          <w:bCs/>
          <w:sz w:val="32"/>
          <w:szCs w:val="32"/>
          <w:highlight w:val="none"/>
          <w:lang w:val="en-US" w:eastAsia="zh-CN"/>
        </w:rPr>
        <w:t>3</w:t>
      </w:r>
      <w:r>
        <w:rPr>
          <w:rFonts w:hint="eastAsia" w:ascii="宋体" w:hAnsi="宋体" w:eastAsia="宋体"/>
          <w:b/>
          <w:bCs/>
          <w:sz w:val="32"/>
          <w:szCs w:val="32"/>
          <w:highlight w:val="none"/>
        </w:rPr>
        <w:t>月</w:t>
      </w:r>
    </w:p>
    <w:p w14:paraId="4BEAD9D1">
      <w:pPr>
        <w:ind w:firstLine="560"/>
      </w:pPr>
    </w:p>
    <w:p w14:paraId="7080EC15">
      <w:pPr>
        <w:pStyle w:val="37"/>
        <w:spacing w:line="360" w:lineRule="auto"/>
        <w:ind w:firstLine="560"/>
        <w:jc w:val="center"/>
        <w:rPr>
          <w:rFonts w:ascii="仿宋_GB2312" w:hAnsi="仿宋_GB2312" w:eastAsia="仿宋_GB2312" w:cstheme="minorBidi"/>
          <w:color w:val="auto"/>
          <w:kern w:val="2"/>
          <w:sz w:val="28"/>
          <w:szCs w:val="22"/>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sdt>
      <w:sdtPr>
        <w:rPr>
          <w:rFonts w:ascii="仿宋_GB2312" w:hAnsi="仿宋_GB2312" w:eastAsia="仿宋_GB2312" w:cstheme="minorBidi"/>
          <w:color w:val="auto"/>
          <w:kern w:val="2"/>
          <w:sz w:val="28"/>
          <w:szCs w:val="22"/>
          <w:lang w:val="zh-CN"/>
        </w:rPr>
        <w:id w:val="-789518963"/>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p w14:paraId="6F86AFDE">
          <w:pPr>
            <w:pStyle w:val="37"/>
            <w:spacing w:line="360" w:lineRule="auto"/>
            <w:ind w:firstLine="560"/>
            <w:jc w:val="center"/>
            <w:rPr>
              <w:rFonts w:ascii="黑体" w:hAnsi="黑体" w:eastAsia="黑体"/>
              <w:color w:val="auto"/>
            </w:rPr>
          </w:pPr>
          <w:r>
            <w:rPr>
              <w:rFonts w:ascii="黑体" w:hAnsi="黑体" w:eastAsia="黑体"/>
              <w:color w:val="auto"/>
              <w:lang w:val="zh-CN"/>
            </w:rPr>
            <w:t>目 录</w:t>
          </w:r>
        </w:p>
        <w:p w14:paraId="56A9C55D">
          <w:pPr>
            <w:pStyle w:val="18"/>
            <w:tabs>
              <w:tab w:val="right" w:leader="dot" w:pos="8306"/>
              <w:tab w:val="clear" w:pos="8296"/>
            </w:tabs>
          </w:pPr>
          <w:r>
            <w:fldChar w:fldCharType="begin"/>
          </w:r>
          <w:r>
            <w:instrText xml:space="preserve"> TOC \o "1-2" \h \z \u </w:instrText>
          </w:r>
          <w:r>
            <w:fldChar w:fldCharType="separate"/>
          </w:r>
          <w:r>
            <w:fldChar w:fldCharType="begin"/>
          </w:r>
          <w:r>
            <w:instrText xml:space="preserve"> HYPERLINK \l _Toc3291 </w:instrText>
          </w:r>
          <w:r>
            <w:fldChar w:fldCharType="separate"/>
          </w:r>
          <w:r>
            <w:rPr>
              <w:rFonts w:hint="eastAsia"/>
            </w:rPr>
            <w:t>一、基本情况</w:t>
          </w:r>
          <w:r>
            <w:tab/>
          </w:r>
          <w:r>
            <w:fldChar w:fldCharType="begin"/>
          </w:r>
          <w:r>
            <w:instrText xml:space="preserve"> PAGEREF _Toc3291 \h </w:instrText>
          </w:r>
          <w:r>
            <w:fldChar w:fldCharType="separate"/>
          </w:r>
          <w:r>
            <w:t>1</w:t>
          </w:r>
          <w:r>
            <w:fldChar w:fldCharType="end"/>
          </w:r>
          <w:r>
            <w:fldChar w:fldCharType="end"/>
          </w:r>
        </w:p>
        <w:p w14:paraId="223FC711">
          <w:pPr>
            <w:pStyle w:val="19"/>
            <w:tabs>
              <w:tab w:val="right" w:leader="dot" w:pos="8306"/>
              <w:tab w:val="clear" w:pos="8296"/>
            </w:tabs>
          </w:pPr>
          <w:r>
            <w:fldChar w:fldCharType="begin"/>
          </w:r>
          <w:r>
            <w:instrText xml:space="preserve"> HYPERLINK \l _Toc26293 </w:instrText>
          </w:r>
          <w:r>
            <w:fldChar w:fldCharType="separate"/>
          </w:r>
          <w:r>
            <w:rPr>
              <w:rFonts w:hint="eastAsia"/>
            </w:rPr>
            <w:t>（一）部门主要职能</w:t>
          </w:r>
          <w:r>
            <w:tab/>
          </w:r>
          <w:r>
            <w:fldChar w:fldCharType="begin"/>
          </w:r>
          <w:r>
            <w:instrText xml:space="preserve"> PAGEREF _Toc26293 \h </w:instrText>
          </w:r>
          <w:r>
            <w:fldChar w:fldCharType="separate"/>
          </w:r>
          <w:r>
            <w:t>1</w:t>
          </w:r>
          <w:r>
            <w:fldChar w:fldCharType="end"/>
          </w:r>
          <w:r>
            <w:fldChar w:fldCharType="end"/>
          </w:r>
        </w:p>
        <w:p w14:paraId="3E62BF1A">
          <w:pPr>
            <w:pStyle w:val="19"/>
            <w:tabs>
              <w:tab w:val="right" w:leader="dot" w:pos="8306"/>
              <w:tab w:val="clear" w:pos="8296"/>
            </w:tabs>
          </w:pPr>
          <w:r>
            <w:fldChar w:fldCharType="begin"/>
          </w:r>
          <w:r>
            <w:instrText xml:space="preserve"> HYPERLINK \l _Toc19192 </w:instrText>
          </w:r>
          <w:r>
            <w:fldChar w:fldCharType="separate"/>
          </w:r>
          <w:r>
            <w:rPr>
              <w:rFonts w:hint="eastAsia"/>
            </w:rPr>
            <w:t>（二）内设机构及所属部门概况</w:t>
          </w:r>
          <w:r>
            <w:tab/>
          </w:r>
          <w:r>
            <w:fldChar w:fldCharType="begin"/>
          </w:r>
          <w:r>
            <w:instrText xml:space="preserve"> PAGEREF _Toc19192 \h </w:instrText>
          </w:r>
          <w:r>
            <w:fldChar w:fldCharType="separate"/>
          </w:r>
          <w:r>
            <w:t>2</w:t>
          </w:r>
          <w:r>
            <w:fldChar w:fldCharType="end"/>
          </w:r>
          <w:r>
            <w:fldChar w:fldCharType="end"/>
          </w:r>
        </w:p>
        <w:p w14:paraId="360306D2">
          <w:pPr>
            <w:pStyle w:val="18"/>
            <w:tabs>
              <w:tab w:val="right" w:leader="dot" w:pos="8306"/>
              <w:tab w:val="clear" w:pos="8296"/>
            </w:tabs>
          </w:pPr>
          <w:r>
            <w:fldChar w:fldCharType="begin"/>
          </w:r>
          <w:r>
            <w:instrText xml:space="preserve"> HYPERLINK \l _Toc4966 </w:instrText>
          </w:r>
          <w:r>
            <w:fldChar w:fldCharType="separate"/>
          </w:r>
          <w:r>
            <w:rPr>
              <w:rFonts w:hint="eastAsia"/>
            </w:rPr>
            <w:t>二、绩效自评工作组织开展情况</w:t>
          </w:r>
          <w:r>
            <w:tab/>
          </w:r>
          <w:r>
            <w:fldChar w:fldCharType="begin"/>
          </w:r>
          <w:r>
            <w:instrText xml:space="preserve"> PAGEREF _Toc4966 \h </w:instrText>
          </w:r>
          <w:r>
            <w:fldChar w:fldCharType="separate"/>
          </w:r>
          <w:r>
            <w:t>2</w:t>
          </w:r>
          <w:r>
            <w:fldChar w:fldCharType="end"/>
          </w:r>
          <w:r>
            <w:fldChar w:fldCharType="end"/>
          </w:r>
        </w:p>
        <w:p w14:paraId="32468F02">
          <w:pPr>
            <w:pStyle w:val="19"/>
            <w:tabs>
              <w:tab w:val="right" w:leader="dot" w:pos="8306"/>
              <w:tab w:val="clear" w:pos="8296"/>
            </w:tabs>
          </w:pPr>
          <w:r>
            <w:fldChar w:fldCharType="begin"/>
          </w:r>
          <w:r>
            <w:instrText xml:space="preserve"> HYPERLINK \l _Toc14950 </w:instrText>
          </w:r>
          <w:r>
            <w:fldChar w:fldCharType="separate"/>
          </w:r>
          <w:r>
            <w:rPr>
              <w:rFonts w:hint="eastAsia"/>
            </w:rPr>
            <w:t>（一）自评工作组织管理情况</w:t>
          </w:r>
          <w:r>
            <w:tab/>
          </w:r>
          <w:r>
            <w:fldChar w:fldCharType="begin"/>
          </w:r>
          <w:r>
            <w:instrText xml:space="preserve"> PAGEREF _Toc14950 \h </w:instrText>
          </w:r>
          <w:r>
            <w:fldChar w:fldCharType="separate"/>
          </w:r>
          <w:r>
            <w:t>2</w:t>
          </w:r>
          <w:r>
            <w:fldChar w:fldCharType="end"/>
          </w:r>
          <w:r>
            <w:fldChar w:fldCharType="end"/>
          </w:r>
        </w:p>
        <w:p w14:paraId="10EF31AB">
          <w:pPr>
            <w:pStyle w:val="19"/>
            <w:tabs>
              <w:tab w:val="right" w:leader="dot" w:pos="8306"/>
              <w:tab w:val="clear" w:pos="8296"/>
            </w:tabs>
          </w:pPr>
          <w:r>
            <w:fldChar w:fldCharType="begin"/>
          </w:r>
          <w:r>
            <w:instrText xml:space="preserve"> HYPERLINK \l _Toc25783 </w:instrText>
          </w:r>
          <w:r>
            <w:fldChar w:fldCharType="separate"/>
          </w:r>
          <w:r>
            <w:rPr>
              <w:rFonts w:hint="eastAsia"/>
            </w:rPr>
            <w:t>（二）自评范围</w:t>
          </w:r>
          <w:r>
            <w:tab/>
          </w:r>
          <w:r>
            <w:fldChar w:fldCharType="begin"/>
          </w:r>
          <w:r>
            <w:instrText xml:space="preserve"> PAGEREF _Toc25783 \h </w:instrText>
          </w:r>
          <w:r>
            <w:fldChar w:fldCharType="separate"/>
          </w:r>
          <w:r>
            <w:t>3</w:t>
          </w:r>
          <w:r>
            <w:fldChar w:fldCharType="end"/>
          </w:r>
          <w:r>
            <w:fldChar w:fldCharType="end"/>
          </w:r>
        </w:p>
        <w:p w14:paraId="1D7F15A9">
          <w:pPr>
            <w:pStyle w:val="19"/>
            <w:tabs>
              <w:tab w:val="right" w:leader="dot" w:pos="8306"/>
              <w:tab w:val="clear" w:pos="8296"/>
            </w:tabs>
          </w:pPr>
          <w:r>
            <w:fldChar w:fldCharType="begin"/>
          </w:r>
          <w:r>
            <w:instrText xml:space="preserve"> HYPERLINK \l _Toc26433 </w:instrText>
          </w:r>
          <w:r>
            <w:fldChar w:fldCharType="separate"/>
          </w:r>
          <w:r>
            <w:rPr>
              <w:rFonts w:hint="eastAsia"/>
            </w:rPr>
            <w:t>（三）自评工作程序</w:t>
          </w:r>
          <w:r>
            <w:tab/>
          </w:r>
          <w:r>
            <w:fldChar w:fldCharType="begin"/>
          </w:r>
          <w:r>
            <w:instrText xml:space="preserve"> PAGEREF _Toc26433 \h </w:instrText>
          </w:r>
          <w:r>
            <w:fldChar w:fldCharType="separate"/>
          </w:r>
          <w:r>
            <w:t>3</w:t>
          </w:r>
          <w:r>
            <w:fldChar w:fldCharType="end"/>
          </w:r>
          <w:r>
            <w:fldChar w:fldCharType="end"/>
          </w:r>
        </w:p>
        <w:p w14:paraId="2DB28A6B">
          <w:pPr>
            <w:pStyle w:val="18"/>
            <w:tabs>
              <w:tab w:val="right" w:leader="dot" w:pos="8306"/>
              <w:tab w:val="clear" w:pos="8296"/>
            </w:tabs>
          </w:pPr>
          <w:r>
            <w:fldChar w:fldCharType="begin"/>
          </w:r>
          <w:r>
            <w:instrText xml:space="preserve"> HYPERLINK \l _Toc31966 </w:instrText>
          </w:r>
          <w:r>
            <w:fldChar w:fldCharType="separate"/>
          </w:r>
          <w:r>
            <w:rPr>
              <w:rFonts w:hint="eastAsia"/>
            </w:rPr>
            <w:t>三、部门整体支出绩效自评情况分析</w:t>
          </w:r>
          <w:r>
            <w:tab/>
          </w:r>
          <w:r>
            <w:fldChar w:fldCharType="begin"/>
          </w:r>
          <w:r>
            <w:instrText xml:space="preserve"> PAGEREF _Toc31966 \h </w:instrText>
          </w:r>
          <w:r>
            <w:fldChar w:fldCharType="separate"/>
          </w:r>
          <w:r>
            <w:t>4</w:t>
          </w:r>
          <w:r>
            <w:fldChar w:fldCharType="end"/>
          </w:r>
          <w:r>
            <w:fldChar w:fldCharType="end"/>
          </w:r>
        </w:p>
        <w:p w14:paraId="132F1D12">
          <w:pPr>
            <w:pStyle w:val="19"/>
            <w:tabs>
              <w:tab w:val="right" w:leader="dot" w:pos="8306"/>
              <w:tab w:val="clear" w:pos="8296"/>
            </w:tabs>
          </w:pPr>
          <w:r>
            <w:fldChar w:fldCharType="begin"/>
          </w:r>
          <w:r>
            <w:instrText xml:space="preserve"> HYPERLINK \l _Toc16201 </w:instrText>
          </w:r>
          <w:r>
            <w:fldChar w:fldCharType="separate"/>
          </w:r>
          <w:r>
            <w:rPr>
              <w:rFonts w:hint="eastAsia"/>
            </w:rPr>
            <w:t>（一）部门决算情况</w:t>
          </w:r>
          <w:r>
            <w:tab/>
          </w:r>
          <w:r>
            <w:fldChar w:fldCharType="begin"/>
          </w:r>
          <w:r>
            <w:instrText xml:space="preserve"> PAGEREF _Toc16201 \h </w:instrText>
          </w:r>
          <w:r>
            <w:fldChar w:fldCharType="separate"/>
          </w:r>
          <w:r>
            <w:t>4</w:t>
          </w:r>
          <w:r>
            <w:fldChar w:fldCharType="end"/>
          </w:r>
          <w:r>
            <w:fldChar w:fldCharType="end"/>
          </w:r>
        </w:p>
        <w:p w14:paraId="39ED62A8">
          <w:pPr>
            <w:pStyle w:val="19"/>
            <w:tabs>
              <w:tab w:val="right" w:leader="dot" w:pos="8306"/>
              <w:tab w:val="clear" w:pos="8296"/>
            </w:tabs>
          </w:pPr>
          <w:r>
            <w:fldChar w:fldCharType="begin"/>
          </w:r>
          <w:r>
            <w:instrText xml:space="preserve"> HYPERLINK \l _Toc7537 </w:instrText>
          </w:r>
          <w:r>
            <w:fldChar w:fldCharType="separate"/>
          </w:r>
          <w:r>
            <w:rPr>
              <w:rFonts w:hint="eastAsia"/>
            </w:rPr>
            <w:t>（二）总体绩效目标完成情况分析</w:t>
          </w:r>
          <w:r>
            <w:tab/>
          </w:r>
          <w:r>
            <w:fldChar w:fldCharType="begin"/>
          </w:r>
          <w:r>
            <w:instrText xml:space="preserve"> PAGEREF _Toc7537 \h </w:instrText>
          </w:r>
          <w:r>
            <w:fldChar w:fldCharType="separate"/>
          </w:r>
          <w:r>
            <w:t>4</w:t>
          </w:r>
          <w:r>
            <w:fldChar w:fldCharType="end"/>
          </w:r>
          <w:r>
            <w:fldChar w:fldCharType="end"/>
          </w:r>
        </w:p>
        <w:p w14:paraId="3066D052">
          <w:pPr>
            <w:pStyle w:val="19"/>
            <w:tabs>
              <w:tab w:val="right" w:leader="dot" w:pos="8306"/>
              <w:tab w:val="clear" w:pos="8296"/>
            </w:tabs>
          </w:pPr>
          <w:r>
            <w:fldChar w:fldCharType="begin"/>
          </w:r>
          <w:r>
            <w:instrText xml:space="preserve"> HYPERLINK \l _Toc17707 </w:instrText>
          </w:r>
          <w:r>
            <w:fldChar w:fldCharType="separate"/>
          </w:r>
          <w:r>
            <w:rPr>
              <w:rFonts w:hint="eastAsia"/>
            </w:rPr>
            <w:t>（三）各项指标完成情况分析</w:t>
          </w:r>
          <w:r>
            <w:tab/>
          </w:r>
          <w:r>
            <w:fldChar w:fldCharType="begin"/>
          </w:r>
          <w:r>
            <w:instrText xml:space="preserve"> PAGEREF _Toc17707 \h </w:instrText>
          </w:r>
          <w:r>
            <w:fldChar w:fldCharType="separate"/>
          </w:r>
          <w:r>
            <w:t>5</w:t>
          </w:r>
          <w:r>
            <w:fldChar w:fldCharType="end"/>
          </w:r>
          <w:r>
            <w:fldChar w:fldCharType="end"/>
          </w:r>
        </w:p>
        <w:p w14:paraId="57D9BBD3">
          <w:pPr>
            <w:pStyle w:val="19"/>
            <w:tabs>
              <w:tab w:val="right" w:leader="dot" w:pos="8306"/>
              <w:tab w:val="clear" w:pos="8296"/>
            </w:tabs>
          </w:pPr>
          <w:r>
            <w:fldChar w:fldCharType="begin"/>
          </w:r>
          <w:r>
            <w:instrText xml:space="preserve"> HYPERLINK \l _Toc12311 </w:instrText>
          </w:r>
          <w:r>
            <w:fldChar w:fldCharType="separate"/>
          </w:r>
          <w:r>
            <w:rPr>
              <w:rFonts w:hint="eastAsia"/>
            </w:rPr>
            <w:t>（四）偏离绩效目标的原因及下一步改进措施</w:t>
          </w:r>
          <w:r>
            <w:tab/>
          </w:r>
          <w:r>
            <w:fldChar w:fldCharType="begin"/>
          </w:r>
          <w:r>
            <w:instrText xml:space="preserve"> PAGEREF _Toc12311 \h </w:instrText>
          </w:r>
          <w:r>
            <w:fldChar w:fldCharType="separate"/>
          </w:r>
          <w:r>
            <w:t>14</w:t>
          </w:r>
          <w:r>
            <w:fldChar w:fldCharType="end"/>
          </w:r>
          <w:r>
            <w:fldChar w:fldCharType="end"/>
          </w:r>
        </w:p>
        <w:p w14:paraId="0C8209E7">
          <w:pPr>
            <w:pStyle w:val="18"/>
            <w:tabs>
              <w:tab w:val="right" w:leader="dot" w:pos="8306"/>
              <w:tab w:val="clear" w:pos="8296"/>
            </w:tabs>
          </w:pPr>
          <w:r>
            <w:fldChar w:fldCharType="begin"/>
          </w:r>
          <w:r>
            <w:instrText xml:space="preserve"> HYPERLINK \l _Toc3835 </w:instrText>
          </w:r>
          <w:r>
            <w:fldChar w:fldCharType="separate"/>
          </w:r>
          <w:r>
            <w:rPr>
              <w:rFonts w:hint="eastAsia"/>
            </w:rPr>
            <w:t>四、部门预算项目支出绩效自评情况分析</w:t>
          </w:r>
          <w:r>
            <w:tab/>
          </w:r>
          <w:r>
            <w:fldChar w:fldCharType="begin"/>
          </w:r>
          <w:r>
            <w:instrText xml:space="preserve"> PAGEREF _Toc3835 \h </w:instrText>
          </w:r>
          <w:r>
            <w:fldChar w:fldCharType="separate"/>
          </w:r>
          <w:r>
            <w:t>14</w:t>
          </w:r>
          <w:r>
            <w:fldChar w:fldCharType="end"/>
          </w:r>
          <w:r>
            <w:fldChar w:fldCharType="end"/>
          </w:r>
        </w:p>
        <w:p w14:paraId="2AEDF10D">
          <w:pPr>
            <w:pStyle w:val="19"/>
            <w:tabs>
              <w:tab w:val="right" w:leader="dot" w:pos="8306"/>
              <w:tab w:val="clear" w:pos="8296"/>
            </w:tabs>
          </w:pPr>
          <w:r>
            <w:fldChar w:fldCharType="begin"/>
          </w:r>
          <w:r>
            <w:instrText xml:space="preserve"> HYPERLINK \l _Toc397 </w:instrText>
          </w:r>
          <w:r>
            <w:fldChar w:fldCharType="separate"/>
          </w: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lang w:val="en-US" w:eastAsia="zh-CN"/>
            </w:rPr>
            <w:t>业务费</w:t>
          </w:r>
          <w:r>
            <w:tab/>
          </w:r>
          <w:r>
            <w:fldChar w:fldCharType="begin"/>
          </w:r>
          <w:r>
            <w:instrText xml:space="preserve"> PAGEREF _Toc397 \h </w:instrText>
          </w:r>
          <w:r>
            <w:fldChar w:fldCharType="separate"/>
          </w:r>
          <w:r>
            <w:t>15</w:t>
          </w:r>
          <w:r>
            <w:fldChar w:fldCharType="end"/>
          </w:r>
          <w:r>
            <w:fldChar w:fldCharType="end"/>
          </w:r>
        </w:p>
        <w:p w14:paraId="0708144B">
          <w:pPr>
            <w:pStyle w:val="19"/>
            <w:tabs>
              <w:tab w:val="right" w:leader="dot" w:pos="8306"/>
              <w:tab w:val="clear" w:pos="8296"/>
            </w:tabs>
          </w:pPr>
          <w:r>
            <w:fldChar w:fldCharType="begin"/>
          </w:r>
          <w:r>
            <w:instrText xml:space="preserve"> HYPERLINK \l _Toc29067 </w:instrText>
          </w:r>
          <w:r>
            <w:fldChar w:fldCharType="separate"/>
          </w: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lang w:val="en-US" w:eastAsia="zh-CN"/>
            </w:rPr>
            <w:t>法庭运维费</w:t>
          </w:r>
          <w:r>
            <w:tab/>
          </w:r>
          <w:r>
            <w:fldChar w:fldCharType="begin"/>
          </w:r>
          <w:r>
            <w:instrText xml:space="preserve"> PAGEREF _Toc29067 \h </w:instrText>
          </w:r>
          <w:r>
            <w:fldChar w:fldCharType="separate"/>
          </w:r>
          <w:r>
            <w:t>20</w:t>
          </w:r>
          <w:r>
            <w:fldChar w:fldCharType="end"/>
          </w:r>
          <w:r>
            <w:fldChar w:fldCharType="end"/>
          </w:r>
        </w:p>
        <w:p w14:paraId="5CEA6CFF">
          <w:pPr>
            <w:pStyle w:val="18"/>
            <w:tabs>
              <w:tab w:val="right" w:leader="dot" w:pos="8306"/>
              <w:tab w:val="clear" w:pos="8296"/>
            </w:tabs>
          </w:pPr>
          <w:r>
            <w:fldChar w:fldCharType="begin"/>
          </w:r>
          <w:r>
            <w:instrText xml:space="preserve"> HYPERLINK \l _Toc1931 </w:instrText>
          </w:r>
          <w:r>
            <w:fldChar w:fldCharType="separate"/>
          </w:r>
          <w:r>
            <w:rPr>
              <w:rFonts w:hint="eastAsia"/>
              <w:lang w:val="en-US" w:eastAsia="zh-CN"/>
            </w:rPr>
            <w:t>五</w:t>
          </w:r>
          <w:r>
            <w:rPr>
              <w:rFonts w:hint="eastAsia"/>
            </w:rPr>
            <w:t>、绩效自评结果拟应用和公开情况</w:t>
          </w:r>
          <w:r>
            <w:tab/>
          </w:r>
          <w:r>
            <w:fldChar w:fldCharType="begin"/>
          </w:r>
          <w:r>
            <w:instrText xml:space="preserve"> PAGEREF _Toc1931 \h </w:instrText>
          </w:r>
          <w:r>
            <w:fldChar w:fldCharType="separate"/>
          </w:r>
          <w:r>
            <w:t>24</w:t>
          </w:r>
          <w:r>
            <w:fldChar w:fldCharType="end"/>
          </w:r>
          <w:r>
            <w:fldChar w:fldCharType="end"/>
          </w:r>
        </w:p>
        <w:p w14:paraId="2BF678C4">
          <w:pPr>
            <w:pStyle w:val="18"/>
            <w:tabs>
              <w:tab w:val="right" w:leader="dot" w:pos="8306"/>
              <w:tab w:val="clear" w:pos="8296"/>
            </w:tabs>
          </w:pPr>
          <w:r>
            <w:fldChar w:fldCharType="begin"/>
          </w:r>
          <w:r>
            <w:instrText xml:space="preserve"> HYPERLINK \l _Toc14055 </w:instrText>
          </w:r>
          <w:r>
            <w:fldChar w:fldCharType="separate"/>
          </w:r>
          <w:r>
            <w:rPr>
              <w:rFonts w:hint="eastAsia"/>
              <w:lang w:val="en-US" w:eastAsia="zh-CN"/>
            </w:rPr>
            <w:t>六</w:t>
          </w:r>
          <w:r>
            <w:rPr>
              <w:rFonts w:hint="eastAsia"/>
            </w:rPr>
            <w:t>、其他需要说明的问题</w:t>
          </w:r>
          <w:r>
            <w:tab/>
          </w:r>
          <w:r>
            <w:fldChar w:fldCharType="begin"/>
          </w:r>
          <w:r>
            <w:instrText xml:space="preserve"> PAGEREF _Toc14055 \h </w:instrText>
          </w:r>
          <w:r>
            <w:fldChar w:fldCharType="separate"/>
          </w:r>
          <w:r>
            <w:t>24</w:t>
          </w:r>
          <w:r>
            <w:fldChar w:fldCharType="end"/>
          </w:r>
          <w:r>
            <w:fldChar w:fldCharType="end"/>
          </w:r>
        </w:p>
        <w:p w14:paraId="3A71227D">
          <w:pPr>
            <w:ind w:firstLine="0" w:firstLineChars="0"/>
          </w:pPr>
          <w:r>
            <w:fldChar w:fldCharType="end"/>
          </w:r>
        </w:p>
      </w:sdtContent>
    </w:sdt>
    <w:p w14:paraId="3FE501F6">
      <w:pPr>
        <w:widowControl/>
        <w:spacing w:line="240" w:lineRule="auto"/>
        <w:ind w:firstLine="0" w:firstLineChars="0"/>
        <w:jc w:val="center"/>
        <w:rPr>
          <w:rFonts w:ascii="宋体" w:hAnsi="宋体" w:eastAsia="宋体" w:cs="Arial"/>
          <w:b/>
          <w:bCs/>
          <w:sz w:val="44"/>
          <w:szCs w:val="44"/>
        </w:rPr>
        <w:sectPr>
          <w:footerReference r:id="rId11" w:type="default"/>
          <w:pgSz w:w="11906" w:h="16838"/>
          <w:pgMar w:top="1440" w:right="1800" w:bottom="1440" w:left="1800" w:header="851" w:footer="992" w:gutter="0"/>
          <w:pgNumType w:start="1"/>
          <w:cols w:space="425" w:num="1"/>
          <w:docGrid w:type="lines" w:linePitch="312" w:charSpace="0"/>
        </w:sectPr>
      </w:pPr>
      <w:bookmarkStart w:id="0" w:name="_Toc4040"/>
      <w:bookmarkStart w:id="1" w:name="_Toc13158"/>
      <w:bookmarkStart w:id="2" w:name="_Toc18188"/>
      <w:bookmarkStart w:id="3" w:name="_Toc22477"/>
      <w:bookmarkStart w:id="4" w:name="_Toc28671"/>
    </w:p>
    <w:p w14:paraId="61E54F48">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lang w:eastAsia="zh-CN"/>
        </w:rPr>
        <w:t>华池县</w:t>
      </w:r>
      <w:r>
        <w:rPr>
          <w:rFonts w:hint="eastAsia" w:ascii="宋体" w:hAnsi="宋体" w:eastAsia="宋体" w:cs="Arial"/>
          <w:b/>
          <w:bCs/>
          <w:sz w:val="44"/>
          <w:szCs w:val="44"/>
        </w:rPr>
        <w:t>人民法院</w:t>
      </w:r>
      <w:r>
        <w:rPr>
          <w:rFonts w:hint="eastAsia" w:ascii="宋体" w:hAnsi="宋体" w:eastAsia="宋体" w:cs="Arial"/>
          <w:b/>
          <w:bCs/>
          <w:sz w:val="44"/>
          <w:szCs w:val="44"/>
          <w:lang w:eastAsia="zh-CN"/>
        </w:rPr>
        <w:t>2023</w:t>
      </w:r>
      <w:r>
        <w:rPr>
          <w:rFonts w:hint="eastAsia" w:ascii="宋体" w:hAnsi="宋体" w:eastAsia="宋体" w:cs="Arial"/>
          <w:b/>
          <w:bCs/>
          <w:sz w:val="44"/>
          <w:szCs w:val="44"/>
        </w:rPr>
        <w:t>年度</w:t>
      </w:r>
    </w:p>
    <w:p w14:paraId="71E4A324">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rPr>
        <w:t>预算执行情况自评报告</w:t>
      </w:r>
      <w:bookmarkEnd w:id="0"/>
      <w:bookmarkEnd w:id="1"/>
    </w:p>
    <w:p w14:paraId="2F3C250F">
      <w:pPr>
        <w:pStyle w:val="2"/>
        <w:spacing w:before="0" w:after="0" w:line="560" w:lineRule="exact"/>
      </w:pPr>
      <w:bookmarkStart w:id="5" w:name="_Toc3291"/>
      <w:r>
        <w:rPr>
          <w:rFonts w:hint="eastAsia"/>
        </w:rPr>
        <w:t>一、基本情况</w:t>
      </w:r>
      <w:bookmarkEnd w:id="2"/>
      <w:bookmarkEnd w:id="3"/>
      <w:bookmarkEnd w:id="4"/>
      <w:bookmarkEnd w:id="5"/>
    </w:p>
    <w:p w14:paraId="7292B8A0">
      <w:pPr>
        <w:pStyle w:val="3"/>
        <w:spacing w:before="0" w:after="0"/>
        <w:ind w:firstLine="643"/>
      </w:pPr>
      <w:bookmarkStart w:id="6" w:name="_Toc24636"/>
      <w:bookmarkStart w:id="7" w:name="_Toc18868"/>
      <w:bookmarkStart w:id="8" w:name="_Toc819"/>
      <w:bookmarkStart w:id="9" w:name="_Toc26293"/>
      <w:r>
        <w:rPr>
          <w:rFonts w:hint="eastAsia"/>
        </w:rPr>
        <w:t>（一）部门主要职能</w:t>
      </w:r>
      <w:bookmarkEnd w:id="6"/>
      <w:bookmarkEnd w:id="7"/>
      <w:bookmarkEnd w:id="8"/>
      <w:bookmarkEnd w:id="9"/>
    </w:p>
    <w:p w14:paraId="522623B0">
      <w:pPr>
        <w:ind w:firstLine="560"/>
        <w:rPr>
          <w:sz w:val="32"/>
          <w:szCs w:val="32"/>
        </w:rPr>
      </w:pPr>
      <w:bookmarkStart w:id="10" w:name="_Toc20782"/>
      <w:bookmarkStart w:id="11" w:name="_Toc7151"/>
      <w:bookmarkStart w:id="12" w:name="_Toc25335"/>
      <w:r>
        <w:rPr>
          <w:rFonts w:hint="eastAsia"/>
          <w:sz w:val="32"/>
          <w:szCs w:val="32"/>
          <w:lang w:eastAsia="zh-CN"/>
        </w:rPr>
        <w:t>华池县</w:t>
      </w:r>
      <w:r>
        <w:rPr>
          <w:rFonts w:hint="eastAsia"/>
          <w:sz w:val="32"/>
          <w:szCs w:val="32"/>
        </w:rPr>
        <w:t>人民法院是国家审判机关，依法独立行使审判权，对人民代表大会及其常务委员会负责并报告工作。主要职责是：</w:t>
      </w:r>
    </w:p>
    <w:p w14:paraId="255FE44C">
      <w:pPr>
        <w:ind w:firstLine="560"/>
        <w:rPr>
          <w:rFonts w:cs="仿宋_GB2312"/>
          <w:sz w:val="32"/>
          <w:szCs w:val="32"/>
        </w:rPr>
      </w:pPr>
      <w:r>
        <w:rPr>
          <w:rFonts w:hint="eastAsia" w:cs="仿宋_GB2312"/>
          <w:sz w:val="32"/>
          <w:szCs w:val="32"/>
        </w:rPr>
        <w:t>1.审判法律规定由基层法院管辖的刑事、民事、行政等案件。</w:t>
      </w:r>
    </w:p>
    <w:p w14:paraId="43D7C7FA">
      <w:pPr>
        <w:ind w:firstLine="560"/>
        <w:rPr>
          <w:rFonts w:cs="仿宋_GB2312"/>
          <w:sz w:val="32"/>
          <w:szCs w:val="32"/>
        </w:rPr>
      </w:pPr>
      <w:r>
        <w:rPr>
          <w:rFonts w:hint="eastAsia" w:cs="仿宋_GB2312"/>
          <w:sz w:val="32"/>
          <w:szCs w:val="32"/>
        </w:rPr>
        <w:t>2.处理不需要开庭审判的民事纠纷和轻微的刑事案件。</w:t>
      </w:r>
    </w:p>
    <w:p w14:paraId="1B546E2A">
      <w:pPr>
        <w:ind w:firstLine="560"/>
        <w:rPr>
          <w:rFonts w:cs="仿宋_GB2312"/>
          <w:sz w:val="32"/>
          <w:szCs w:val="32"/>
        </w:rPr>
      </w:pPr>
      <w:r>
        <w:rPr>
          <w:rFonts w:hint="eastAsia" w:cs="仿宋_GB2312"/>
          <w:sz w:val="32"/>
          <w:szCs w:val="32"/>
        </w:rPr>
        <w:t>3.审理由人民检察院按照审判监督程序提起的抗诉案件。</w:t>
      </w:r>
    </w:p>
    <w:p w14:paraId="35916197">
      <w:pPr>
        <w:ind w:firstLine="560"/>
        <w:rPr>
          <w:rFonts w:cs="仿宋_GB2312"/>
          <w:sz w:val="32"/>
          <w:szCs w:val="32"/>
        </w:rPr>
      </w:pPr>
      <w:r>
        <w:rPr>
          <w:rFonts w:hint="eastAsia" w:cs="仿宋_GB2312"/>
          <w:sz w:val="32"/>
          <w:szCs w:val="32"/>
        </w:rPr>
        <w:t>4.指导人民调解委员会工作。</w:t>
      </w:r>
    </w:p>
    <w:p w14:paraId="6A8F9794">
      <w:pPr>
        <w:ind w:firstLine="560"/>
        <w:rPr>
          <w:rFonts w:cs="仿宋_GB2312"/>
          <w:sz w:val="32"/>
          <w:szCs w:val="32"/>
        </w:rPr>
      </w:pPr>
      <w:r>
        <w:rPr>
          <w:rFonts w:hint="eastAsia" w:cs="仿宋_GB2312"/>
          <w:sz w:val="32"/>
          <w:szCs w:val="32"/>
        </w:rPr>
        <w:t>5.依法行使司法执行权和司法决定权。</w:t>
      </w:r>
    </w:p>
    <w:p w14:paraId="45071587">
      <w:pPr>
        <w:ind w:firstLine="560"/>
        <w:rPr>
          <w:rFonts w:cs="仿宋_GB2312"/>
          <w:sz w:val="32"/>
          <w:szCs w:val="32"/>
        </w:rPr>
      </w:pPr>
      <w:r>
        <w:rPr>
          <w:rFonts w:hint="eastAsia" w:cs="仿宋_GB2312"/>
          <w:sz w:val="32"/>
          <w:szCs w:val="32"/>
        </w:rPr>
        <w:t>6.受理和审查各类告诉、申诉；依法审判刑事、民事、行政再审案件；处理来信来访。</w:t>
      </w:r>
    </w:p>
    <w:p w14:paraId="50501CDF">
      <w:pPr>
        <w:ind w:firstLine="560"/>
        <w:rPr>
          <w:rFonts w:cs="仿宋_GB2312"/>
          <w:sz w:val="32"/>
          <w:szCs w:val="32"/>
        </w:rPr>
      </w:pPr>
      <w:r>
        <w:rPr>
          <w:rFonts w:hint="eastAsia" w:cs="仿宋_GB2312"/>
          <w:sz w:val="32"/>
          <w:szCs w:val="32"/>
        </w:rPr>
        <w:t>7.针对案件审理中发现的问题提出司法建议。</w:t>
      </w:r>
    </w:p>
    <w:p w14:paraId="78E2FBA7">
      <w:pPr>
        <w:ind w:firstLine="560"/>
        <w:rPr>
          <w:rFonts w:cs="仿宋_GB2312"/>
          <w:sz w:val="32"/>
          <w:szCs w:val="32"/>
        </w:rPr>
      </w:pPr>
      <w:r>
        <w:rPr>
          <w:rFonts w:hint="eastAsia" w:cs="仿宋_GB2312"/>
          <w:sz w:val="32"/>
          <w:szCs w:val="32"/>
        </w:rPr>
        <w:t>8.负责全院的思想政治建设、组织建设、制度建设、廉政建设及教育培训等工作。</w:t>
      </w:r>
    </w:p>
    <w:p w14:paraId="41EC02C3">
      <w:pPr>
        <w:ind w:firstLine="560"/>
        <w:rPr>
          <w:rFonts w:cs="仿宋_GB2312"/>
          <w:sz w:val="32"/>
          <w:szCs w:val="32"/>
        </w:rPr>
      </w:pPr>
      <w:r>
        <w:rPr>
          <w:rFonts w:hint="eastAsia" w:cs="仿宋_GB2312"/>
          <w:sz w:val="32"/>
          <w:szCs w:val="32"/>
        </w:rPr>
        <w:t>9.在业务工作中宣传法制，教育公民忠于社会主义祖国，自觉遵守宪法、法律、法规和社会公德。</w:t>
      </w:r>
    </w:p>
    <w:p w14:paraId="1FE9ED5B">
      <w:pPr>
        <w:keepNext/>
        <w:keepLines/>
        <w:pageBreakBefore w:val="0"/>
        <w:widowControl w:val="0"/>
        <w:kinsoku/>
        <w:wordWrap/>
        <w:overflowPunct/>
        <w:topLinePunct w:val="0"/>
        <w:autoSpaceDE/>
        <w:autoSpaceDN/>
        <w:bidi w:val="0"/>
        <w:adjustRightInd/>
        <w:snapToGrid/>
        <w:spacing w:before="0" w:after="0"/>
        <w:ind w:firstLine="561"/>
        <w:textAlignment w:val="auto"/>
        <w:outlineLvl w:val="9"/>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10.承办其他由基层人民法院负责的工作。</w:t>
      </w:r>
    </w:p>
    <w:p w14:paraId="3015886E">
      <w:pPr>
        <w:pStyle w:val="3"/>
        <w:spacing w:before="0" w:after="0"/>
        <w:ind w:firstLine="643"/>
      </w:pPr>
      <w:bookmarkStart w:id="13" w:name="_Toc19192"/>
      <w:r>
        <w:rPr>
          <w:rFonts w:hint="eastAsia"/>
        </w:rPr>
        <w:t>（二）内设机构及所属部门概况</w:t>
      </w:r>
      <w:bookmarkEnd w:id="10"/>
      <w:bookmarkEnd w:id="11"/>
      <w:bookmarkEnd w:id="12"/>
      <w:bookmarkEnd w:id="13"/>
    </w:p>
    <w:p w14:paraId="7322EA05">
      <w:pPr>
        <w:pStyle w:val="21"/>
        <w:keepNext w:val="0"/>
        <w:keepLines w:val="0"/>
        <w:widowControl/>
        <w:suppressLineNumbers w:val="0"/>
        <w:spacing w:before="0" w:beforeAutospacing="0"/>
        <w:ind w:left="0" w:firstLine="640" w:firstLineChars="200"/>
        <w:jc w:val="left"/>
        <w:rPr>
          <w:rFonts w:hint="eastAsia" w:ascii="仿宋_GB2312" w:hAnsi="仿宋_GB2312" w:eastAsia="仿宋_GB2312" w:cs="仿宋_GB2312"/>
          <w:kern w:val="2"/>
          <w:sz w:val="32"/>
          <w:szCs w:val="32"/>
          <w:lang w:val="en-US" w:eastAsia="zh-CN" w:bidi="ar-SA"/>
        </w:rPr>
      </w:pPr>
      <w:bookmarkStart w:id="14" w:name="_Toc18193"/>
      <w:bookmarkStart w:id="15" w:name="_Toc4574"/>
      <w:bookmarkStart w:id="16" w:name="_Toc13794"/>
      <w:r>
        <w:rPr>
          <w:rFonts w:hint="eastAsia" w:ascii="仿宋_GB2312" w:hAnsi="仿宋_GB2312" w:eastAsia="仿宋_GB2312" w:cs="仿宋_GB2312"/>
          <w:kern w:val="2"/>
          <w:sz w:val="32"/>
          <w:szCs w:val="32"/>
          <w:lang w:val="en-US" w:eastAsia="zh-CN" w:bidi="ar-SA"/>
        </w:rPr>
        <w:t>我院下设诉讼服务中心、综合审判庭、执行庭（局）、综合办公室（司法警察大队）、政治部、基层人民法庭（悦乐、元城、五蛟、林镇）。现有中央政法编制42人，工勤超编人员1人，聘用制书记员15人，县管事业人员17人，外聘临时人员22人。</w:t>
      </w:r>
    </w:p>
    <w:p w14:paraId="610238F4">
      <w:pPr>
        <w:pStyle w:val="2"/>
        <w:spacing w:before="0" w:after="0"/>
        <w:rPr>
          <w:rFonts w:hint="eastAsia" w:ascii="仿宋_GB2312" w:hAnsi="仿宋_GB2312" w:eastAsia="仿宋_GB2312" w:cstheme="minorBidi"/>
          <w:b w:val="0"/>
          <w:bCs w:val="0"/>
          <w:kern w:val="2"/>
          <w:sz w:val="32"/>
          <w:szCs w:val="32"/>
          <w:highlight w:val="none"/>
          <w:lang w:val="en-US" w:eastAsia="zh-CN" w:bidi="ar-SA"/>
        </w:rPr>
      </w:pPr>
      <w:bookmarkStart w:id="17" w:name="_Toc4966"/>
      <w:r>
        <w:rPr>
          <w:rFonts w:hint="eastAsia"/>
        </w:rPr>
        <w:t>二、绩效自评工作组织开展情况</w:t>
      </w:r>
      <w:bookmarkEnd w:id="14"/>
      <w:bookmarkEnd w:id="15"/>
      <w:bookmarkEnd w:id="16"/>
      <w:bookmarkEnd w:id="17"/>
    </w:p>
    <w:p w14:paraId="2F0FDEE4">
      <w:pPr>
        <w:pStyle w:val="3"/>
        <w:spacing w:before="0" w:after="0"/>
        <w:ind w:firstLine="643"/>
      </w:pPr>
      <w:bookmarkStart w:id="18" w:name="_Toc14950"/>
      <w:bookmarkStart w:id="19" w:name="_Toc4177"/>
      <w:bookmarkStart w:id="20" w:name="_Toc31965"/>
      <w:bookmarkStart w:id="21" w:name="_Toc11147"/>
      <w:r>
        <w:rPr>
          <w:rFonts w:hint="eastAsia"/>
        </w:rPr>
        <w:t>（一）自评工作组织管理情况</w:t>
      </w:r>
      <w:bookmarkEnd w:id="18"/>
    </w:p>
    <w:p w14:paraId="249B8AD9">
      <w:pPr>
        <w:ind w:firstLine="560"/>
        <w:rPr>
          <w:rFonts w:cs="仿宋_GB2312"/>
          <w:sz w:val="32"/>
          <w:szCs w:val="32"/>
        </w:rPr>
      </w:pPr>
      <w:r>
        <w:rPr>
          <w:rFonts w:hint="eastAsia" w:cs="仿宋_GB2312"/>
          <w:sz w:val="32"/>
          <w:szCs w:val="32"/>
        </w:rPr>
        <w:t>我院十分重视此次绩效评价工作，要求财务部门严格按照省上有关文件精神，科学分析，精准评价，确保绩效评价客观公正。工作启动后，严格按照《中华人民共和国预算法》《中华人民共和国预算法实施条例》《中共中央</w:t>
      </w:r>
      <w:r>
        <w:rPr>
          <w:rFonts w:hint="eastAsia" w:cs="仿宋_GB2312"/>
          <w:sz w:val="32"/>
          <w:szCs w:val="32"/>
          <w:lang w:val="en-US" w:eastAsia="zh-CN"/>
        </w:rPr>
        <w:t xml:space="preserve"> </w:t>
      </w:r>
      <w:r>
        <w:rPr>
          <w:rFonts w:hint="eastAsia" w:cs="仿宋_GB2312"/>
          <w:sz w:val="32"/>
          <w:szCs w:val="32"/>
        </w:rPr>
        <w:t>国务院关于全面实施预算绩效管理的意见》（中发〔2018〕34号）、《中共甘肃省委 甘肃省人民政府关于全面实施预算绩效管理的实施意见》（中发〔2018〕32号）、《甘肃省省级预算绩效管理办法》（甘财绩〔2020〕5号）等文件的要求，联合各相关业务部门共同完成此次自评工作。自评工作遵循科学公正、统筹兼顾、激励约束和公开透明的原则，以我院</w:t>
      </w:r>
      <w:r>
        <w:rPr>
          <w:rFonts w:hint="eastAsia" w:cs="仿宋_GB2312"/>
          <w:sz w:val="32"/>
          <w:szCs w:val="32"/>
          <w:lang w:eastAsia="zh-CN"/>
        </w:rPr>
        <w:t>2023</w:t>
      </w:r>
      <w:r>
        <w:rPr>
          <w:rFonts w:hint="eastAsia" w:cs="仿宋_GB2312"/>
          <w:sz w:val="32"/>
          <w:szCs w:val="32"/>
        </w:rPr>
        <w:t>年初设定的绩效目标及相关法律法规、政策要求、行业规划、部门职责等为依据，运用定量和定性相结合的评价方法，对我院</w:t>
      </w:r>
      <w:r>
        <w:rPr>
          <w:rFonts w:hint="eastAsia" w:cs="仿宋_GB2312"/>
          <w:sz w:val="32"/>
          <w:szCs w:val="32"/>
          <w:lang w:eastAsia="zh-CN"/>
        </w:rPr>
        <w:t>2023</w:t>
      </w:r>
      <w:r>
        <w:rPr>
          <w:rFonts w:hint="eastAsia" w:cs="仿宋_GB2312"/>
          <w:sz w:val="32"/>
          <w:szCs w:val="32"/>
        </w:rPr>
        <w:t>年度省级预算执行情况的经济性、效率性、效益性进行客观公正的分析评价。</w:t>
      </w:r>
    </w:p>
    <w:p w14:paraId="4DCA8314">
      <w:pPr>
        <w:pStyle w:val="3"/>
        <w:spacing w:before="0" w:after="0"/>
        <w:ind w:firstLine="643"/>
      </w:pPr>
      <w:bookmarkStart w:id="22" w:name="_Toc13356"/>
      <w:bookmarkStart w:id="23" w:name="_Toc25783"/>
      <w:bookmarkStart w:id="24" w:name="_Toc29448"/>
      <w:bookmarkStart w:id="25" w:name="_Toc28216"/>
      <w:bookmarkStart w:id="26" w:name="_Toc26980"/>
      <w:r>
        <w:rPr>
          <w:rFonts w:hint="eastAsia"/>
        </w:rPr>
        <w:t>（二）自评范围</w:t>
      </w:r>
      <w:bookmarkEnd w:id="22"/>
      <w:bookmarkEnd w:id="23"/>
      <w:bookmarkEnd w:id="24"/>
      <w:bookmarkEnd w:id="25"/>
      <w:bookmarkEnd w:id="26"/>
    </w:p>
    <w:p w14:paraId="5EA429BD">
      <w:pPr>
        <w:ind w:firstLine="560"/>
        <w:rPr>
          <w:sz w:val="32"/>
          <w:szCs w:val="32"/>
        </w:rPr>
      </w:pPr>
      <w:r>
        <w:rPr>
          <w:rFonts w:hint="eastAsia"/>
          <w:sz w:val="32"/>
          <w:szCs w:val="32"/>
        </w:rPr>
        <w:t>本次预算绩效自评价，按照省级部门项目支出、省对市县转移支付、部门整体支出三类评价对象全覆盖的原则，结合我院</w:t>
      </w:r>
      <w:r>
        <w:rPr>
          <w:sz w:val="32"/>
          <w:szCs w:val="32"/>
        </w:rPr>
        <w:t>实际情况，自评所有对象为</w:t>
      </w:r>
      <w:r>
        <w:rPr>
          <w:rFonts w:hint="eastAsia"/>
          <w:sz w:val="32"/>
          <w:szCs w:val="32"/>
        </w:rPr>
        <w:t>法庭运维费</w:t>
      </w:r>
      <w:r>
        <w:rPr>
          <w:sz w:val="32"/>
          <w:szCs w:val="32"/>
        </w:rPr>
        <w:t>、</w:t>
      </w:r>
      <w:r>
        <w:rPr>
          <w:rFonts w:hint="eastAsia"/>
          <w:sz w:val="32"/>
          <w:szCs w:val="32"/>
        </w:rPr>
        <w:t>业务费两</w:t>
      </w:r>
      <w:r>
        <w:rPr>
          <w:sz w:val="32"/>
          <w:szCs w:val="32"/>
        </w:rPr>
        <w:t>个项目自评</w:t>
      </w:r>
      <w:r>
        <w:rPr>
          <w:rFonts w:hint="eastAsia"/>
          <w:sz w:val="32"/>
          <w:szCs w:val="32"/>
        </w:rPr>
        <w:t>、</w:t>
      </w:r>
      <w:r>
        <w:rPr>
          <w:rFonts w:hint="eastAsia" w:hAnsi="宋体"/>
          <w:sz w:val="32"/>
          <w:szCs w:val="32"/>
        </w:rPr>
        <w:t>中央政法转移支付资金自评和部门整体支出自评。</w:t>
      </w:r>
    </w:p>
    <w:p w14:paraId="63B43054">
      <w:pPr>
        <w:pStyle w:val="3"/>
        <w:spacing w:before="0" w:after="0"/>
        <w:ind w:firstLine="643"/>
      </w:pPr>
      <w:bookmarkStart w:id="27" w:name="_Toc25429"/>
      <w:bookmarkStart w:id="28" w:name="_Toc25203"/>
      <w:bookmarkStart w:id="29" w:name="_Toc22785"/>
      <w:bookmarkStart w:id="30" w:name="_Toc26433"/>
      <w:bookmarkStart w:id="31" w:name="_Toc18694"/>
      <w:r>
        <w:rPr>
          <w:rFonts w:hint="eastAsia"/>
        </w:rPr>
        <w:t>（三）自评工作程序</w:t>
      </w:r>
      <w:bookmarkEnd w:id="27"/>
      <w:bookmarkEnd w:id="28"/>
      <w:bookmarkEnd w:id="29"/>
      <w:bookmarkEnd w:id="30"/>
      <w:bookmarkEnd w:id="31"/>
    </w:p>
    <w:p w14:paraId="594B7C09">
      <w:pPr>
        <w:ind w:firstLine="560"/>
        <w:rPr>
          <w:sz w:val="32"/>
          <w:szCs w:val="32"/>
        </w:rPr>
      </w:pPr>
      <w:r>
        <w:rPr>
          <w:rFonts w:hint="eastAsia"/>
          <w:sz w:val="32"/>
          <w:szCs w:val="32"/>
        </w:rPr>
        <w:t>本次绩效自评工作主要包括以下工作程序：</w:t>
      </w:r>
    </w:p>
    <w:p w14:paraId="6010DB33">
      <w:pPr>
        <w:ind w:firstLine="560"/>
        <w:rPr>
          <w:sz w:val="32"/>
          <w:szCs w:val="32"/>
        </w:rPr>
      </w:pPr>
      <w:r>
        <w:rPr>
          <w:rFonts w:hint="eastAsia"/>
          <w:sz w:val="32"/>
          <w:szCs w:val="32"/>
        </w:rPr>
        <w:t>1.根据我院整体</w:t>
      </w:r>
      <w:r>
        <w:rPr>
          <w:sz w:val="32"/>
          <w:szCs w:val="32"/>
        </w:rPr>
        <w:t>支出和</w:t>
      </w:r>
      <w:r>
        <w:rPr>
          <w:rFonts w:hint="eastAsia"/>
          <w:sz w:val="32"/>
          <w:szCs w:val="32"/>
        </w:rPr>
        <w:t>项目支出绩效目标的设定情况，收集各业务部门</w:t>
      </w:r>
      <w:r>
        <w:rPr>
          <w:sz w:val="32"/>
          <w:szCs w:val="32"/>
        </w:rPr>
        <w:t>绩效目标</w:t>
      </w:r>
      <w:r>
        <w:rPr>
          <w:rFonts w:hint="eastAsia"/>
          <w:sz w:val="32"/>
          <w:szCs w:val="32"/>
        </w:rPr>
        <w:t>实现程度</w:t>
      </w:r>
      <w:r>
        <w:rPr>
          <w:sz w:val="32"/>
          <w:szCs w:val="32"/>
        </w:rPr>
        <w:t>、预算执行进度</w:t>
      </w:r>
      <w:r>
        <w:rPr>
          <w:rFonts w:hint="eastAsia"/>
          <w:sz w:val="32"/>
          <w:szCs w:val="32"/>
        </w:rPr>
        <w:t>等绩效评价</w:t>
      </w:r>
      <w:r>
        <w:rPr>
          <w:sz w:val="32"/>
          <w:szCs w:val="32"/>
        </w:rPr>
        <w:t>基础</w:t>
      </w:r>
      <w:r>
        <w:rPr>
          <w:rFonts w:hint="eastAsia"/>
          <w:sz w:val="32"/>
          <w:szCs w:val="32"/>
        </w:rPr>
        <w:t>资料。</w:t>
      </w:r>
    </w:p>
    <w:p w14:paraId="38E0922B">
      <w:pPr>
        <w:ind w:firstLine="560"/>
        <w:rPr>
          <w:sz w:val="32"/>
          <w:szCs w:val="32"/>
        </w:rPr>
      </w:pPr>
      <w:r>
        <w:rPr>
          <w:sz w:val="32"/>
          <w:szCs w:val="32"/>
        </w:rPr>
        <w:t>2.</w:t>
      </w:r>
      <w:r>
        <w:rPr>
          <w:rFonts w:hint="eastAsia"/>
          <w:sz w:val="32"/>
          <w:szCs w:val="32"/>
        </w:rPr>
        <w:t>整理分析相关资料，统计财政资金预算执行情况和各项</w:t>
      </w:r>
      <w:r>
        <w:rPr>
          <w:sz w:val="32"/>
          <w:szCs w:val="32"/>
        </w:rPr>
        <w:t>绩效目标完成</w:t>
      </w:r>
      <w:r>
        <w:rPr>
          <w:rFonts w:hint="eastAsia"/>
          <w:sz w:val="32"/>
          <w:szCs w:val="32"/>
        </w:rPr>
        <w:t>情况，对年初</w:t>
      </w:r>
      <w:r>
        <w:rPr>
          <w:sz w:val="32"/>
          <w:szCs w:val="32"/>
        </w:rPr>
        <w:t>设定的</w:t>
      </w:r>
      <w:r>
        <w:rPr>
          <w:rFonts w:hint="eastAsia"/>
          <w:sz w:val="32"/>
          <w:szCs w:val="32"/>
        </w:rPr>
        <w:t>绩效指标及各项指标完成情况进行对比分析，填写《</w:t>
      </w:r>
      <w:r>
        <w:rPr>
          <w:rFonts w:hint="eastAsia"/>
          <w:sz w:val="32"/>
          <w:szCs w:val="32"/>
          <w:lang w:eastAsia="zh-CN"/>
        </w:rPr>
        <w:t>2023</w:t>
      </w:r>
      <w:r>
        <w:rPr>
          <w:rFonts w:hint="eastAsia"/>
          <w:sz w:val="32"/>
          <w:szCs w:val="32"/>
        </w:rPr>
        <w:t>年度部门预算执行情况绩效自评报表》。</w:t>
      </w:r>
    </w:p>
    <w:p w14:paraId="795C5F1C">
      <w:pPr>
        <w:ind w:firstLine="560"/>
        <w:rPr>
          <w:sz w:val="32"/>
          <w:szCs w:val="32"/>
        </w:rPr>
      </w:pPr>
      <w:r>
        <w:rPr>
          <w:sz w:val="32"/>
          <w:szCs w:val="32"/>
        </w:rPr>
        <w:t>3.</w:t>
      </w:r>
      <w:r>
        <w:rPr>
          <w:rFonts w:hint="eastAsia"/>
          <w:sz w:val="32"/>
          <w:szCs w:val="32"/>
        </w:rPr>
        <w:t>总结评价结论，归纳问题，分析原因，提出改进</w:t>
      </w:r>
      <w:r>
        <w:rPr>
          <w:sz w:val="32"/>
          <w:szCs w:val="32"/>
        </w:rPr>
        <w:t>措施</w:t>
      </w:r>
      <w:r>
        <w:rPr>
          <w:rFonts w:hint="eastAsia"/>
          <w:sz w:val="32"/>
          <w:szCs w:val="32"/>
        </w:rPr>
        <w:t>，完成《</w:t>
      </w:r>
      <w:r>
        <w:rPr>
          <w:rFonts w:hint="eastAsia"/>
          <w:sz w:val="32"/>
          <w:szCs w:val="32"/>
          <w:lang w:eastAsia="zh-CN"/>
        </w:rPr>
        <w:t>2023</w:t>
      </w:r>
      <w:r>
        <w:rPr>
          <w:rFonts w:hint="eastAsia"/>
          <w:sz w:val="32"/>
          <w:szCs w:val="32"/>
        </w:rPr>
        <w:t>年度预算执行情况自评报告》撰写。</w:t>
      </w:r>
    </w:p>
    <w:p w14:paraId="6A8BCE34">
      <w:pPr>
        <w:ind w:firstLine="560"/>
        <w:rPr>
          <w:sz w:val="32"/>
          <w:szCs w:val="32"/>
        </w:rPr>
      </w:pPr>
      <w:r>
        <w:rPr>
          <w:rFonts w:hint="eastAsia"/>
          <w:sz w:val="32"/>
          <w:szCs w:val="32"/>
        </w:rPr>
        <w:t>4.自评表和自评报告完成之后，进行内部审核，对自评表的真实性、完整性、合理性和客观性进行初步审核，并对发现的问题及时反馈和修改，修改完善后报送审核备案。</w:t>
      </w:r>
    </w:p>
    <w:bookmarkEnd w:id="19"/>
    <w:bookmarkEnd w:id="20"/>
    <w:bookmarkEnd w:id="21"/>
    <w:p w14:paraId="77C8B461">
      <w:pPr>
        <w:pStyle w:val="2"/>
        <w:spacing w:before="0" w:after="0"/>
      </w:pPr>
      <w:bookmarkStart w:id="32" w:name="_Toc26000"/>
      <w:bookmarkStart w:id="33" w:name="_Toc31966"/>
      <w:bookmarkStart w:id="34" w:name="_Toc31556"/>
      <w:bookmarkStart w:id="35" w:name="_Toc17042"/>
      <w:r>
        <w:rPr>
          <w:rFonts w:hint="eastAsia"/>
        </w:rPr>
        <w:t>三、部门整体支出绩效自评情况分析</w:t>
      </w:r>
      <w:bookmarkEnd w:id="32"/>
      <w:bookmarkEnd w:id="33"/>
      <w:bookmarkEnd w:id="34"/>
      <w:bookmarkEnd w:id="35"/>
      <w:r>
        <w:tab/>
      </w:r>
    </w:p>
    <w:p w14:paraId="5E73DE38">
      <w:pPr>
        <w:pStyle w:val="3"/>
        <w:spacing w:before="0" w:after="0"/>
        <w:ind w:firstLine="643"/>
      </w:pPr>
      <w:bookmarkStart w:id="36" w:name="_Toc16201"/>
      <w:bookmarkStart w:id="37" w:name="_Toc8171"/>
      <w:bookmarkStart w:id="38" w:name="_Toc32623"/>
      <w:bookmarkStart w:id="39" w:name="_Toc3483"/>
      <w:r>
        <w:rPr>
          <w:rFonts w:hint="eastAsia"/>
        </w:rPr>
        <w:t>（一）部门决算情况</w:t>
      </w:r>
      <w:bookmarkEnd w:id="36"/>
      <w:bookmarkEnd w:id="37"/>
      <w:bookmarkEnd w:id="38"/>
      <w:bookmarkEnd w:id="39"/>
    </w:p>
    <w:p w14:paraId="3281A343">
      <w:pPr>
        <w:ind w:firstLine="560"/>
        <w:rPr>
          <w:rFonts w:hint="eastAsia"/>
          <w:sz w:val="32"/>
          <w:szCs w:val="32"/>
        </w:rPr>
      </w:pPr>
      <w:r>
        <w:rPr>
          <w:rFonts w:hint="eastAsia"/>
          <w:sz w:val="32"/>
          <w:szCs w:val="32"/>
          <w:lang w:eastAsia="zh-CN"/>
        </w:rPr>
        <w:t>2023</w:t>
      </w:r>
      <w:r>
        <w:rPr>
          <w:rFonts w:hint="eastAsia"/>
          <w:sz w:val="32"/>
          <w:szCs w:val="32"/>
        </w:rPr>
        <w:t>年度</w:t>
      </w:r>
      <w:r>
        <w:rPr>
          <w:rFonts w:hint="eastAsia"/>
          <w:sz w:val="32"/>
          <w:szCs w:val="32"/>
          <w:lang w:eastAsia="zh-CN"/>
        </w:rPr>
        <w:t>华池县</w:t>
      </w:r>
      <w:r>
        <w:rPr>
          <w:rFonts w:hint="eastAsia"/>
          <w:sz w:val="32"/>
          <w:szCs w:val="32"/>
        </w:rPr>
        <w:t>人民法院年初预算</w:t>
      </w:r>
      <w:r>
        <w:rPr>
          <w:rFonts w:hint="eastAsia"/>
          <w:sz w:val="32"/>
          <w:szCs w:val="32"/>
          <w:lang w:val="en-US" w:eastAsia="zh-CN"/>
        </w:rPr>
        <w:t>1</w:t>
      </w:r>
      <w:r>
        <w:rPr>
          <w:rFonts w:hint="eastAsia"/>
          <w:sz w:val="32"/>
          <w:szCs w:val="32"/>
          <w:lang w:eastAsia="zh-CN"/>
        </w:rPr>
        <w:t>,</w:t>
      </w:r>
      <w:r>
        <w:rPr>
          <w:rFonts w:hint="eastAsia"/>
          <w:sz w:val="32"/>
          <w:szCs w:val="32"/>
          <w:lang w:val="en-US" w:eastAsia="zh-CN"/>
        </w:rPr>
        <w:t>511</w:t>
      </w:r>
      <w:r>
        <w:rPr>
          <w:rFonts w:hint="eastAsia"/>
          <w:sz w:val="32"/>
          <w:szCs w:val="32"/>
        </w:rPr>
        <w:t>.</w:t>
      </w:r>
      <w:r>
        <w:rPr>
          <w:rFonts w:hint="eastAsia"/>
          <w:sz w:val="32"/>
          <w:szCs w:val="32"/>
          <w:lang w:val="en-US" w:eastAsia="zh-CN"/>
        </w:rPr>
        <w:t>67</w:t>
      </w:r>
      <w:r>
        <w:rPr>
          <w:rFonts w:hint="eastAsia"/>
          <w:sz w:val="32"/>
          <w:szCs w:val="32"/>
        </w:rPr>
        <w:t>万元，全年预算数2</w:t>
      </w:r>
      <w:r>
        <w:rPr>
          <w:rFonts w:hint="eastAsia"/>
          <w:sz w:val="32"/>
          <w:szCs w:val="32"/>
          <w:lang w:eastAsia="zh-CN"/>
        </w:rPr>
        <w:t>,</w:t>
      </w:r>
      <w:r>
        <w:rPr>
          <w:rFonts w:hint="eastAsia"/>
          <w:sz w:val="32"/>
          <w:szCs w:val="32"/>
          <w:lang w:val="en-US" w:eastAsia="zh-CN"/>
        </w:rPr>
        <w:t>317</w:t>
      </w:r>
      <w:r>
        <w:rPr>
          <w:rFonts w:hint="eastAsia"/>
          <w:sz w:val="32"/>
          <w:szCs w:val="32"/>
        </w:rPr>
        <w:t>.</w:t>
      </w:r>
      <w:r>
        <w:rPr>
          <w:rFonts w:hint="eastAsia"/>
          <w:sz w:val="32"/>
          <w:szCs w:val="32"/>
          <w:lang w:val="en-US" w:eastAsia="zh-CN"/>
        </w:rPr>
        <w:t>10</w:t>
      </w:r>
      <w:r>
        <w:rPr>
          <w:rFonts w:hint="eastAsia"/>
          <w:sz w:val="32"/>
          <w:szCs w:val="32"/>
        </w:rPr>
        <w:t>万元，实际支出数2,</w:t>
      </w:r>
      <w:r>
        <w:rPr>
          <w:rFonts w:hint="eastAsia"/>
          <w:sz w:val="32"/>
          <w:szCs w:val="32"/>
          <w:lang w:val="en-US" w:eastAsia="zh-CN"/>
        </w:rPr>
        <w:t>073</w:t>
      </w:r>
      <w:r>
        <w:rPr>
          <w:rFonts w:hint="eastAsia"/>
          <w:sz w:val="32"/>
          <w:szCs w:val="32"/>
        </w:rPr>
        <w:t>.8</w:t>
      </w:r>
      <w:r>
        <w:rPr>
          <w:rFonts w:hint="eastAsia"/>
          <w:sz w:val="32"/>
          <w:szCs w:val="32"/>
          <w:lang w:val="en-US" w:eastAsia="zh-CN"/>
        </w:rPr>
        <w:t>2</w:t>
      </w:r>
      <w:r>
        <w:rPr>
          <w:rFonts w:hint="eastAsia"/>
          <w:sz w:val="32"/>
          <w:szCs w:val="32"/>
        </w:rPr>
        <w:t>万元，部门整体支出预算执行率为</w:t>
      </w:r>
      <w:r>
        <w:rPr>
          <w:rFonts w:hint="eastAsia"/>
          <w:sz w:val="32"/>
          <w:szCs w:val="32"/>
          <w:lang w:val="en-US" w:eastAsia="zh-CN"/>
        </w:rPr>
        <w:t>89</w:t>
      </w:r>
      <w:r>
        <w:rPr>
          <w:rFonts w:hint="eastAsia"/>
          <w:sz w:val="32"/>
          <w:szCs w:val="32"/>
          <w:lang w:eastAsia="zh-CN"/>
        </w:rPr>
        <w:t>.5</w:t>
      </w:r>
      <w:r>
        <w:rPr>
          <w:rFonts w:hint="eastAsia"/>
          <w:sz w:val="32"/>
          <w:szCs w:val="32"/>
        </w:rPr>
        <w:t>%。</w:t>
      </w:r>
    </w:p>
    <w:p w14:paraId="03E3C99F">
      <w:pPr>
        <w:pStyle w:val="3"/>
        <w:spacing w:before="0" w:after="0"/>
        <w:ind w:firstLine="643"/>
      </w:pPr>
      <w:bookmarkStart w:id="40" w:name="_Toc7537"/>
      <w:bookmarkStart w:id="41" w:name="_Toc10769"/>
      <w:bookmarkStart w:id="42" w:name="_Toc22782"/>
      <w:bookmarkStart w:id="43" w:name="_Toc21423"/>
      <w:r>
        <w:rPr>
          <w:rFonts w:hint="eastAsia"/>
        </w:rPr>
        <w:t>（二）总体绩效目标完成情况分析</w:t>
      </w:r>
      <w:bookmarkEnd w:id="40"/>
      <w:bookmarkEnd w:id="41"/>
      <w:bookmarkEnd w:id="42"/>
      <w:bookmarkEnd w:id="43"/>
    </w:p>
    <w:p w14:paraId="1CDBBE94">
      <w:pPr>
        <w:ind w:firstLine="560"/>
        <w:rPr>
          <w:sz w:val="32"/>
          <w:szCs w:val="32"/>
        </w:rPr>
      </w:pPr>
      <w:r>
        <w:rPr>
          <w:rFonts w:hint="eastAsia"/>
          <w:sz w:val="32"/>
          <w:szCs w:val="32"/>
        </w:rPr>
        <w:t>经综合评价与分析，</w:t>
      </w:r>
      <w:r>
        <w:rPr>
          <w:rFonts w:hint="eastAsia"/>
          <w:sz w:val="32"/>
          <w:szCs w:val="32"/>
          <w:lang w:eastAsia="zh-CN"/>
        </w:rPr>
        <w:t>华池县</w:t>
      </w:r>
      <w:r>
        <w:rPr>
          <w:rFonts w:hint="eastAsia"/>
          <w:sz w:val="32"/>
          <w:szCs w:val="32"/>
        </w:rPr>
        <w:t>人民法院</w:t>
      </w:r>
      <w:r>
        <w:rPr>
          <w:rFonts w:hint="eastAsia"/>
          <w:sz w:val="32"/>
          <w:szCs w:val="32"/>
          <w:lang w:eastAsia="zh-CN"/>
        </w:rPr>
        <w:t>2023</w:t>
      </w:r>
      <w:r>
        <w:rPr>
          <w:rFonts w:hint="eastAsia"/>
          <w:sz w:val="32"/>
          <w:szCs w:val="32"/>
        </w:rPr>
        <w:t>年度部门整体支出绩效评价最终得分为</w:t>
      </w:r>
      <w:r>
        <w:rPr>
          <w:rFonts w:hint="eastAsia"/>
          <w:sz w:val="32"/>
          <w:szCs w:val="32"/>
          <w:lang w:val="en-US" w:eastAsia="zh-CN"/>
        </w:rPr>
        <w:t>94.74</w:t>
      </w:r>
      <w:r>
        <w:rPr>
          <w:rFonts w:hint="eastAsia"/>
          <w:sz w:val="32"/>
          <w:szCs w:val="32"/>
        </w:rPr>
        <w:t>分，评价结果为“优”。最终评分结果如下表所示：</w:t>
      </w:r>
    </w:p>
    <w:p w14:paraId="34EE7379">
      <w:pPr>
        <w:ind w:firstLine="480"/>
        <w:jc w:val="center"/>
        <w:rPr>
          <w:rFonts w:ascii="宋体" w:hAnsi="宋体"/>
        </w:rPr>
      </w:pPr>
      <w:r>
        <w:rPr>
          <w:rFonts w:hint="eastAsia" w:ascii="宋体" w:hAnsi="宋体" w:cs="宋体"/>
          <w:b/>
          <w:bCs/>
          <w:kern w:val="0"/>
          <w:sz w:val="24"/>
          <w:lang w:eastAsia="zh-CN"/>
        </w:rPr>
        <w:t>2023</w:t>
      </w:r>
      <w:r>
        <w:rPr>
          <w:rFonts w:hint="eastAsia" w:ascii="宋体" w:hAnsi="宋体" w:cs="宋体"/>
          <w:b/>
          <w:bCs/>
          <w:kern w:val="0"/>
          <w:sz w:val="24"/>
        </w:rPr>
        <w:t>年度部门整体支出绩效评价指标得分情况</w:t>
      </w:r>
    </w:p>
    <w:tbl>
      <w:tblPr>
        <w:tblStyle w:val="25"/>
        <w:tblW w:w="4998"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330"/>
        <w:gridCol w:w="1582"/>
        <w:gridCol w:w="1469"/>
        <w:gridCol w:w="2138"/>
      </w:tblGrid>
      <w:tr w14:paraId="0431581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shd w:val="clear" w:color="auto" w:fill="BDD6EE"/>
            <w:vAlign w:val="center"/>
          </w:tcPr>
          <w:p w14:paraId="5F2B1B6B">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一级指标</w:t>
            </w:r>
          </w:p>
        </w:tc>
        <w:tc>
          <w:tcPr>
            <w:tcW w:w="928" w:type="pct"/>
            <w:shd w:val="clear" w:color="auto" w:fill="BDD6EE"/>
            <w:vAlign w:val="center"/>
          </w:tcPr>
          <w:p w14:paraId="4AE38149">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分值</w:t>
            </w:r>
          </w:p>
        </w:tc>
        <w:tc>
          <w:tcPr>
            <w:tcW w:w="862" w:type="pct"/>
            <w:shd w:val="clear" w:color="auto" w:fill="BDD6EE"/>
            <w:vAlign w:val="center"/>
          </w:tcPr>
          <w:p w14:paraId="4E5AD5AE">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自评得分</w:t>
            </w:r>
          </w:p>
        </w:tc>
        <w:tc>
          <w:tcPr>
            <w:tcW w:w="1254" w:type="pct"/>
            <w:shd w:val="clear" w:color="auto" w:fill="BDD6EE"/>
            <w:vAlign w:val="center"/>
          </w:tcPr>
          <w:p w14:paraId="5D7A1698">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得分率</w:t>
            </w:r>
          </w:p>
        </w:tc>
      </w:tr>
      <w:tr w14:paraId="604766F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vAlign w:val="center"/>
          </w:tcPr>
          <w:p w14:paraId="17335738">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预算执行率</w:t>
            </w:r>
          </w:p>
        </w:tc>
        <w:tc>
          <w:tcPr>
            <w:tcW w:w="928" w:type="pct"/>
            <w:vAlign w:val="center"/>
          </w:tcPr>
          <w:p w14:paraId="1B7A6790">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862" w:type="pct"/>
            <w:vAlign w:val="center"/>
          </w:tcPr>
          <w:p w14:paraId="26D5369B">
            <w:pPr>
              <w:widowControl/>
              <w:ind w:firstLine="0" w:firstLineChars="0"/>
              <w:jc w:val="center"/>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rPr>
              <w:t>8.95</w:t>
            </w:r>
          </w:p>
        </w:tc>
        <w:tc>
          <w:tcPr>
            <w:tcW w:w="1254" w:type="pct"/>
            <w:vAlign w:val="center"/>
          </w:tcPr>
          <w:p w14:paraId="7D08FFB4">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val="en-US" w:eastAsia="zh-CN"/>
              </w:rPr>
              <w:t>89.5</w:t>
            </w:r>
            <w:r>
              <w:rPr>
                <w:rFonts w:hint="eastAsia" w:ascii="宋体" w:hAnsi="宋体" w:eastAsia="宋体" w:cs="宋体"/>
                <w:color w:val="000000"/>
                <w:kern w:val="0"/>
                <w:sz w:val="22"/>
              </w:rPr>
              <w:t>%</w:t>
            </w:r>
          </w:p>
        </w:tc>
      </w:tr>
      <w:tr w14:paraId="4E6831C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vAlign w:val="center"/>
          </w:tcPr>
          <w:p w14:paraId="00A1F298">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部门管理</w:t>
            </w:r>
          </w:p>
        </w:tc>
        <w:tc>
          <w:tcPr>
            <w:tcW w:w="928" w:type="pct"/>
            <w:vAlign w:val="center"/>
          </w:tcPr>
          <w:p w14:paraId="364F7B0D">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862" w:type="pct"/>
            <w:vAlign w:val="center"/>
          </w:tcPr>
          <w:p w14:paraId="46CAB264">
            <w:pPr>
              <w:widowControl/>
              <w:ind w:firstLine="0" w:firstLineChars="0"/>
              <w:jc w:val="center"/>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rPr>
              <w:t>18.95</w:t>
            </w:r>
          </w:p>
        </w:tc>
        <w:tc>
          <w:tcPr>
            <w:tcW w:w="1254" w:type="pct"/>
            <w:vAlign w:val="center"/>
          </w:tcPr>
          <w:p w14:paraId="60BBC25A">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val="en-US" w:eastAsia="zh-CN"/>
              </w:rPr>
              <w:t>94.75</w:t>
            </w:r>
            <w:r>
              <w:rPr>
                <w:rFonts w:hint="eastAsia" w:ascii="宋体" w:hAnsi="宋体" w:eastAsia="宋体" w:cs="宋体"/>
                <w:color w:val="000000"/>
                <w:kern w:val="0"/>
                <w:sz w:val="22"/>
              </w:rPr>
              <w:t>%</w:t>
            </w:r>
          </w:p>
        </w:tc>
      </w:tr>
      <w:tr w14:paraId="6BBB057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vAlign w:val="center"/>
          </w:tcPr>
          <w:p w14:paraId="535E6503">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履职效果</w:t>
            </w:r>
          </w:p>
        </w:tc>
        <w:tc>
          <w:tcPr>
            <w:tcW w:w="928" w:type="pct"/>
            <w:vAlign w:val="center"/>
          </w:tcPr>
          <w:p w14:paraId="347B40F8">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eastAsia="zh-CN"/>
              </w:rPr>
              <w:t>6</w:t>
            </w:r>
            <w:r>
              <w:rPr>
                <w:rFonts w:hint="eastAsia" w:ascii="宋体" w:hAnsi="宋体" w:eastAsia="宋体" w:cs="宋体"/>
                <w:color w:val="000000"/>
                <w:kern w:val="0"/>
                <w:sz w:val="22"/>
              </w:rPr>
              <w:t>0</w:t>
            </w:r>
          </w:p>
        </w:tc>
        <w:tc>
          <w:tcPr>
            <w:tcW w:w="862" w:type="pct"/>
            <w:vAlign w:val="center"/>
          </w:tcPr>
          <w:p w14:paraId="34A84C55">
            <w:pPr>
              <w:widowControl/>
              <w:ind w:firstLine="0" w:firstLineChars="0"/>
              <w:jc w:val="center"/>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eastAsia="zh-CN"/>
              </w:rPr>
              <w:t>5</w:t>
            </w:r>
            <w:r>
              <w:rPr>
                <w:rFonts w:hint="eastAsia" w:ascii="宋体" w:hAnsi="宋体" w:eastAsia="宋体" w:cs="宋体"/>
                <w:color w:val="000000"/>
                <w:kern w:val="0"/>
                <w:sz w:val="22"/>
                <w:lang w:val="en-US" w:eastAsia="zh-CN"/>
              </w:rPr>
              <w:t>6.84</w:t>
            </w:r>
          </w:p>
        </w:tc>
        <w:tc>
          <w:tcPr>
            <w:tcW w:w="1254" w:type="pct"/>
            <w:vAlign w:val="center"/>
          </w:tcPr>
          <w:p w14:paraId="63553A71">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9</w:t>
            </w:r>
            <w:r>
              <w:rPr>
                <w:rFonts w:hint="eastAsia" w:ascii="宋体" w:hAnsi="宋体" w:eastAsia="宋体" w:cs="宋体"/>
                <w:color w:val="000000"/>
                <w:kern w:val="0"/>
                <w:sz w:val="22"/>
                <w:lang w:val="en-US" w:eastAsia="zh-CN"/>
              </w:rPr>
              <w:t>4.73</w:t>
            </w:r>
            <w:r>
              <w:rPr>
                <w:rFonts w:hint="eastAsia" w:ascii="宋体" w:hAnsi="宋体" w:eastAsia="宋体" w:cs="宋体"/>
                <w:color w:val="000000"/>
                <w:kern w:val="0"/>
                <w:sz w:val="22"/>
              </w:rPr>
              <w:t>%</w:t>
            </w:r>
          </w:p>
        </w:tc>
      </w:tr>
      <w:tr w14:paraId="2735FF8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vAlign w:val="center"/>
          </w:tcPr>
          <w:p w14:paraId="55B549E1">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能力建设</w:t>
            </w:r>
          </w:p>
        </w:tc>
        <w:tc>
          <w:tcPr>
            <w:tcW w:w="928" w:type="pct"/>
            <w:vAlign w:val="center"/>
          </w:tcPr>
          <w:p w14:paraId="39A96B51">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862" w:type="pct"/>
            <w:vAlign w:val="center"/>
          </w:tcPr>
          <w:p w14:paraId="1D4F94C7">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254" w:type="pct"/>
            <w:vAlign w:val="center"/>
          </w:tcPr>
          <w:p w14:paraId="5A316872">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100.00%</w:t>
            </w:r>
          </w:p>
        </w:tc>
      </w:tr>
      <w:tr w14:paraId="72544FC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shd w:val="clear" w:color="auto" w:fill="BDD6EE"/>
            <w:vAlign w:val="center"/>
          </w:tcPr>
          <w:p w14:paraId="5FAB15D1">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合计</w:t>
            </w:r>
          </w:p>
        </w:tc>
        <w:tc>
          <w:tcPr>
            <w:tcW w:w="928" w:type="pct"/>
            <w:shd w:val="clear" w:color="auto" w:fill="BDD6EE"/>
            <w:vAlign w:val="center"/>
          </w:tcPr>
          <w:p w14:paraId="5C58456C">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100</w:t>
            </w:r>
          </w:p>
        </w:tc>
        <w:tc>
          <w:tcPr>
            <w:tcW w:w="862" w:type="pct"/>
            <w:shd w:val="clear" w:color="auto" w:fill="BDD6EE"/>
            <w:vAlign w:val="center"/>
          </w:tcPr>
          <w:p w14:paraId="4F94DED8">
            <w:pPr>
              <w:widowControl/>
              <w:ind w:firstLine="0" w:firstLineChars="0"/>
              <w:jc w:val="center"/>
              <w:textAlignment w:val="center"/>
              <w:rPr>
                <w:rFonts w:hint="default" w:ascii="宋体" w:hAnsi="宋体" w:eastAsia="宋体" w:cs="宋体"/>
                <w:b/>
                <w:color w:val="000000"/>
                <w:kern w:val="0"/>
                <w:sz w:val="22"/>
                <w:lang w:val="en-US" w:eastAsia="zh-CN"/>
              </w:rPr>
            </w:pPr>
            <w:r>
              <w:rPr>
                <w:rFonts w:hint="eastAsia" w:ascii="宋体" w:hAnsi="宋体" w:eastAsia="宋体" w:cs="宋体"/>
                <w:b/>
                <w:bCs/>
                <w:color w:val="000000"/>
                <w:kern w:val="0"/>
                <w:sz w:val="22"/>
                <w:lang w:val="en-US" w:eastAsia="zh-CN"/>
              </w:rPr>
              <w:t>94.74</w:t>
            </w:r>
          </w:p>
        </w:tc>
        <w:tc>
          <w:tcPr>
            <w:tcW w:w="1254" w:type="pct"/>
            <w:shd w:val="clear" w:color="auto" w:fill="BDD6EE"/>
            <w:vAlign w:val="center"/>
          </w:tcPr>
          <w:p w14:paraId="21D25907">
            <w:pPr>
              <w:widowControl/>
              <w:ind w:firstLine="0" w:firstLineChars="0"/>
              <w:jc w:val="center"/>
              <w:textAlignment w:val="center"/>
              <w:rPr>
                <w:rFonts w:ascii="宋体" w:hAnsi="宋体" w:eastAsia="宋体" w:cs="宋体"/>
                <w:kern w:val="0"/>
                <w:sz w:val="22"/>
              </w:rPr>
            </w:pPr>
            <w:r>
              <w:rPr>
                <w:rFonts w:hint="eastAsia" w:ascii="宋体" w:hAnsi="宋体" w:eastAsia="宋体" w:cs="宋体"/>
                <w:b/>
                <w:bCs/>
                <w:color w:val="000000"/>
                <w:kern w:val="0"/>
                <w:sz w:val="22"/>
                <w:lang w:val="en-US" w:eastAsia="zh-CN"/>
              </w:rPr>
              <w:t>94.74</w:t>
            </w:r>
            <w:r>
              <w:rPr>
                <w:rFonts w:hint="eastAsia" w:ascii="宋体" w:hAnsi="宋体" w:eastAsia="宋体" w:cs="宋体"/>
                <w:b/>
                <w:bCs/>
                <w:color w:val="000000"/>
                <w:kern w:val="0"/>
                <w:sz w:val="22"/>
              </w:rPr>
              <w:t>%</w:t>
            </w:r>
          </w:p>
        </w:tc>
      </w:tr>
    </w:tbl>
    <w:p w14:paraId="28325FA2">
      <w:pPr>
        <w:ind w:firstLine="560"/>
        <w:rPr>
          <w:b/>
          <w:bCs/>
          <w:sz w:val="32"/>
          <w:szCs w:val="32"/>
        </w:rPr>
      </w:pPr>
      <w:r>
        <w:rPr>
          <w:rFonts w:hint="eastAsia"/>
          <w:sz w:val="32"/>
          <w:szCs w:val="32"/>
          <w:lang w:eastAsia="zh-CN"/>
        </w:rPr>
        <w:t>2023</w:t>
      </w:r>
      <w:r>
        <w:rPr>
          <w:rFonts w:hint="eastAsia"/>
          <w:sz w:val="32"/>
          <w:szCs w:val="32"/>
        </w:rPr>
        <w:t>年主要工作成果及总体绩效目标完成情况</w:t>
      </w:r>
    </w:p>
    <w:p w14:paraId="58AF8AB6">
      <w:pPr>
        <w:widowControl/>
        <w:ind w:firstLine="560"/>
        <w:rPr>
          <w:b/>
          <w:bCs/>
          <w:sz w:val="32"/>
          <w:szCs w:val="32"/>
        </w:rPr>
      </w:pPr>
      <w:r>
        <w:rPr>
          <w:rFonts w:hint="eastAsia"/>
          <w:b/>
          <w:bCs/>
          <w:sz w:val="32"/>
          <w:szCs w:val="32"/>
        </w:rPr>
        <w:t>1.总体绩效目标</w:t>
      </w:r>
    </w:p>
    <w:p w14:paraId="515CE403">
      <w:pPr>
        <w:keepNext w:val="0"/>
        <w:keepLines w:val="0"/>
        <w:pageBreakBefore w:val="0"/>
        <w:widowControl w:val="0"/>
        <w:kinsoku/>
        <w:wordWrap/>
        <w:overflowPunct/>
        <w:topLinePunct w:val="0"/>
        <w:autoSpaceDE/>
        <w:autoSpaceDN/>
        <w:bidi w:val="0"/>
        <w:adjustRightInd/>
        <w:snapToGrid/>
        <w:spacing w:line="576" w:lineRule="exact"/>
        <w:ind w:firstLine="640" w:firstLineChars="200"/>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（1）抓实抓好政治建设，把牢正确政治方向</w:t>
      </w:r>
      <w:r>
        <w:rPr>
          <w:rFonts w:hint="eastAsia" w:cstheme="minorBidi"/>
          <w:kern w:val="2"/>
          <w:sz w:val="32"/>
          <w:szCs w:val="32"/>
          <w:lang w:val="en-US" w:eastAsia="zh-CN" w:bidi="ar-SA"/>
        </w:rPr>
        <w:t>。</w:t>
      </w:r>
    </w:p>
    <w:p w14:paraId="40C1CDF7">
      <w:pPr>
        <w:pStyle w:val="33"/>
        <w:ind w:left="0" w:leftChars="0" w:firstLine="560"/>
        <w:rPr>
          <w:rFonts w:hint="eastAsia"/>
          <w:sz w:val="32"/>
          <w:szCs w:val="32"/>
        </w:rPr>
      </w:pPr>
      <w:r>
        <w:rPr>
          <w:rFonts w:hint="eastAsia"/>
          <w:sz w:val="32"/>
          <w:szCs w:val="32"/>
        </w:rPr>
        <w:t>（2）抓实抓好职能发挥，积极服务中心大局。</w:t>
      </w:r>
    </w:p>
    <w:p w14:paraId="184C4DA5">
      <w:pPr>
        <w:ind w:firstLine="560"/>
        <w:rPr>
          <w:b/>
          <w:bCs/>
          <w:sz w:val="32"/>
          <w:szCs w:val="32"/>
        </w:rPr>
      </w:pPr>
      <w:r>
        <w:rPr>
          <w:rFonts w:hint="eastAsia"/>
          <w:b/>
          <w:bCs/>
          <w:sz w:val="32"/>
          <w:szCs w:val="32"/>
        </w:rPr>
        <w:t>2.实际完成情况</w:t>
      </w:r>
    </w:p>
    <w:p w14:paraId="29044238">
      <w:pPr>
        <w:ind w:firstLine="560"/>
        <w:rPr>
          <w:rFonts w:hint="eastAsia"/>
          <w:sz w:val="32"/>
          <w:szCs w:val="32"/>
          <w:lang w:eastAsia="zh-CN"/>
        </w:rPr>
      </w:pPr>
      <w:r>
        <w:rPr>
          <w:rFonts w:hint="eastAsia"/>
          <w:sz w:val="32"/>
          <w:szCs w:val="32"/>
        </w:rPr>
        <w:t>（1）</w:t>
      </w:r>
      <w:r>
        <w:rPr>
          <w:rFonts w:hint="eastAsia"/>
          <w:sz w:val="32"/>
          <w:szCs w:val="32"/>
          <w:lang w:eastAsia="zh-CN"/>
        </w:rPr>
        <w:t>深入扎实开展学习贯彻习近平新时代中国特色社会主义思想主题教育、“三抓三促”行动、“铸忠诚警魂”活动，切实增强拥护“两个确立”的思想自觉、政治自觉、行动自觉，牢固树立“四个意识”、坚定“四个自信”、做到“两个维护”。创建“党建+产业”“党建+营商”“党建+金融”“党建+普法”等多个支部联建载体，不断拓宽服务型、效能型党组织建设渠道，彰显社会责任，党建工作实现再跨越。</w:t>
      </w:r>
    </w:p>
    <w:p w14:paraId="64DA4A85">
      <w:pPr>
        <w:ind w:firstLine="560"/>
        <w:rPr>
          <w:rFonts w:hint="eastAsia"/>
          <w:sz w:val="32"/>
          <w:szCs w:val="32"/>
        </w:rPr>
      </w:pPr>
      <w:r>
        <w:rPr>
          <w:rFonts w:hint="eastAsia"/>
          <w:sz w:val="32"/>
          <w:szCs w:val="32"/>
        </w:rPr>
        <w:t>（2）</w:t>
      </w:r>
      <w:r>
        <w:rPr>
          <w:rFonts w:hint="eastAsia"/>
          <w:sz w:val="32"/>
          <w:szCs w:val="32"/>
          <w:lang w:eastAsia="zh-CN"/>
        </w:rPr>
        <w:t>深化帮扶，助推脱贫攻坚与乡村振兴有效衔接。投资近2万元，邀请专家培训、购买粉碎机、蘑菇种、消毒液等基本设施，鼎力扶持乔河乡齐庄子村发展平菇种植产业，使玉米芯变废为宝，带动全村种植平菇6000余棒，出菇2000余斤，初见收益，群众致富信心极大提升。投资2万余元为齐庄子村委会修建一站式便民服务台，改善服务环境，方便群众办事，受到一致好评。扎实开展“万名干警联万企”“百名干部帮百企”活动，35名干部助企纾困、帮办实事80余件。全年为困难企业减免缓诉讼费用55.43万元，审执结涉企案件1004件，执行到位3152.82万元，较好维护了企业合法权益。全年共受理涉金融纠纷诉讼案件540件，已结540件，审结率100%，申请执行374件，执行清收到位1.22亿元。发出支付令20件，清收标的136.93万元，保障金融业持续健康发展。</w:t>
      </w:r>
    </w:p>
    <w:p w14:paraId="0CF41CF3">
      <w:pPr>
        <w:pStyle w:val="3"/>
        <w:keepNext w:val="0"/>
        <w:keepLines w:val="0"/>
        <w:pageBreakBefore w:val="0"/>
        <w:widowControl w:val="0"/>
        <w:kinsoku/>
        <w:wordWrap/>
        <w:overflowPunct/>
        <w:topLinePunct w:val="0"/>
        <w:autoSpaceDE/>
        <w:autoSpaceDN/>
        <w:bidi w:val="0"/>
        <w:adjustRightInd/>
        <w:snapToGrid/>
        <w:spacing w:before="0" w:after="0"/>
        <w:ind w:firstLine="643"/>
        <w:textAlignment w:val="auto"/>
      </w:pPr>
      <w:bookmarkStart w:id="44" w:name="_Toc18553"/>
      <w:bookmarkStart w:id="45" w:name="_Toc17707"/>
      <w:bookmarkStart w:id="46" w:name="_Toc17819"/>
      <w:bookmarkStart w:id="47" w:name="_Toc7799"/>
      <w:r>
        <w:rPr>
          <w:rFonts w:hint="eastAsia"/>
        </w:rPr>
        <w:t>（三）各项指标完成情况分析</w:t>
      </w:r>
      <w:bookmarkEnd w:id="44"/>
      <w:bookmarkEnd w:id="45"/>
      <w:bookmarkEnd w:id="46"/>
      <w:bookmarkEnd w:id="47"/>
    </w:p>
    <w:p w14:paraId="57ECB7BB">
      <w:pPr>
        <w:pStyle w:val="5"/>
        <w:keepNext w:val="0"/>
        <w:keepLines w:val="0"/>
        <w:pageBreakBefore w:val="0"/>
        <w:widowControl w:val="0"/>
        <w:kinsoku/>
        <w:wordWrap/>
        <w:overflowPunct/>
        <w:topLinePunct w:val="0"/>
        <w:autoSpaceDE/>
        <w:autoSpaceDN/>
        <w:bidi w:val="0"/>
        <w:adjustRightInd/>
        <w:snapToGrid/>
        <w:ind w:firstLine="560"/>
        <w:textAlignment w:val="auto"/>
        <w:rPr>
          <w:sz w:val="32"/>
          <w:szCs w:val="32"/>
        </w:rPr>
      </w:pPr>
      <w:r>
        <w:rPr>
          <w:sz w:val="32"/>
          <w:szCs w:val="32"/>
        </w:rPr>
        <w:t>1</w:t>
      </w:r>
      <w:r>
        <w:rPr>
          <w:rFonts w:hint="eastAsia"/>
          <w:sz w:val="32"/>
          <w:szCs w:val="32"/>
        </w:rPr>
        <w:t>.部门整体支出</w:t>
      </w:r>
      <w:r>
        <w:rPr>
          <w:sz w:val="32"/>
          <w:szCs w:val="32"/>
        </w:rPr>
        <w:t>预算执行率</w:t>
      </w:r>
      <w:r>
        <w:rPr>
          <w:rFonts w:hint="eastAsia"/>
          <w:sz w:val="32"/>
          <w:szCs w:val="32"/>
        </w:rPr>
        <w:t>完成情况分析</w:t>
      </w:r>
    </w:p>
    <w:p w14:paraId="3D47E56B">
      <w:pPr>
        <w:keepNext w:val="0"/>
        <w:keepLines w:val="0"/>
        <w:pageBreakBefore w:val="0"/>
        <w:widowControl w:val="0"/>
        <w:kinsoku/>
        <w:wordWrap/>
        <w:overflowPunct/>
        <w:topLinePunct w:val="0"/>
        <w:autoSpaceDE/>
        <w:autoSpaceDN/>
        <w:bidi w:val="0"/>
        <w:adjustRightInd/>
        <w:snapToGrid/>
        <w:ind w:firstLine="560"/>
        <w:textAlignment w:val="auto"/>
        <w:rPr>
          <w:sz w:val="32"/>
          <w:szCs w:val="32"/>
        </w:rPr>
      </w:pPr>
      <w:r>
        <w:rPr>
          <w:rFonts w:hint="eastAsia" w:hAnsi="宋体"/>
          <w:sz w:val="32"/>
          <w:szCs w:val="32"/>
        </w:rPr>
        <w:t>我院</w:t>
      </w:r>
      <w:r>
        <w:rPr>
          <w:rFonts w:hint="eastAsia" w:hAnsi="宋体"/>
          <w:sz w:val="32"/>
          <w:szCs w:val="32"/>
          <w:lang w:eastAsia="zh-CN"/>
        </w:rPr>
        <w:t>2023</w:t>
      </w:r>
      <w:r>
        <w:rPr>
          <w:rFonts w:hint="eastAsia" w:hAnsi="宋体"/>
          <w:sz w:val="32"/>
          <w:szCs w:val="32"/>
        </w:rPr>
        <w:t>年</w:t>
      </w:r>
      <w:r>
        <w:rPr>
          <w:rFonts w:hint="eastAsia"/>
          <w:sz w:val="32"/>
          <w:szCs w:val="32"/>
        </w:rPr>
        <w:t>年初预算</w:t>
      </w:r>
      <w:r>
        <w:rPr>
          <w:rFonts w:hint="eastAsia"/>
          <w:sz w:val="32"/>
          <w:szCs w:val="32"/>
          <w:lang w:val="en-US" w:eastAsia="zh-CN"/>
        </w:rPr>
        <w:t>1</w:t>
      </w:r>
      <w:r>
        <w:rPr>
          <w:rFonts w:hint="eastAsia"/>
          <w:sz w:val="32"/>
          <w:szCs w:val="32"/>
        </w:rPr>
        <w:t>,</w:t>
      </w:r>
      <w:r>
        <w:rPr>
          <w:rFonts w:hint="eastAsia"/>
          <w:sz w:val="32"/>
          <w:szCs w:val="32"/>
          <w:lang w:val="en-US" w:eastAsia="zh-CN"/>
        </w:rPr>
        <w:t>511</w:t>
      </w:r>
      <w:r>
        <w:rPr>
          <w:rFonts w:hint="eastAsia"/>
          <w:sz w:val="32"/>
          <w:szCs w:val="32"/>
        </w:rPr>
        <w:t>.</w:t>
      </w:r>
      <w:r>
        <w:rPr>
          <w:rFonts w:hint="eastAsia"/>
          <w:sz w:val="32"/>
          <w:szCs w:val="32"/>
          <w:lang w:val="en-US" w:eastAsia="zh-CN"/>
        </w:rPr>
        <w:t>67</w:t>
      </w:r>
      <w:r>
        <w:rPr>
          <w:rFonts w:hint="eastAsia"/>
          <w:sz w:val="32"/>
          <w:szCs w:val="32"/>
        </w:rPr>
        <w:t>万元，全年预算数2,</w:t>
      </w:r>
      <w:r>
        <w:rPr>
          <w:rFonts w:hint="eastAsia"/>
          <w:sz w:val="32"/>
          <w:szCs w:val="32"/>
          <w:lang w:val="en-US" w:eastAsia="zh-CN"/>
        </w:rPr>
        <w:t>317</w:t>
      </w:r>
      <w:r>
        <w:rPr>
          <w:rFonts w:hint="eastAsia"/>
          <w:sz w:val="32"/>
          <w:szCs w:val="32"/>
        </w:rPr>
        <w:t>.</w:t>
      </w:r>
      <w:r>
        <w:rPr>
          <w:rFonts w:hint="eastAsia"/>
          <w:sz w:val="32"/>
          <w:szCs w:val="32"/>
          <w:lang w:val="en-US" w:eastAsia="zh-CN"/>
        </w:rPr>
        <w:t>10</w:t>
      </w:r>
      <w:r>
        <w:rPr>
          <w:rFonts w:hint="eastAsia"/>
          <w:sz w:val="32"/>
          <w:szCs w:val="32"/>
        </w:rPr>
        <w:t>万元，实际支出数2,</w:t>
      </w:r>
      <w:r>
        <w:rPr>
          <w:rFonts w:hint="eastAsia"/>
          <w:sz w:val="32"/>
          <w:szCs w:val="32"/>
          <w:lang w:val="en-US" w:eastAsia="zh-CN"/>
        </w:rPr>
        <w:t>073</w:t>
      </w:r>
      <w:r>
        <w:rPr>
          <w:rFonts w:hint="eastAsia"/>
          <w:sz w:val="32"/>
          <w:szCs w:val="32"/>
        </w:rPr>
        <w:t>.</w:t>
      </w:r>
      <w:r>
        <w:rPr>
          <w:rFonts w:hint="eastAsia"/>
          <w:sz w:val="32"/>
          <w:szCs w:val="32"/>
          <w:lang w:val="en-US" w:eastAsia="zh-CN"/>
        </w:rPr>
        <w:t>82</w:t>
      </w:r>
      <w:r>
        <w:rPr>
          <w:rFonts w:hint="eastAsia"/>
          <w:sz w:val="32"/>
          <w:szCs w:val="32"/>
        </w:rPr>
        <w:t>万元，部门整体支出预算执行率为</w:t>
      </w:r>
      <w:r>
        <w:rPr>
          <w:rFonts w:hint="eastAsia"/>
          <w:sz w:val="32"/>
          <w:szCs w:val="32"/>
          <w:lang w:val="en-US" w:eastAsia="zh-CN"/>
        </w:rPr>
        <w:t>89.5</w:t>
      </w:r>
      <w:r>
        <w:rPr>
          <w:rFonts w:hint="eastAsia"/>
          <w:sz w:val="32"/>
          <w:szCs w:val="32"/>
        </w:rPr>
        <w:t>%。</w:t>
      </w:r>
      <w:r>
        <w:rPr>
          <w:rFonts w:hint="eastAsia"/>
          <w:color w:val="000000" w:themeColor="text1"/>
          <w:sz w:val="32"/>
          <w:szCs w:val="32"/>
          <w14:textFill>
            <w14:solidFill>
              <w14:schemeClr w14:val="tx1"/>
            </w14:solidFill>
          </w14:textFill>
        </w:rPr>
        <w:t>该指标分值10分，自评得分</w:t>
      </w:r>
      <w:r>
        <w:rPr>
          <w:rFonts w:hint="eastAsia"/>
          <w:color w:val="000000" w:themeColor="text1"/>
          <w:sz w:val="32"/>
          <w:szCs w:val="32"/>
          <w:lang w:val="en-US" w:eastAsia="zh-CN"/>
          <w14:textFill>
            <w14:solidFill>
              <w14:schemeClr w14:val="tx1"/>
            </w14:solidFill>
          </w14:textFill>
        </w:rPr>
        <w:t>8.95</w:t>
      </w:r>
      <w:r>
        <w:rPr>
          <w:rFonts w:hint="eastAsia"/>
          <w:color w:val="000000" w:themeColor="text1"/>
          <w:sz w:val="32"/>
          <w:szCs w:val="32"/>
          <w14:textFill>
            <w14:solidFill>
              <w14:schemeClr w14:val="tx1"/>
            </w14:solidFill>
          </w14:textFill>
        </w:rPr>
        <w:t>分，得分率为</w:t>
      </w:r>
      <w:r>
        <w:rPr>
          <w:rFonts w:hint="eastAsia"/>
          <w:sz w:val="32"/>
          <w:szCs w:val="32"/>
          <w:lang w:val="en-US" w:eastAsia="zh-CN"/>
        </w:rPr>
        <w:t>89.5</w:t>
      </w:r>
      <w:r>
        <w:rPr>
          <w:rFonts w:hint="eastAsia"/>
          <w:sz w:val="32"/>
          <w:szCs w:val="32"/>
        </w:rPr>
        <w:t>%</w:t>
      </w:r>
      <w:r>
        <w:rPr>
          <w:rFonts w:hint="eastAsia"/>
          <w:color w:val="000000" w:themeColor="text1"/>
          <w:sz w:val="32"/>
          <w:szCs w:val="32"/>
          <w14:textFill>
            <w14:solidFill>
              <w14:schemeClr w14:val="tx1"/>
            </w14:solidFill>
          </w14:textFill>
        </w:rPr>
        <w:t>。</w:t>
      </w:r>
    </w:p>
    <w:p w14:paraId="33F6D200">
      <w:pPr>
        <w:pStyle w:val="5"/>
        <w:ind w:firstLine="560"/>
        <w:rPr>
          <w:sz w:val="32"/>
          <w:szCs w:val="32"/>
        </w:rPr>
      </w:pPr>
      <w:r>
        <w:rPr>
          <w:sz w:val="32"/>
          <w:szCs w:val="32"/>
        </w:rPr>
        <w:t>2</w:t>
      </w:r>
      <w:r>
        <w:rPr>
          <w:rFonts w:hint="eastAsia"/>
          <w:sz w:val="32"/>
          <w:szCs w:val="32"/>
        </w:rPr>
        <w:t>.</w:t>
      </w:r>
      <w:r>
        <w:rPr>
          <w:sz w:val="32"/>
          <w:szCs w:val="32"/>
        </w:rPr>
        <w:t>部门管理</w:t>
      </w:r>
      <w:r>
        <w:rPr>
          <w:rFonts w:hint="eastAsia"/>
          <w:sz w:val="32"/>
          <w:szCs w:val="32"/>
        </w:rPr>
        <w:t>目标完成情况分析</w:t>
      </w:r>
    </w:p>
    <w:p w14:paraId="5284592E">
      <w:pPr>
        <w:ind w:firstLine="560"/>
      </w:pPr>
      <w:r>
        <w:rPr>
          <w:rFonts w:hint="eastAsia"/>
          <w:sz w:val="32"/>
          <w:szCs w:val="32"/>
        </w:rPr>
        <w:t>部门管理指标包括资金投入、财务管理、采购管理、资产管理、人员管理、重点工作管理六个二级指标，下设10个三级指标。指标分值20分，自评</w:t>
      </w:r>
      <w:r>
        <w:rPr>
          <w:sz w:val="32"/>
          <w:szCs w:val="32"/>
        </w:rPr>
        <w:t>得</w:t>
      </w:r>
      <w:r>
        <w:rPr>
          <w:rFonts w:hint="eastAsia"/>
          <w:sz w:val="32"/>
          <w:szCs w:val="32"/>
        </w:rPr>
        <w:t>分</w:t>
      </w:r>
      <w:r>
        <w:rPr>
          <w:rFonts w:hint="eastAsia"/>
          <w:sz w:val="32"/>
          <w:szCs w:val="32"/>
          <w:lang w:val="en-US" w:eastAsia="zh-CN"/>
        </w:rPr>
        <w:t>18.95</w:t>
      </w:r>
      <w:r>
        <w:rPr>
          <w:rFonts w:hint="eastAsia"/>
          <w:sz w:val="32"/>
          <w:szCs w:val="32"/>
        </w:rPr>
        <w:t>分，得分率</w:t>
      </w:r>
      <w:r>
        <w:rPr>
          <w:rFonts w:hint="eastAsia"/>
          <w:sz w:val="32"/>
          <w:szCs w:val="32"/>
          <w:lang w:val="en-US" w:eastAsia="zh-CN"/>
        </w:rPr>
        <w:t>94.75</w:t>
      </w:r>
      <w:r>
        <w:rPr>
          <w:rFonts w:hint="eastAsia"/>
          <w:sz w:val="32"/>
          <w:szCs w:val="32"/>
        </w:rPr>
        <w:t>%。具体如下表</w:t>
      </w:r>
      <w:r>
        <w:rPr>
          <w:rFonts w:hint="eastAsia"/>
        </w:rPr>
        <w:t>：</w:t>
      </w:r>
    </w:p>
    <w:tbl>
      <w:tblPr>
        <w:tblStyle w:val="25"/>
        <w:tblW w:w="875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482"/>
        <w:gridCol w:w="1559"/>
        <w:gridCol w:w="1730"/>
        <w:gridCol w:w="1984"/>
      </w:tblGrid>
      <w:tr w14:paraId="2FD2CC9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shd w:val="clear" w:color="auto" w:fill="BDD6EE"/>
            <w:vAlign w:val="center"/>
          </w:tcPr>
          <w:p w14:paraId="170EF6CC">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二级指标</w:t>
            </w:r>
          </w:p>
        </w:tc>
        <w:tc>
          <w:tcPr>
            <w:tcW w:w="1559" w:type="dxa"/>
            <w:shd w:val="clear" w:color="auto" w:fill="BDD6EE"/>
            <w:vAlign w:val="center"/>
          </w:tcPr>
          <w:p w14:paraId="1E287DD4">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分值</w:t>
            </w:r>
          </w:p>
        </w:tc>
        <w:tc>
          <w:tcPr>
            <w:tcW w:w="1730" w:type="dxa"/>
            <w:shd w:val="clear" w:color="auto" w:fill="BDD6EE"/>
            <w:vAlign w:val="center"/>
          </w:tcPr>
          <w:p w14:paraId="69F2F3A4">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自评得分</w:t>
            </w:r>
          </w:p>
        </w:tc>
        <w:tc>
          <w:tcPr>
            <w:tcW w:w="1984" w:type="dxa"/>
            <w:shd w:val="clear" w:color="auto" w:fill="BDD6EE"/>
            <w:vAlign w:val="center"/>
          </w:tcPr>
          <w:p w14:paraId="6CD9499C">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得分率</w:t>
            </w:r>
          </w:p>
        </w:tc>
      </w:tr>
      <w:tr w14:paraId="3CAA439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5AD29756">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资金投入</w:t>
            </w:r>
          </w:p>
        </w:tc>
        <w:tc>
          <w:tcPr>
            <w:tcW w:w="1559" w:type="dxa"/>
            <w:vAlign w:val="center"/>
          </w:tcPr>
          <w:p w14:paraId="52DA5D5E">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730" w:type="dxa"/>
            <w:vAlign w:val="center"/>
          </w:tcPr>
          <w:p w14:paraId="0F3AF04D">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6.95</w:t>
            </w:r>
          </w:p>
        </w:tc>
        <w:tc>
          <w:tcPr>
            <w:tcW w:w="1984" w:type="dxa"/>
            <w:vAlign w:val="center"/>
          </w:tcPr>
          <w:p w14:paraId="6915678C">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86.86</w:t>
            </w:r>
            <w:r>
              <w:rPr>
                <w:rFonts w:hint="eastAsia" w:ascii="宋体" w:hAnsi="宋体" w:eastAsia="宋体" w:cs="宋体"/>
                <w:color w:val="000000"/>
                <w:kern w:val="0"/>
                <w:sz w:val="22"/>
              </w:rPr>
              <w:t>%</w:t>
            </w:r>
          </w:p>
        </w:tc>
      </w:tr>
      <w:tr w14:paraId="0F42132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1E3E7C54">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财务管理</w:t>
            </w:r>
          </w:p>
        </w:tc>
        <w:tc>
          <w:tcPr>
            <w:tcW w:w="1559" w:type="dxa"/>
            <w:vAlign w:val="center"/>
          </w:tcPr>
          <w:p w14:paraId="00758FF9">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730" w:type="dxa"/>
            <w:vAlign w:val="center"/>
          </w:tcPr>
          <w:p w14:paraId="60B9482A">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984" w:type="dxa"/>
            <w:vAlign w:val="center"/>
          </w:tcPr>
          <w:p w14:paraId="62979D6C">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100.00%</w:t>
            </w:r>
          </w:p>
        </w:tc>
      </w:tr>
      <w:tr w14:paraId="342B543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3AD39028">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采购管理</w:t>
            </w:r>
          </w:p>
        </w:tc>
        <w:tc>
          <w:tcPr>
            <w:tcW w:w="1559" w:type="dxa"/>
            <w:vAlign w:val="center"/>
          </w:tcPr>
          <w:p w14:paraId="398A7318">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730" w:type="dxa"/>
            <w:vAlign w:val="center"/>
          </w:tcPr>
          <w:p w14:paraId="514CBB59">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984" w:type="dxa"/>
            <w:vAlign w:val="center"/>
          </w:tcPr>
          <w:p w14:paraId="080A4DBC">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100.00%</w:t>
            </w:r>
          </w:p>
        </w:tc>
      </w:tr>
      <w:tr w14:paraId="0F88417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50B43098">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资产管理</w:t>
            </w:r>
          </w:p>
        </w:tc>
        <w:tc>
          <w:tcPr>
            <w:tcW w:w="1559" w:type="dxa"/>
            <w:vAlign w:val="center"/>
          </w:tcPr>
          <w:p w14:paraId="4298179C">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730" w:type="dxa"/>
            <w:vAlign w:val="center"/>
          </w:tcPr>
          <w:p w14:paraId="196F0B1D">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984" w:type="dxa"/>
            <w:vAlign w:val="center"/>
          </w:tcPr>
          <w:p w14:paraId="31FA59B3">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100.00%</w:t>
            </w:r>
          </w:p>
        </w:tc>
      </w:tr>
      <w:tr w14:paraId="06A1701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21C9B8B4">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人员管理</w:t>
            </w:r>
          </w:p>
        </w:tc>
        <w:tc>
          <w:tcPr>
            <w:tcW w:w="1559" w:type="dxa"/>
            <w:vAlign w:val="center"/>
          </w:tcPr>
          <w:p w14:paraId="13A7D49B">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730" w:type="dxa"/>
            <w:vAlign w:val="center"/>
          </w:tcPr>
          <w:p w14:paraId="21756E1E">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984" w:type="dxa"/>
            <w:vAlign w:val="center"/>
          </w:tcPr>
          <w:p w14:paraId="13992366">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100.00%</w:t>
            </w:r>
          </w:p>
        </w:tc>
      </w:tr>
      <w:tr w14:paraId="3899F62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136400E3">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重点工作管理</w:t>
            </w:r>
          </w:p>
        </w:tc>
        <w:tc>
          <w:tcPr>
            <w:tcW w:w="1559" w:type="dxa"/>
            <w:vAlign w:val="center"/>
          </w:tcPr>
          <w:p w14:paraId="7203D5F6">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730" w:type="dxa"/>
            <w:vAlign w:val="center"/>
          </w:tcPr>
          <w:p w14:paraId="7F49194E">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984" w:type="dxa"/>
            <w:vAlign w:val="center"/>
          </w:tcPr>
          <w:p w14:paraId="4B6DB14F">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100.00%</w:t>
            </w:r>
          </w:p>
        </w:tc>
      </w:tr>
      <w:tr w14:paraId="38059FB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shd w:val="clear" w:color="auto" w:fill="BDD6EE"/>
            <w:vAlign w:val="center"/>
          </w:tcPr>
          <w:p w14:paraId="1C4734E4">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合计</w:t>
            </w:r>
          </w:p>
        </w:tc>
        <w:tc>
          <w:tcPr>
            <w:tcW w:w="1559" w:type="dxa"/>
            <w:shd w:val="clear" w:color="auto" w:fill="BDD6EE"/>
            <w:vAlign w:val="center"/>
          </w:tcPr>
          <w:p w14:paraId="1198E5DB">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20</w:t>
            </w:r>
          </w:p>
        </w:tc>
        <w:tc>
          <w:tcPr>
            <w:tcW w:w="1730" w:type="dxa"/>
            <w:shd w:val="clear" w:color="auto" w:fill="BDD6EE"/>
            <w:vAlign w:val="center"/>
          </w:tcPr>
          <w:p w14:paraId="75E882CE">
            <w:pPr>
              <w:widowControl/>
              <w:ind w:firstLine="0" w:firstLineChars="0"/>
              <w:jc w:val="center"/>
              <w:textAlignment w:val="center"/>
              <w:rPr>
                <w:rFonts w:hint="default" w:ascii="宋体" w:hAnsi="宋体" w:eastAsia="宋体" w:cs="宋体"/>
                <w:b/>
                <w:color w:val="000000"/>
                <w:kern w:val="0"/>
                <w:sz w:val="22"/>
                <w:lang w:val="en-US" w:eastAsia="zh-CN"/>
              </w:rPr>
            </w:pPr>
            <w:r>
              <w:rPr>
                <w:rFonts w:hint="eastAsia" w:ascii="宋体" w:hAnsi="宋体" w:eastAsia="宋体" w:cs="宋体"/>
                <w:b/>
                <w:bCs/>
                <w:color w:val="000000"/>
                <w:kern w:val="0"/>
                <w:sz w:val="22"/>
                <w:lang w:val="en-US" w:eastAsia="zh-CN"/>
              </w:rPr>
              <w:t>18.95</w:t>
            </w:r>
          </w:p>
        </w:tc>
        <w:tc>
          <w:tcPr>
            <w:tcW w:w="1984" w:type="dxa"/>
            <w:shd w:val="clear" w:color="auto" w:fill="BDD6EE"/>
            <w:vAlign w:val="center"/>
          </w:tcPr>
          <w:p w14:paraId="73290380">
            <w:pPr>
              <w:widowControl/>
              <w:ind w:firstLine="0" w:firstLineChars="0"/>
              <w:jc w:val="center"/>
              <w:textAlignment w:val="center"/>
              <w:rPr>
                <w:rFonts w:ascii="宋体" w:hAnsi="宋体" w:eastAsia="宋体" w:cs="宋体"/>
                <w:kern w:val="0"/>
                <w:sz w:val="22"/>
              </w:rPr>
            </w:pPr>
            <w:r>
              <w:rPr>
                <w:rFonts w:hint="eastAsia" w:ascii="宋体" w:hAnsi="宋体" w:eastAsia="宋体" w:cs="宋体"/>
                <w:b/>
                <w:bCs/>
                <w:color w:val="000000"/>
                <w:kern w:val="0"/>
                <w:sz w:val="22"/>
                <w:lang w:val="en-US" w:eastAsia="zh-CN"/>
              </w:rPr>
              <w:t>94.75%</w:t>
            </w:r>
          </w:p>
        </w:tc>
      </w:tr>
    </w:tbl>
    <w:p w14:paraId="1EF2F284">
      <w:pPr>
        <w:ind w:firstLine="560"/>
        <w:rPr>
          <w:rFonts w:hAnsi="宋体"/>
          <w:sz w:val="32"/>
          <w:szCs w:val="32"/>
        </w:rPr>
      </w:pPr>
      <w:r>
        <w:rPr>
          <w:rFonts w:hint="eastAsia" w:hAnsi="宋体"/>
          <w:b/>
          <w:bCs/>
          <w:sz w:val="32"/>
          <w:szCs w:val="32"/>
        </w:rPr>
        <w:t>基本支出预算执行率：</w:t>
      </w:r>
      <w:r>
        <w:rPr>
          <w:rFonts w:hint="eastAsia" w:hAnsi="宋体"/>
          <w:sz w:val="32"/>
          <w:szCs w:val="32"/>
          <w:lang w:eastAsia="zh-CN"/>
        </w:rPr>
        <w:t>2023</w:t>
      </w:r>
      <w:r>
        <w:rPr>
          <w:rFonts w:hint="eastAsia" w:hAnsi="宋体"/>
          <w:sz w:val="32"/>
          <w:szCs w:val="32"/>
        </w:rPr>
        <w:t>年度我院基本支出全年预算数和实际支出数均为1</w:t>
      </w:r>
      <w:r>
        <w:rPr>
          <w:rFonts w:hint="eastAsia" w:hAnsi="宋体"/>
          <w:sz w:val="32"/>
          <w:szCs w:val="32"/>
          <w:lang w:val="en-US" w:eastAsia="zh-CN"/>
        </w:rPr>
        <w:t>,370</w:t>
      </w:r>
      <w:r>
        <w:rPr>
          <w:rFonts w:hint="eastAsia" w:hAnsi="宋体"/>
          <w:sz w:val="32"/>
          <w:szCs w:val="32"/>
        </w:rPr>
        <w:t>.</w:t>
      </w:r>
      <w:r>
        <w:rPr>
          <w:rFonts w:hint="eastAsia" w:hAnsi="宋体"/>
          <w:sz w:val="32"/>
          <w:szCs w:val="32"/>
          <w:lang w:val="en-US" w:eastAsia="zh-CN"/>
        </w:rPr>
        <w:t>05</w:t>
      </w:r>
      <w:r>
        <w:rPr>
          <w:rFonts w:hint="eastAsia" w:hAnsi="宋体"/>
          <w:sz w:val="32"/>
          <w:szCs w:val="32"/>
        </w:rPr>
        <w:t>万元，基本支出预算执行率为100%。该指标分值2分，自评得分2分，得分率为100%。</w:t>
      </w:r>
    </w:p>
    <w:p w14:paraId="3D540D65">
      <w:pPr>
        <w:ind w:firstLine="560"/>
        <w:rPr>
          <w:rFonts w:hAnsi="宋体"/>
          <w:sz w:val="32"/>
          <w:szCs w:val="32"/>
        </w:rPr>
      </w:pPr>
      <w:r>
        <w:rPr>
          <w:rFonts w:hint="eastAsia" w:hAnsi="宋体"/>
          <w:b/>
          <w:bCs/>
          <w:sz w:val="32"/>
          <w:szCs w:val="32"/>
        </w:rPr>
        <w:t>项目支出预算执行率：</w:t>
      </w:r>
      <w:r>
        <w:rPr>
          <w:rFonts w:hint="eastAsia" w:hAnsi="宋体"/>
          <w:sz w:val="32"/>
          <w:szCs w:val="32"/>
          <w:lang w:eastAsia="zh-CN"/>
        </w:rPr>
        <w:t>2023</w:t>
      </w:r>
      <w:r>
        <w:rPr>
          <w:rFonts w:hint="eastAsia" w:hAnsi="宋体"/>
          <w:sz w:val="32"/>
          <w:szCs w:val="32"/>
        </w:rPr>
        <w:t>年度项目支出全年预算数</w:t>
      </w:r>
      <w:r>
        <w:rPr>
          <w:rFonts w:hint="eastAsia" w:hAnsi="宋体"/>
          <w:sz w:val="32"/>
          <w:szCs w:val="32"/>
          <w:lang w:val="en-US" w:eastAsia="zh-CN"/>
        </w:rPr>
        <w:t>947.05</w:t>
      </w:r>
      <w:r>
        <w:rPr>
          <w:rFonts w:hint="eastAsia" w:hAnsi="宋体"/>
          <w:sz w:val="32"/>
          <w:szCs w:val="32"/>
        </w:rPr>
        <w:t>万元，实际支出数为</w:t>
      </w:r>
      <w:r>
        <w:rPr>
          <w:rFonts w:hint="eastAsia" w:hAnsi="宋体"/>
          <w:sz w:val="32"/>
          <w:szCs w:val="32"/>
          <w:lang w:val="en-US" w:eastAsia="zh-CN"/>
        </w:rPr>
        <w:t>703</w:t>
      </w:r>
      <w:r>
        <w:rPr>
          <w:rFonts w:hint="eastAsia" w:hAnsi="宋体"/>
          <w:sz w:val="32"/>
          <w:szCs w:val="32"/>
        </w:rPr>
        <w:t>.</w:t>
      </w:r>
      <w:r>
        <w:rPr>
          <w:rFonts w:hint="eastAsia" w:hAnsi="宋体"/>
          <w:sz w:val="32"/>
          <w:szCs w:val="32"/>
          <w:lang w:val="en-US" w:eastAsia="zh-CN"/>
        </w:rPr>
        <w:t>77</w:t>
      </w:r>
      <w:r>
        <w:rPr>
          <w:rFonts w:hint="eastAsia" w:hAnsi="宋体"/>
          <w:sz w:val="32"/>
          <w:szCs w:val="32"/>
        </w:rPr>
        <w:t>万元，项目支出预算执行率为</w:t>
      </w:r>
      <w:r>
        <w:rPr>
          <w:rFonts w:hint="eastAsia" w:hAnsi="宋体"/>
          <w:sz w:val="32"/>
          <w:szCs w:val="32"/>
          <w:lang w:val="en-US" w:eastAsia="zh-CN"/>
        </w:rPr>
        <w:t>74.31</w:t>
      </w:r>
      <w:r>
        <w:rPr>
          <w:rFonts w:hint="eastAsia" w:hAnsi="宋体"/>
          <w:sz w:val="32"/>
          <w:szCs w:val="32"/>
        </w:rPr>
        <w:t>%</w:t>
      </w:r>
      <w:r>
        <w:rPr>
          <w:rFonts w:hint="eastAsia" w:hAnsi="宋体"/>
          <w:sz w:val="32"/>
          <w:szCs w:val="32"/>
          <w:highlight w:val="none"/>
        </w:rPr>
        <w:t>，</w:t>
      </w:r>
      <w:r>
        <w:rPr>
          <w:rFonts w:hint="eastAsia" w:hAnsi="宋体"/>
          <w:sz w:val="32"/>
          <w:szCs w:val="32"/>
          <w:highlight w:val="none"/>
          <w:lang w:val="en-US" w:eastAsia="zh-CN"/>
        </w:rPr>
        <w:t>全省法院业务费</w:t>
      </w:r>
      <w:r>
        <w:rPr>
          <w:rFonts w:hint="eastAsia" w:hAnsi="宋体"/>
          <w:sz w:val="32"/>
          <w:szCs w:val="32"/>
          <w:highlight w:val="none"/>
        </w:rPr>
        <w:t>项目结转</w:t>
      </w:r>
      <w:r>
        <w:rPr>
          <w:rFonts w:hint="eastAsia" w:hAnsi="宋体"/>
          <w:sz w:val="32"/>
          <w:szCs w:val="32"/>
          <w:highlight w:val="none"/>
          <w:lang w:val="en-US" w:eastAsia="zh-CN"/>
        </w:rPr>
        <w:t>16.66</w:t>
      </w:r>
      <w:r>
        <w:rPr>
          <w:rFonts w:hint="eastAsia" w:hAnsi="宋体"/>
          <w:sz w:val="32"/>
          <w:szCs w:val="32"/>
          <w:highlight w:val="none"/>
        </w:rPr>
        <w:t>万元。本年增加智慧法庭建设项目，导致项目支出预算执行率低。</w:t>
      </w:r>
      <w:r>
        <w:rPr>
          <w:rFonts w:hint="eastAsia" w:hAnsi="宋体"/>
          <w:sz w:val="32"/>
          <w:szCs w:val="32"/>
        </w:rPr>
        <w:t>该指标分值2分，自评得分</w:t>
      </w:r>
      <w:r>
        <w:rPr>
          <w:rFonts w:hint="eastAsia" w:hAnsi="宋体"/>
          <w:sz w:val="32"/>
          <w:szCs w:val="32"/>
          <w:lang w:val="en-US" w:eastAsia="zh-CN"/>
        </w:rPr>
        <w:t>1.49</w:t>
      </w:r>
      <w:r>
        <w:rPr>
          <w:rFonts w:hint="eastAsia" w:hAnsi="宋体"/>
          <w:sz w:val="32"/>
          <w:szCs w:val="32"/>
        </w:rPr>
        <w:t>分，得分率为</w:t>
      </w:r>
      <w:r>
        <w:rPr>
          <w:rFonts w:hint="eastAsia" w:hAnsi="宋体"/>
          <w:sz w:val="32"/>
          <w:szCs w:val="32"/>
          <w:lang w:val="en-US" w:eastAsia="zh-CN"/>
        </w:rPr>
        <w:t>74.5</w:t>
      </w:r>
      <w:r>
        <w:rPr>
          <w:rFonts w:hint="eastAsia" w:hAnsi="宋体"/>
          <w:sz w:val="32"/>
          <w:szCs w:val="32"/>
        </w:rPr>
        <w:t>%。</w:t>
      </w:r>
    </w:p>
    <w:p w14:paraId="57EC8111">
      <w:pPr>
        <w:ind w:firstLine="560"/>
        <w:rPr>
          <w:rFonts w:hAnsi="宋体"/>
          <w:color w:val="auto"/>
          <w:sz w:val="32"/>
          <w:szCs w:val="32"/>
        </w:rPr>
      </w:pPr>
      <w:r>
        <w:rPr>
          <w:rFonts w:hint="eastAsia" w:hAnsi="宋体"/>
          <w:b/>
          <w:bCs/>
          <w:color w:val="auto"/>
          <w:sz w:val="32"/>
          <w:szCs w:val="32"/>
        </w:rPr>
        <w:t>“三公经费”控制率：</w:t>
      </w:r>
      <w:r>
        <w:rPr>
          <w:rFonts w:hint="eastAsia" w:hAnsi="宋体"/>
          <w:color w:val="auto"/>
          <w:sz w:val="32"/>
          <w:szCs w:val="32"/>
          <w:lang w:eastAsia="zh-CN"/>
        </w:rPr>
        <w:t>2023</w:t>
      </w:r>
      <w:r>
        <w:rPr>
          <w:rFonts w:hint="eastAsia" w:hAnsi="宋体"/>
          <w:color w:val="auto"/>
          <w:sz w:val="32"/>
          <w:szCs w:val="32"/>
        </w:rPr>
        <w:t>年“三公经费”全年预算数为</w:t>
      </w:r>
      <w:r>
        <w:rPr>
          <w:rFonts w:hint="eastAsia" w:hAnsi="宋体"/>
          <w:color w:val="auto"/>
          <w:sz w:val="32"/>
          <w:szCs w:val="32"/>
          <w:lang w:val="en-US" w:eastAsia="zh-CN"/>
        </w:rPr>
        <w:t>68.68</w:t>
      </w:r>
      <w:r>
        <w:rPr>
          <w:rFonts w:hint="eastAsia" w:hAnsi="宋体"/>
          <w:color w:val="auto"/>
          <w:sz w:val="32"/>
          <w:szCs w:val="32"/>
        </w:rPr>
        <w:t>万元，实际支出数</w:t>
      </w:r>
      <w:r>
        <w:rPr>
          <w:rFonts w:hint="eastAsia" w:hAnsi="宋体"/>
          <w:color w:val="auto"/>
          <w:sz w:val="32"/>
          <w:szCs w:val="32"/>
          <w:lang w:val="en-US" w:eastAsia="zh-CN"/>
        </w:rPr>
        <w:t>为48.68万元</w:t>
      </w:r>
      <w:r>
        <w:rPr>
          <w:rFonts w:hint="eastAsia" w:hAnsi="宋体"/>
          <w:color w:val="auto"/>
          <w:sz w:val="32"/>
          <w:szCs w:val="32"/>
        </w:rPr>
        <w:t>“三公经费”控制率为</w:t>
      </w:r>
      <w:r>
        <w:rPr>
          <w:rFonts w:hint="eastAsia" w:hAnsi="宋体"/>
          <w:color w:val="auto"/>
          <w:sz w:val="32"/>
          <w:szCs w:val="32"/>
          <w:lang w:val="en-US" w:eastAsia="zh-CN"/>
        </w:rPr>
        <w:t>73</w:t>
      </w:r>
      <w:r>
        <w:rPr>
          <w:rFonts w:hint="eastAsia" w:hAnsi="宋体"/>
          <w:color w:val="auto"/>
          <w:sz w:val="32"/>
          <w:szCs w:val="32"/>
        </w:rPr>
        <w:t>%。</w:t>
      </w:r>
      <w:r>
        <w:rPr>
          <w:rFonts w:hint="eastAsia" w:hAnsi="宋体"/>
          <w:color w:val="auto"/>
          <w:sz w:val="32"/>
          <w:szCs w:val="32"/>
          <w:lang w:eastAsia="zh-CN"/>
        </w:rPr>
        <w:t>“</w:t>
      </w:r>
      <w:r>
        <w:rPr>
          <w:rFonts w:hint="eastAsia" w:hAnsi="宋体"/>
          <w:color w:val="auto"/>
          <w:sz w:val="32"/>
          <w:szCs w:val="32"/>
          <w:lang w:val="en-US" w:eastAsia="zh-CN"/>
        </w:rPr>
        <w:t>三公经费”控制率控制在预算范围内，系统原因导致扣分。</w:t>
      </w:r>
      <w:r>
        <w:rPr>
          <w:rFonts w:hint="eastAsia" w:hAnsi="宋体"/>
          <w:color w:val="auto"/>
          <w:sz w:val="32"/>
          <w:szCs w:val="32"/>
        </w:rPr>
        <w:t>该指标分值2分，自评得分</w:t>
      </w:r>
      <w:r>
        <w:rPr>
          <w:rFonts w:hint="eastAsia" w:hAnsi="宋体"/>
          <w:color w:val="auto"/>
          <w:sz w:val="32"/>
          <w:szCs w:val="32"/>
          <w:lang w:val="en-US" w:eastAsia="zh-CN"/>
        </w:rPr>
        <w:t>1.46</w:t>
      </w:r>
      <w:r>
        <w:rPr>
          <w:rFonts w:hint="eastAsia" w:hAnsi="宋体"/>
          <w:color w:val="auto"/>
          <w:sz w:val="32"/>
          <w:szCs w:val="32"/>
        </w:rPr>
        <w:t>分，得分率为</w:t>
      </w:r>
      <w:r>
        <w:rPr>
          <w:rFonts w:hint="eastAsia" w:hAnsi="宋体"/>
          <w:color w:val="auto"/>
          <w:sz w:val="32"/>
          <w:szCs w:val="32"/>
          <w:lang w:val="en-US" w:eastAsia="zh-CN"/>
        </w:rPr>
        <w:t>73</w:t>
      </w:r>
      <w:r>
        <w:rPr>
          <w:rFonts w:hint="eastAsia" w:hAnsi="宋体"/>
          <w:color w:val="auto"/>
          <w:sz w:val="32"/>
          <w:szCs w:val="32"/>
        </w:rPr>
        <w:t>%。</w:t>
      </w:r>
    </w:p>
    <w:p w14:paraId="33CD7931">
      <w:pPr>
        <w:ind w:firstLine="560"/>
        <w:rPr>
          <w:sz w:val="32"/>
          <w:szCs w:val="32"/>
        </w:rPr>
      </w:pPr>
      <w:r>
        <w:rPr>
          <w:rFonts w:hint="eastAsia" w:hAnsi="宋体"/>
          <w:b/>
          <w:bCs/>
          <w:sz w:val="32"/>
          <w:szCs w:val="32"/>
        </w:rPr>
        <w:t>结转结余变动率：</w:t>
      </w:r>
      <w:r>
        <w:rPr>
          <w:rFonts w:hint="eastAsia" w:hAnsi="宋体"/>
          <w:sz w:val="32"/>
          <w:szCs w:val="32"/>
        </w:rPr>
        <w:t>我院202</w:t>
      </w:r>
      <w:r>
        <w:rPr>
          <w:rFonts w:hint="eastAsia" w:hAnsi="宋体"/>
          <w:sz w:val="32"/>
          <w:szCs w:val="32"/>
          <w:lang w:val="en-US" w:eastAsia="zh-CN"/>
        </w:rPr>
        <w:t>2</w:t>
      </w:r>
      <w:r>
        <w:rPr>
          <w:rFonts w:hint="eastAsia" w:hAnsi="宋体"/>
          <w:sz w:val="32"/>
          <w:szCs w:val="32"/>
        </w:rPr>
        <w:t>年结转结余</w:t>
      </w:r>
      <w:r>
        <w:rPr>
          <w:rFonts w:hint="eastAsia" w:hAnsi="宋体"/>
          <w:sz w:val="32"/>
          <w:szCs w:val="32"/>
          <w:lang w:val="en-US" w:eastAsia="zh-CN"/>
        </w:rPr>
        <w:t>117</w:t>
      </w:r>
      <w:r>
        <w:rPr>
          <w:rFonts w:hint="eastAsia" w:hAnsi="宋体"/>
          <w:sz w:val="32"/>
          <w:szCs w:val="32"/>
        </w:rPr>
        <w:t>.1</w:t>
      </w:r>
      <w:r>
        <w:rPr>
          <w:rFonts w:hint="eastAsia" w:hAnsi="宋体"/>
          <w:sz w:val="32"/>
          <w:szCs w:val="32"/>
          <w:lang w:val="en-US" w:eastAsia="zh-CN"/>
        </w:rPr>
        <w:t>2</w:t>
      </w:r>
      <w:r>
        <w:rPr>
          <w:rFonts w:hint="eastAsia" w:hAnsi="宋体"/>
          <w:sz w:val="32"/>
          <w:szCs w:val="32"/>
        </w:rPr>
        <w:t>万元，</w:t>
      </w:r>
      <w:r>
        <w:rPr>
          <w:rFonts w:hint="eastAsia" w:hAnsi="宋体"/>
          <w:sz w:val="32"/>
          <w:szCs w:val="32"/>
          <w:lang w:eastAsia="zh-CN"/>
        </w:rPr>
        <w:t>2023</w:t>
      </w:r>
      <w:r>
        <w:rPr>
          <w:rFonts w:hint="eastAsia" w:hAnsi="宋体"/>
          <w:sz w:val="32"/>
          <w:szCs w:val="32"/>
        </w:rPr>
        <w:t>年结转结余</w:t>
      </w:r>
      <w:r>
        <w:rPr>
          <w:rFonts w:hint="eastAsia" w:hAnsi="宋体"/>
          <w:sz w:val="32"/>
          <w:szCs w:val="32"/>
          <w:lang w:val="en-US" w:eastAsia="zh-CN"/>
        </w:rPr>
        <w:t>243.78</w:t>
      </w:r>
      <w:r>
        <w:rPr>
          <w:rFonts w:hint="eastAsia" w:hAnsi="宋体"/>
          <w:sz w:val="32"/>
          <w:szCs w:val="32"/>
        </w:rPr>
        <w:t>万元，结转结余变动率</w:t>
      </w:r>
      <w:r>
        <w:rPr>
          <w:rFonts w:hint="eastAsia" w:hAnsi="宋体"/>
          <w:sz w:val="32"/>
          <w:szCs w:val="32"/>
          <w:lang w:val="en-US" w:eastAsia="zh-CN"/>
        </w:rPr>
        <w:t>107.71</w:t>
      </w:r>
      <w:r>
        <w:rPr>
          <w:rFonts w:hint="eastAsia" w:hAnsi="宋体"/>
          <w:sz w:val="32"/>
          <w:szCs w:val="32"/>
        </w:rPr>
        <w:t>%。该指标分值2分，自评得分</w:t>
      </w:r>
      <w:r>
        <w:rPr>
          <w:rFonts w:hint="eastAsia" w:hAnsi="宋体"/>
          <w:sz w:val="32"/>
          <w:szCs w:val="32"/>
          <w:lang w:val="en-US" w:eastAsia="zh-CN"/>
        </w:rPr>
        <w:t>2</w:t>
      </w:r>
      <w:r>
        <w:rPr>
          <w:rFonts w:hint="eastAsia" w:hAnsi="宋体"/>
          <w:sz w:val="32"/>
          <w:szCs w:val="32"/>
        </w:rPr>
        <w:t>分，得分率为</w:t>
      </w:r>
      <w:r>
        <w:rPr>
          <w:rFonts w:hint="eastAsia" w:hAnsi="宋体"/>
          <w:sz w:val="32"/>
          <w:szCs w:val="32"/>
          <w:lang w:val="en-US" w:eastAsia="zh-CN"/>
        </w:rPr>
        <w:t>10</w:t>
      </w:r>
      <w:r>
        <w:rPr>
          <w:rFonts w:hint="eastAsia" w:hAnsi="宋体"/>
          <w:sz w:val="32"/>
          <w:szCs w:val="32"/>
        </w:rPr>
        <w:t>0%。</w:t>
      </w:r>
    </w:p>
    <w:p w14:paraId="1FBC3E3E">
      <w:pPr>
        <w:ind w:firstLine="560"/>
        <w:rPr>
          <w:rFonts w:hAnsi="宋体"/>
          <w:sz w:val="32"/>
          <w:szCs w:val="32"/>
        </w:rPr>
      </w:pPr>
      <w:r>
        <w:rPr>
          <w:rFonts w:hint="eastAsia" w:hAnsi="宋体"/>
          <w:b/>
          <w:bCs/>
          <w:sz w:val="32"/>
          <w:szCs w:val="32"/>
        </w:rPr>
        <w:t>财务管理制度健全性：</w:t>
      </w:r>
      <w:r>
        <w:rPr>
          <w:rFonts w:hint="eastAsia" w:hAnsi="宋体"/>
          <w:sz w:val="32"/>
          <w:szCs w:val="32"/>
        </w:rPr>
        <w:t>我院制定了《</w:t>
      </w:r>
      <w:r>
        <w:rPr>
          <w:rFonts w:hint="eastAsia" w:hAnsi="宋体"/>
          <w:sz w:val="32"/>
          <w:szCs w:val="32"/>
          <w:lang w:eastAsia="zh-CN"/>
        </w:rPr>
        <w:t>华池县</w:t>
      </w:r>
      <w:r>
        <w:rPr>
          <w:rFonts w:hint="eastAsia" w:hAnsi="宋体"/>
          <w:sz w:val="32"/>
          <w:szCs w:val="32"/>
        </w:rPr>
        <w:t>人民法院财务管理制度》，制度合法、合规，并得到有效执行。大额资金均由党委会研究通过后使用，对资金开支有完备的审批流程和管控手续。所有支出符合国家财经法规和财务管理制度规定以及有关专项资金管理办法的规定。该指标分值2分，自评得分2分，得分率为100%。</w:t>
      </w:r>
    </w:p>
    <w:p w14:paraId="7E2B0699">
      <w:pPr>
        <w:ind w:firstLine="560"/>
        <w:rPr>
          <w:rFonts w:hAnsi="宋体"/>
          <w:sz w:val="32"/>
          <w:szCs w:val="32"/>
        </w:rPr>
      </w:pPr>
      <w:r>
        <w:rPr>
          <w:rFonts w:hint="eastAsia" w:hAnsi="宋体"/>
          <w:b/>
          <w:bCs/>
          <w:sz w:val="32"/>
          <w:szCs w:val="32"/>
        </w:rPr>
        <w:t>资金使用规范性：</w:t>
      </w:r>
      <w:r>
        <w:rPr>
          <w:rFonts w:hint="eastAsia" w:hAnsi="宋体"/>
          <w:sz w:val="32"/>
          <w:szCs w:val="32"/>
        </w:rPr>
        <w:t>我院资金支出总体上审批程序合规、手续齐全，支出内容符合省财政预算批复规定的用途，严格使用公务卡报销，有效提高了财务资金使用的合理性和规范性，防止了国有资金流失。该指标分值2分，自评得分2分，得分率为100%。</w:t>
      </w:r>
    </w:p>
    <w:p w14:paraId="087EC67B">
      <w:pPr>
        <w:ind w:firstLine="560"/>
        <w:rPr>
          <w:rFonts w:hAnsi="宋体"/>
          <w:sz w:val="32"/>
          <w:szCs w:val="32"/>
        </w:rPr>
      </w:pPr>
      <w:r>
        <w:rPr>
          <w:rFonts w:hint="eastAsia" w:hAnsi="宋体"/>
          <w:b/>
          <w:bCs/>
          <w:sz w:val="32"/>
          <w:szCs w:val="32"/>
        </w:rPr>
        <w:t>政府采购规范性：</w:t>
      </w:r>
      <w:r>
        <w:rPr>
          <w:rFonts w:hint="eastAsia" w:hAnsi="宋体"/>
          <w:sz w:val="32"/>
          <w:szCs w:val="32"/>
        </w:rPr>
        <w:t>我院采购实际执行情况与采购计划安排无差异。采购事项严格执行相关标准，采购业务符合政府采购相关规定。该指标分值2分，自评得分2分，得分率为100%。</w:t>
      </w:r>
    </w:p>
    <w:p w14:paraId="76356585">
      <w:pPr>
        <w:ind w:firstLine="560"/>
        <w:rPr>
          <w:rFonts w:hAnsi="宋体"/>
          <w:sz w:val="32"/>
          <w:szCs w:val="32"/>
        </w:rPr>
      </w:pPr>
      <w:r>
        <w:rPr>
          <w:rFonts w:hint="eastAsia" w:hAnsi="宋体"/>
          <w:b/>
          <w:bCs/>
          <w:sz w:val="32"/>
          <w:szCs w:val="32"/>
        </w:rPr>
        <w:t>资产管理规范性：</w:t>
      </w:r>
      <w:r>
        <w:rPr>
          <w:rFonts w:hint="eastAsia" w:hAnsi="宋体"/>
          <w:sz w:val="32"/>
          <w:szCs w:val="32"/>
          <w:lang w:eastAsia="zh-CN"/>
        </w:rPr>
        <w:t>2023</w:t>
      </w:r>
      <w:r>
        <w:rPr>
          <w:rFonts w:hint="eastAsia" w:hAnsi="宋体"/>
          <w:sz w:val="32"/>
          <w:szCs w:val="32"/>
        </w:rPr>
        <w:t>年我院账务和资产卡片数据相符，资产卡片与实物相符，各类资产保存完整、使用合规、配置合理、处置规范，资产处置收入能够及时足额上缴财政，资产管理符合相关要求。该指标分值2分，自评得分2分，得分率为100%。</w:t>
      </w:r>
    </w:p>
    <w:p w14:paraId="5484678B">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Ansi="宋体"/>
          <w:sz w:val="32"/>
          <w:szCs w:val="32"/>
        </w:rPr>
      </w:pPr>
      <w:r>
        <w:rPr>
          <w:rFonts w:hint="eastAsia" w:hAnsi="宋体"/>
          <w:b/>
          <w:bCs/>
          <w:sz w:val="32"/>
          <w:szCs w:val="32"/>
        </w:rPr>
        <w:t>在职人员控制率：</w:t>
      </w:r>
      <w:r>
        <w:rPr>
          <w:rFonts w:hint="eastAsia" w:hAnsi="宋体"/>
          <w:sz w:val="32"/>
          <w:szCs w:val="32"/>
        </w:rPr>
        <w:t>我院人员管理规范，部门整体的财政供养人员规模得到有效控制，</w:t>
      </w:r>
      <w:r>
        <w:rPr>
          <w:rFonts w:hint="eastAsia" w:hAnsi="宋体"/>
          <w:sz w:val="32"/>
          <w:szCs w:val="32"/>
          <w:lang w:val="en-US" w:eastAsia="zh-CN"/>
        </w:rPr>
        <w:t>现有中央政法编制46人，工勤超编人员1人，聘用制书记员16人，县管事业人员17人，外聘临时人员22人，</w:t>
      </w:r>
      <w:r>
        <w:rPr>
          <w:rFonts w:hint="eastAsia" w:hAnsi="宋体"/>
          <w:sz w:val="32"/>
          <w:szCs w:val="32"/>
        </w:rPr>
        <w:t>在职人员控制率为100%。该指标分值2分，自评得分2分，得分率为100%。</w:t>
      </w:r>
    </w:p>
    <w:p w14:paraId="2BBE9D7B">
      <w:pPr>
        <w:ind w:firstLine="560"/>
        <w:rPr>
          <w:rFonts w:hAnsi="宋体"/>
          <w:sz w:val="32"/>
          <w:szCs w:val="32"/>
        </w:rPr>
      </w:pPr>
      <w:r>
        <w:rPr>
          <w:rFonts w:hint="eastAsia" w:hAnsi="宋体"/>
          <w:b/>
          <w:bCs/>
          <w:sz w:val="32"/>
          <w:szCs w:val="32"/>
        </w:rPr>
        <w:t>重点工作管理制度健全性：</w:t>
      </w:r>
      <w:r>
        <w:rPr>
          <w:rFonts w:hint="eastAsia" w:hAnsi="宋体"/>
          <w:sz w:val="32"/>
          <w:szCs w:val="32"/>
        </w:rPr>
        <w:t>我院针对重点工作，修订并完善了相关案件审判制度，制度合法、合规、完整，并且能够有效执行和指导重点工作的有效推进和实施。该指标分值2分，自评得分2分，得分率为100%。</w:t>
      </w:r>
    </w:p>
    <w:p w14:paraId="6894094C">
      <w:pPr>
        <w:pStyle w:val="5"/>
        <w:ind w:firstLine="560"/>
        <w:rPr>
          <w:sz w:val="32"/>
          <w:szCs w:val="32"/>
        </w:rPr>
      </w:pPr>
      <w:bookmarkStart w:id="48" w:name="_Toc40046032"/>
      <w:r>
        <w:rPr>
          <w:rFonts w:hint="eastAsia"/>
          <w:sz w:val="32"/>
          <w:szCs w:val="32"/>
        </w:rPr>
        <w:t>3.履职效果</w:t>
      </w:r>
      <w:bookmarkEnd w:id="48"/>
      <w:r>
        <w:rPr>
          <w:rFonts w:hint="eastAsia"/>
          <w:sz w:val="32"/>
          <w:szCs w:val="32"/>
        </w:rPr>
        <w:t>目标完成情况分析</w:t>
      </w:r>
    </w:p>
    <w:p w14:paraId="23B35B1D">
      <w:pPr>
        <w:ind w:firstLine="560"/>
        <w:rPr>
          <w:sz w:val="32"/>
          <w:szCs w:val="32"/>
        </w:rPr>
      </w:pPr>
      <w:r>
        <w:rPr>
          <w:rFonts w:hint="eastAsia"/>
          <w:sz w:val="32"/>
          <w:szCs w:val="32"/>
        </w:rPr>
        <w:t>履职效果指标包括部门履职目标、部门效果</w:t>
      </w:r>
      <w:r>
        <w:rPr>
          <w:rFonts w:hint="eastAsia"/>
          <w:sz w:val="32"/>
          <w:szCs w:val="32"/>
          <w:lang w:eastAsia="zh-CN"/>
        </w:rPr>
        <w:t>、服务对象满意度</w:t>
      </w:r>
      <w:r>
        <w:rPr>
          <w:rFonts w:hint="eastAsia"/>
          <w:sz w:val="32"/>
          <w:szCs w:val="32"/>
        </w:rPr>
        <w:t>及社会影响</w:t>
      </w:r>
      <w:r>
        <w:rPr>
          <w:rFonts w:hint="eastAsia"/>
          <w:sz w:val="32"/>
          <w:szCs w:val="32"/>
          <w:lang w:val="en-US" w:eastAsia="zh-CN"/>
        </w:rPr>
        <w:t>四</w:t>
      </w:r>
      <w:r>
        <w:rPr>
          <w:rFonts w:hint="eastAsia"/>
          <w:sz w:val="32"/>
          <w:szCs w:val="32"/>
        </w:rPr>
        <w:t>个二级指标，下设2</w:t>
      </w:r>
      <w:r>
        <w:rPr>
          <w:rFonts w:hint="eastAsia"/>
          <w:sz w:val="32"/>
          <w:szCs w:val="32"/>
          <w:lang w:val="en-US" w:eastAsia="zh-CN"/>
        </w:rPr>
        <w:t>3</w:t>
      </w:r>
      <w:r>
        <w:rPr>
          <w:rFonts w:hint="eastAsia"/>
          <w:sz w:val="32"/>
          <w:szCs w:val="32"/>
        </w:rPr>
        <w:t>个三级指标。履职效果指标分值</w:t>
      </w:r>
      <w:r>
        <w:rPr>
          <w:rFonts w:hint="eastAsia"/>
          <w:sz w:val="32"/>
          <w:szCs w:val="32"/>
          <w:lang w:val="en-US" w:eastAsia="zh-CN"/>
        </w:rPr>
        <w:t>6</w:t>
      </w:r>
      <w:r>
        <w:rPr>
          <w:rFonts w:hint="eastAsia"/>
          <w:sz w:val="32"/>
          <w:szCs w:val="32"/>
        </w:rPr>
        <w:t>0分，自评</w:t>
      </w:r>
      <w:r>
        <w:rPr>
          <w:sz w:val="32"/>
          <w:szCs w:val="32"/>
        </w:rPr>
        <w:t>得</w:t>
      </w:r>
      <w:r>
        <w:rPr>
          <w:rFonts w:hint="eastAsia"/>
          <w:sz w:val="32"/>
          <w:szCs w:val="32"/>
        </w:rPr>
        <w:t>分</w:t>
      </w:r>
      <w:r>
        <w:rPr>
          <w:rFonts w:hint="eastAsia"/>
          <w:sz w:val="32"/>
          <w:szCs w:val="32"/>
          <w:lang w:val="en-US" w:eastAsia="zh-CN"/>
        </w:rPr>
        <w:t>56.84</w:t>
      </w:r>
      <w:r>
        <w:rPr>
          <w:rFonts w:hint="eastAsia"/>
          <w:sz w:val="32"/>
          <w:szCs w:val="32"/>
        </w:rPr>
        <w:t>分，</w:t>
      </w:r>
      <w:r>
        <w:rPr>
          <w:sz w:val="32"/>
          <w:szCs w:val="32"/>
        </w:rPr>
        <w:t>得分率</w:t>
      </w:r>
      <w:r>
        <w:rPr>
          <w:rFonts w:hint="eastAsia"/>
          <w:sz w:val="32"/>
          <w:szCs w:val="32"/>
        </w:rPr>
        <w:t>9</w:t>
      </w:r>
      <w:r>
        <w:rPr>
          <w:rFonts w:hint="eastAsia"/>
          <w:sz w:val="32"/>
          <w:szCs w:val="32"/>
          <w:lang w:val="en-US" w:eastAsia="zh-CN"/>
        </w:rPr>
        <w:t>4.73</w:t>
      </w:r>
      <w:r>
        <w:rPr>
          <w:sz w:val="32"/>
          <w:szCs w:val="32"/>
        </w:rPr>
        <w:t>%</w:t>
      </w:r>
      <w:r>
        <w:rPr>
          <w:rFonts w:hint="eastAsia"/>
          <w:sz w:val="32"/>
          <w:szCs w:val="32"/>
        </w:rPr>
        <w:t>。</w:t>
      </w:r>
    </w:p>
    <w:tbl>
      <w:tblPr>
        <w:tblStyle w:val="25"/>
        <w:tblW w:w="4998"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640"/>
        <w:gridCol w:w="1856"/>
        <w:gridCol w:w="1750"/>
        <w:gridCol w:w="2273"/>
      </w:tblGrid>
      <w:tr w14:paraId="435E135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shd w:val="clear" w:color="auto" w:fill="BDD6EE"/>
            <w:vAlign w:val="center"/>
          </w:tcPr>
          <w:p w14:paraId="5D06F668">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二级指标</w:t>
            </w:r>
          </w:p>
        </w:tc>
        <w:tc>
          <w:tcPr>
            <w:tcW w:w="1089" w:type="pct"/>
            <w:shd w:val="clear" w:color="auto" w:fill="BDD6EE"/>
            <w:vAlign w:val="center"/>
          </w:tcPr>
          <w:p w14:paraId="157D96A8">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分值</w:t>
            </w:r>
          </w:p>
        </w:tc>
        <w:tc>
          <w:tcPr>
            <w:tcW w:w="1027" w:type="pct"/>
            <w:shd w:val="clear" w:color="auto" w:fill="BDD6EE"/>
            <w:vAlign w:val="center"/>
          </w:tcPr>
          <w:p w14:paraId="4106ADCD">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自评得分</w:t>
            </w:r>
          </w:p>
        </w:tc>
        <w:tc>
          <w:tcPr>
            <w:tcW w:w="1333" w:type="pct"/>
            <w:shd w:val="clear" w:color="auto" w:fill="BDD6EE"/>
            <w:vAlign w:val="center"/>
          </w:tcPr>
          <w:p w14:paraId="40B662BC">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得分率</w:t>
            </w:r>
          </w:p>
        </w:tc>
      </w:tr>
      <w:tr w14:paraId="0A67FDE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vAlign w:val="center"/>
          </w:tcPr>
          <w:p w14:paraId="79C89FC0">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部门履职指标</w:t>
            </w:r>
          </w:p>
        </w:tc>
        <w:tc>
          <w:tcPr>
            <w:tcW w:w="1089" w:type="pct"/>
            <w:vAlign w:val="center"/>
          </w:tcPr>
          <w:p w14:paraId="6DE3296F">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35.72</w:t>
            </w:r>
          </w:p>
        </w:tc>
        <w:tc>
          <w:tcPr>
            <w:tcW w:w="1027" w:type="pct"/>
            <w:vAlign w:val="center"/>
          </w:tcPr>
          <w:p w14:paraId="3C7142CF">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32.67</w:t>
            </w:r>
          </w:p>
        </w:tc>
        <w:tc>
          <w:tcPr>
            <w:tcW w:w="1333" w:type="pct"/>
            <w:vAlign w:val="center"/>
          </w:tcPr>
          <w:p w14:paraId="69B6E475">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91.46</w:t>
            </w:r>
            <w:r>
              <w:rPr>
                <w:rFonts w:hint="eastAsia" w:ascii="宋体" w:hAnsi="宋体" w:eastAsia="宋体" w:cs="宋体"/>
                <w:color w:val="000000"/>
                <w:kern w:val="0"/>
                <w:sz w:val="22"/>
              </w:rPr>
              <w:t>%</w:t>
            </w:r>
          </w:p>
        </w:tc>
      </w:tr>
      <w:tr w14:paraId="52790D0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vAlign w:val="center"/>
          </w:tcPr>
          <w:p w14:paraId="131F7DBC">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部门效果</w:t>
            </w:r>
          </w:p>
        </w:tc>
        <w:tc>
          <w:tcPr>
            <w:tcW w:w="1089" w:type="pct"/>
            <w:vAlign w:val="center"/>
          </w:tcPr>
          <w:p w14:paraId="361D92C3">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9.52</w:t>
            </w:r>
          </w:p>
        </w:tc>
        <w:tc>
          <w:tcPr>
            <w:tcW w:w="1027" w:type="pct"/>
            <w:vAlign w:val="center"/>
          </w:tcPr>
          <w:p w14:paraId="3808F53C">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9.41</w:t>
            </w:r>
          </w:p>
        </w:tc>
        <w:tc>
          <w:tcPr>
            <w:tcW w:w="1333" w:type="pct"/>
            <w:vAlign w:val="center"/>
          </w:tcPr>
          <w:p w14:paraId="1CB48D71">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98.84</w:t>
            </w:r>
            <w:r>
              <w:rPr>
                <w:rFonts w:hint="eastAsia" w:ascii="宋体" w:hAnsi="宋体" w:eastAsia="宋体" w:cs="宋体"/>
                <w:color w:val="000000"/>
                <w:kern w:val="0"/>
                <w:sz w:val="22"/>
              </w:rPr>
              <w:t>%</w:t>
            </w:r>
          </w:p>
        </w:tc>
      </w:tr>
      <w:tr w14:paraId="3F7F4C0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vAlign w:val="center"/>
          </w:tcPr>
          <w:p w14:paraId="21930D0B">
            <w:pPr>
              <w:widowControl/>
              <w:ind w:firstLine="0" w:firstLineChars="0"/>
              <w:jc w:val="left"/>
              <w:textAlignment w:val="center"/>
              <w:rPr>
                <w:rFonts w:hint="default" w:hAnsi="宋体" w:eastAsia="仿宋_GB2312" w:cs="仿宋_GB2312"/>
                <w:color w:val="000000"/>
                <w:kern w:val="0"/>
                <w:sz w:val="24"/>
                <w:szCs w:val="24"/>
                <w:lang w:val="en-US" w:eastAsia="zh-CN"/>
              </w:rPr>
            </w:pPr>
            <w:r>
              <w:rPr>
                <w:rFonts w:hint="eastAsia" w:hAnsi="宋体" w:cs="仿宋_GB2312"/>
                <w:color w:val="000000"/>
                <w:kern w:val="0"/>
                <w:sz w:val="24"/>
                <w:szCs w:val="24"/>
                <w:lang w:val="en-US" w:eastAsia="zh-CN"/>
              </w:rPr>
              <w:t>服务对象满意度</w:t>
            </w:r>
          </w:p>
        </w:tc>
        <w:tc>
          <w:tcPr>
            <w:tcW w:w="1089" w:type="pct"/>
            <w:vAlign w:val="center"/>
          </w:tcPr>
          <w:p w14:paraId="513D4B21">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1027" w:type="pct"/>
            <w:vAlign w:val="center"/>
          </w:tcPr>
          <w:p w14:paraId="0311BFD5">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1333" w:type="pct"/>
            <w:vAlign w:val="center"/>
          </w:tcPr>
          <w:p w14:paraId="2B1D132A">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100%</w:t>
            </w:r>
          </w:p>
        </w:tc>
      </w:tr>
      <w:tr w14:paraId="11096EF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vAlign w:val="center"/>
          </w:tcPr>
          <w:p w14:paraId="6144A4E8">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社会影响</w:t>
            </w:r>
          </w:p>
        </w:tc>
        <w:tc>
          <w:tcPr>
            <w:tcW w:w="1089" w:type="pct"/>
            <w:vAlign w:val="center"/>
          </w:tcPr>
          <w:p w14:paraId="2FE6F938">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4</w:t>
            </w:r>
            <w:r>
              <w:rPr>
                <w:rFonts w:hint="eastAsia" w:ascii="宋体" w:hAnsi="宋体" w:eastAsia="宋体" w:cs="宋体"/>
                <w:color w:val="000000"/>
                <w:kern w:val="0"/>
                <w:sz w:val="22"/>
                <w:lang w:val="en-US" w:eastAsia="zh-CN"/>
              </w:rPr>
              <w:t>.76</w:t>
            </w:r>
          </w:p>
        </w:tc>
        <w:tc>
          <w:tcPr>
            <w:tcW w:w="1027" w:type="pct"/>
            <w:vAlign w:val="center"/>
          </w:tcPr>
          <w:p w14:paraId="161573C9">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w:t>
            </w:r>
            <w:r>
              <w:rPr>
                <w:rFonts w:hint="eastAsia" w:ascii="宋体" w:hAnsi="宋体" w:eastAsia="宋体" w:cs="宋体"/>
                <w:color w:val="000000"/>
                <w:kern w:val="0"/>
                <w:sz w:val="22"/>
                <w:lang w:val="en-US" w:eastAsia="zh-CN"/>
              </w:rPr>
              <w:t>.76</w:t>
            </w:r>
          </w:p>
        </w:tc>
        <w:tc>
          <w:tcPr>
            <w:tcW w:w="1333" w:type="pct"/>
            <w:vAlign w:val="center"/>
          </w:tcPr>
          <w:p w14:paraId="51E10346">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100%</w:t>
            </w:r>
          </w:p>
        </w:tc>
      </w:tr>
      <w:tr w14:paraId="7F92B6E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shd w:val="clear" w:color="auto" w:fill="BDD6EE"/>
            <w:vAlign w:val="center"/>
          </w:tcPr>
          <w:p w14:paraId="133E36CB">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合计</w:t>
            </w:r>
          </w:p>
        </w:tc>
        <w:tc>
          <w:tcPr>
            <w:tcW w:w="1089" w:type="pct"/>
            <w:shd w:val="clear" w:color="auto" w:fill="BDD6EE"/>
            <w:vAlign w:val="center"/>
          </w:tcPr>
          <w:p w14:paraId="330AFB7C">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val="en-US" w:eastAsia="zh-CN"/>
              </w:rPr>
              <w:t>6</w:t>
            </w:r>
            <w:r>
              <w:rPr>
                <w:rFonts w:hint="eastAsia" w:ascii="宋体" w:hAnsi="宋体" w:eastAsia="宋体" w:cs="宋体"/>
                <w:b/>
                <w:bCs/>
                <w:color w:val="000000"/>
                <w:kern w:val="0"/>
                <w:sz w:val="22"/>
              </w:rPr>
              <w:t>0</w:t>
            </w:r>
          </w:p>
        </w:tc>
        <w:tc>
          <w:tcPr>
            <w:tcW w:w="1027" w:type="pct"/>
            <w:shd w:val="clear" w:color="auto" w:fill="BDD6EE"/>
            <w:vAlign w:val="center"/>
          </w:tcPr>
          <w:p w14:paraId="12E3C914">
            <w:pPr>
              <w:widowControl/>
              <w:ind w:firstLine="0" w:firstLineChars="0"/>
              <w:jc w:val="center"/>
              <w:textAlignment w:val="center"/>
              <w:rPr>
                <w:rFonts w:hint="default" w:ascii="宋体" w:hAnsi="宋体" w:eastAsia="宋体" w:cs="宋体"/>
                <w:b/>
                <w:color w:val="000000"/>
                <w:kern w:val="0"/>
                <w:sz w:val="22"/>
                <w:lang w:val="en-US" w:eastAsia="zh-CN"/>
              </w:rPr>
            </w:pPr>
            <w:r>
              <w:rPr>
                <w:rFonts w:hint="eastAsia" w:ascii="宋体" w:hAnsi="宋体" w:eastAsia="宋体" w:cs="宋体"/>
                <w:b/>
                <w:bCs/>
                <w:color w:val="000000"/>
                <w:kern w:val="0"/>
                <w:sz w:val="22"/>
                <w:lang w:val="en-US" w:eastAsia="zh-CN"/>
              </w:rPr>
              <w:t>56.84</w:t>
            </w:r>
          </w:p>
        </w:tc>
        <w:tc>
          <w:tcPr>
            <w:tcW w:w="1333" w:type="pct"/>
            <w:shd w:val="clear" w:color="auto" w:fill="BDD6EE"/>
            <w:vAlign w:val="center"/>
          </w:tcPr>
          <w:p w14:paraId="1628DA10">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9</w:t>
            </w:r>
            <w:r>
              <w:rPr>
                <w:rFonts w:hint="eastAsia" w:ascii="宋体" w:hAnsi="宋体" w:eastAsia="宋体" w:cs="宋体"/>
                <w:b/>
                <w:bCs/>
                <w:color w:val="000000"/>
                <w:kern w:val="0"/>
                <w:sz w:val="22"/>
                <w:lang w:val="en-US" w:eastAsia="zh-CN"/>
              </w:rPr>
              <w:t>4.73</w:t>
            </w:r>
            <w:r>
              <w:rPr>
                <w:rFonts w:hint="eastAsia" w:ascii="宋体" w:hAnsi="宋体" w:eastAsia="宋体" w:cs="宋体"/>
                <w:b/>
                <w:bCs/>
                <w:color w:val="000000"/>
                <w:kern w:val="0"/>
                <w:sz w:val="22"/>
              </w:rPr>
              <w:t>%</w:t>
            </w:r>
          </w:p>
        </w:tc>
      </w:tr>
    </w:tbl>
    <w:p w14:paraId="34DDB3FF">
      <w:pPr>
        <w:ind w:firstLine="560"/>
        <w:rPr>
          <w:b/>
          <w:bCs/>
          <w:sz w:val="32"/>
          <w:szCs w:val="32"/>
        </w:rPr>
      </w:pPr>
      <w:r>
        <w:rPr>
          <w:rFonts w:hint="eastAsia"/>
          <w:b/>
          <w:bCs/>
          <w:sz w:val="32"/>
          <w:szCs w:val="32"/>
        </w:rPr>
        <w:t>（1）部门履职目标</w:t>
      </w:r>
    </w:p>
    <w:p w14:paraId="02B6B114">
      <w:pPr>
        <w:ind w:firstLine="560"/>
        <w:rPr>
          <w:rFonts w:cs="仿宋_GB2312"/>
          <w:b/>
          <w:bCs/>
          <w:sz w:val="32"/>
          <w:szCs w:val="32"/>
        </w:rPr>
      </w:pPr>
      <w:r>
        <w:rPr>
          <w:rFonts w:hint="eastAsia" w:cs="仿宋_GB2312"/>
          <w:sz w:val="32"/>
          <w:szCs w:val="32"/>
        </w:rPr>
        <w:t>部门履职指标分值</w:t>
      </w:r>
      <w:r>
        <w:rPr>
          <w:rFonts w:hint="eastAsia" w:cs="仿宋_GB2312"/>
          <w:sz w:val="32"/>
          <w:szCs w:val="32"/>
          <w:lang w:val="en-US" w:eastAsia="zh-CN"/>
        </w:rPr>
        <w:t>35.72</w:t>
      </w:r>
      <w:r>
        <w:rPr>
          <w:rFonts w:hint="eastAsia" w:cs="仿宋_GB2312"/>
          <w:sz w:val="32"/>
          <w:szCs w:val="32"/>
        </w:rPr>
        <w:t>分，自评得分</w:t>
      </w:r>
      <w:r>
        <w:rPr>
          <w:rFonts w:hint="eastAsia" w:cs="仿宋_GB2312"/>
          <w:sz w:val="32"/>
          <w:szCs w:val="32"/>
          <w:lang w:val="en-US" w:eastAsia="zh-CN"/>
        </w:rPr>
        <w:t>32.67</w:t>
      </w:r>
      <w:r>
        <w:rPr>
          <w:rFonts w:hint="eastAsia" w:cs="仿宋_GB2312"/>
          <w:sz w:val="32"/>
          <w:szCs w:val="32"/>
        </w:rPr>
        <w:t>分，得分率为9</w:t>
      </w:r>
      <w:r>
        <w:rPr>
          <w:rFonts w:hint="eastAsia" w:cs="仿宋_GB2312"/>
          <w:sz w:val="32"/>
          <w:szCs w:val="32"/>
          <w:lang w:val="en-US" w:eastAsia="zh-CN"/>
        </w:rPr>
        <w:t>1.46</w:t>
      </w:r>
      <w:r>
        <w:rPr>
          <w:rFonts w:hint="eastAsia" w:cs="仿宋_GB2312"/>
          <w:sz w:val="32"/>
          <w:szCs w:val="32"/>
        </w:rPr>
        <w:t>%。</w:t>
      </w:r>
    </w:p>
    <w:p w14:paraId="3C06DE63">
      <w:pPr>
        <w:ind w:firstLine="560"/>
        <w:rPr>
          <w:rFonts w:cs="仿宋_GB2312"/>
          <w:sz w:val="32"/>
          <w:szCs w:val="32"/>
        </w:rPr>
      </w:pPr>
      <w:r>
        <w:rPr>
          <w:rFonts w:hint="eastAsia" w:cs="仿宋_GB2312"/>
          <w:b/>
          <w:bCs/>
          <w:sz w:val="32"/>
          <w:szCs w:val="32"/>
        </w:rPr>
        <w:t>刑事案件结案率：</w:t>
      </w:r>
      <w:r>
        <w:rPr>
          <w:rFonts w:hint="eastAsia"/>
          <w:sz w:val="32"/>
          <w:szCs w:val="32"/>
          <w:lang w:eastAsia="zh-CN"/>
        </w:rPr>
        <w:t>2023</w:t>
      </w:r>
      <w:r>
        <w:rPr>
          <w:rFonts w:hint="eastAsia"/>
          <w:sz w:val="32"/>
          <w:szCs w:val="32"/>
        </w:rPr>
        <w:t>年度我院依法打击各类刑事犯罪，刑事案件结案率</w:t>
      </w:r>
      <w:r>
        <w:rPr>
          <w:rFonts w:hint="eastAsia"/>
          <w:sz w:val="32"/>
          <w:szCs w:val="32"/>
          <w:lang w:val="en-US" w:eastAsia="zh-CN"/>
        </w:rPr>
        <w:t>99.37</w:t>
      </w:r>
      <w:r>
        <w:rPr>
          <w:rFonts w:hint="eastAsia"/>
          <w:sz w:val="32"/>
          <w:szCs w:val="32"/>
        </w:rPr>
        <w:t>%，达到</w:t>
      </w:r>
      <w:r>
        <w:rPr>
          <w:rFonts w:hint="eastAsia"/>
          <w:sz w:val="32"/>
          <w:szCs w:val="32"/>
          <w:lang w:val="en-US" w:eastAsia="zh-CN"/>
        </w:rPr>
        <w:t>年度</w:t>
      </w:r>
      <w:r>
        <w:rPr>
          <w:rFonts w:hint="eastAsia"/>
          <w:sz w:val="32"/>
          <w:szCs w:val="32"/>
        </w:rPr>
        <w:t>目标值。</w:t>
      </w:r>
      <w:r>
        <w:rPr>
          <w:rFonts w:hint="eastAsia" w:cs="仿宋_GB2312"/>
          <w:sz w:val="32"/>
          <w:szCs w:val="32"/>
        </w:rPr>
        <w:t>该指标分值2</w:t>
      </w:r>
      <w:r>
        <w:rPr>
          <w:rFonts w:hint="eastAsia" w:cs="仿宋_GB2312"/>
          <w:sz w:val="32"/>
          <w:szCs w:val="32"/>
          <w:lang w:val="en-US" w:eastAsia="zh-CN"/>
        </w:rPr>
        <w:t>.4</w:t>
      </w:r>
      <w:r>
        <w:rPr>
          <w:rFonts w:hint="eastAsia" w:cs="仿宋_GB2312"/>
          <w:sz w:val="32"/>
          <w:szCs w:val="32"/>
        </w:rPr>
        <w:t>分，自评得分</w:t>
      </w:r>
      <w:r>
        <w:rPr>
          <w:rFonts w:hint="eastAsia" w:cs="仿宋_GB2312"/>
          <w:sz w:val="32"/>
          <w:szCs w:val="32"/>
          <w:lang w:val="en-US" w:eastAsia="zh-CN"/>
        </w:rPr>
        <w:t>2.4</w:t>
      </w:r>
      <w:r>
        <w:rPr>
          <w:rFonts w:hint="eastAsia" w:cs="仿宋_GB2312"/>
          <w:sz w:val="32"/>
          <w:szCs w:val="32"/>
        </w:rPr>
        <w:t>分，得分率为</w:t>
      </w:r>
      <w:r>
        <w:rPr>
          <w:rFonts w:hint="eastAsia" w:cs="仿宋_GB2312"/>
          <w:sz w:val="32"/>
          <w:szCs w:val="32"/>
          <w:lang w:val="en-US" w:eastAsia="zh-CN"/>
        </w:rPr>
        <w:t>100</w:t>
      </w:r>
      <w:r>
        <w:rPr>
          <w:rFonts w:hint="eastAsia" w:cs="仿宋_GB2312"/>
          <w:sz w:val="32"/>
          <w:szCs w:val="32"/>
        </w:rPr>
        <w:t>%。</w:t>
      </w:r>
    </w:p>
    <w:p w14:paraId="025FF305">
      <w:pPr>
        <w:ind w:firstLine="560"/>
        <w:rPr>
          <w:rFonts w:cs="仿宋_GB2312"/>
          <w:sz w:val="32"/>
          <w:szCs w:val="32"/>
        </w:rPr>
      </w:pPr>
      <w:r>
        <w:rPr>
          <w:rFonts w:hint="eastAsia" w:cs="仿宋_GB2312"/>
          <w:b/>
          <w:bCs/>
          <w:sz w:val="32"/>
          <w:szCs w:val="32"/>
        </w:rPr>
        <w:t>民事案件结案率：</w:t>
      </w:r>
      <w:r>
        <w:rPr>
          <w:rFonts w:hint="eastAsia" w:cs="仿宋_GB2312"/>
          <w:sz w:val="32"/>
          <w:szCs w:val="32"/>
        </w:rPr>
        <w:t>年度目标≥</w:t>
      </w:r>
      <w:r>
        <w:rPr>
          <w:rFonts w:hint="eastAsia" w:cs="仿宋_GB2312"/>
          <w:sz w:val="32"/>
          <w:szCs w:val="32"/>
          <w:lang w:val="en-US" w:eastAsia="zh-CN"/>
        </w:rPr>
        <w:t>80</w:t>
      </w:r>
      <w:r>
        <w:rPr>
          <w:rFonts w:hint="eastAsia" w:cs="仿宋_GB2312"/>
          <w:sz w:val="32"/>
          <w:szCs w:val="32"/>
        </w:rPr>
        <w:t>%，实际完成</w:t>
      </w:r>
      <w:r>
        <w:rPr>
          <w:rFonts w:hint="eastAsia" w:cs="仿宋_GB2312"/>
          <w:sz w:val="32"/>
          <w:szCs w:val="32"/>
          <w:lang w:val="en-US" w:eastAsia="zh-CN"/>
        </w:rPr>
        <w:t>99.59</w:t>
      </w:r>
      <w:r>
        <w:rPr>
          <w:rFonts w:hint="eastAsia" w:cs="仿宋_GB2312"/>
          <w:sz w:val="32"/>
          <w:szCs w:val="32"/>
        </w:rPr>
        <w:t>%，该指标分值2</w:t>
      </w:r>
      <w:r>
        <w:rPr>
          <w:rFonts w:hint="eastAsia" w:cs="仿宋_GB2312"/>
          <w:sz w:val="32"/>
          <w:szCs w:val="32"/>
          <w:lang w:val="en-US" w:eastAsia="zh-CN"/>
        </w:rPr>
        <w:t>.38</w:t>
      </w:r>
      <w:r>
        <w:rPr>
          <w:rFonts w:hint="eastAsia" w:cs="仿宋_GB2312"/>
          <w:sz w:val="32"/>
          <w:szCs w:val="32"/>
        </w:rPr>
        <w:t>分，自评得分2</w:t>
      </w:r>
      <w:r>
        <w:rPr>
          <w:rFonts w:hint="eastAsia" w:cs="仿宋_GB2312"/>
          <w:sz w:val="32"/>
          <w:szCs w:val="32"/>
          <w:lang w:val="en-US" w:eastAsia="zh-CN"/>
        </w:rPr>
        <w:t>.38</w:t>
      </w:r>
      <w:r>
        <w:rPr>
          <w:rFonts w:hint="eastAsia" w:cs="仿宋_GB2312"/>
          <w:sz w:val="32"/>
          <w:szCs w:val="32"/>
        </w:rPr>
        <w:t>分，得分率为100%。</w:t>
      </w:r>
    </w:p>
    <w:p w14:paraId="37A93B8E">
      <w:pPr>
        <w:ind w:firstLine="560"/>
        <w:rPr>
          <w:rFonts w:cs="仿宋_GB2312"/>
          <w:sz w:val="32"/>
          <w:szCs w:val="32"/>
        </w:rPr>
      </w:pPr>
      <w:r>
        <w:rPr>
          <w:rFonts w:hint="eastAsia" w:cs="仿宋_GB2312"/>
          <w:b/>
          <w:bCs/>
          <w:sz w:val="32"/>
          <w:szCs w:val="32"/>
          <w:lang w:val="en-US" w:eastAsia="zh-CN"/>
        </w:rPr>
        <w:t>行政</w:t>
      </w:r>
      <w:r>
        <w:rPr>
          <w:rFonts w:hint="eastAsia" w:cs="仿宋_GB2312"/>
          <w:b/>
          <w:bCs/>
          <w:sz w:val="32"/>
          <w:szCs w:val="32"/>
        </w:rPr>
        <w:t>案件结案率：</w:t>
      </w:r>
      <w:r>
        <w:rPr>
          <w:rFonts w:hint="eastAsia" w:cs="仿宋_GB2312"/>
          <w:sz w:val="32"/>
          <w:szCs w:val="32"/>
        </w:rPr>
        <w:t>年度目标≥</w:t>
      </w:r>
      <w:r>
        <w:rPr>
          <w:rFonts w:hint="eastAsia" w:cs="仿宋_GB2312"/>
          <w:sz w:val="32"/>
          <w:szCs w:val="32"/>
          <w:lang w:val="en-US" w:eastAsia="zh-CN"/>
        </w:rPr>
        <w:t>8</w:t>
      </w:r>
      <w:r>
        <w:rPr>
          <w:rFonts w:hint="eastAsia" w:cs="仿宋_GB2312"/>
          <w:sz w:val="32"/>
          <w:szCs w:val="32"/>
        </w:rPr>
        <w:t>0%，实际完成</w:t>
      </w:r>
      <w:r>
        <w:rPr>
          <w:rFonts w:hint="eastAsia" w:cs="仿宋_GB2312"/>
          <w:sz w:val="32"/>
          <w:szCs w:val="32"/>
          <w:lang w:val="en-US" w:eastAsia="zh-CN"/>
        </w:rPr>
        <w:t>100</w:t>
      </w:r>
      <w:r>
        <w:rPr>
          <w:rFonts w:hint="eastAsia" w:cs="仿宋_GB2312"/>
          <w:sz w:val="32"/>
          <w:szCs w:val="32"/>
        </w:rPr>
        <w:t>%，</w:t>
      </w:r>
      <w:r>
        <w:rPr>
          <w:rFonts w:hint="eastAsia" w:cs="仿宋_GB2312"/>
          <w:sz w:val="32"/>
          <w:szCs w:val="32"/>
          <w:lang w:val="en-US" w:eastAsia="zh-CN"/>
        </w:rPr>
        <w:t>达到年度目标值</w:t>
      </w:r>
      <w:r>
        <w:rPr>
          <w:rFonts w:hint="eastAsia"/>
          <w:sz w:val="32"/>
          <w:szCs w:val="32"/>
        </w:rPr>
        <w:t>。</w:t>
      </w:r>
      <w:r>
        <w:rPr>
          <w:rFonts w:hint="eastAsia" w:cs="仿宋_GB2312"/>
          <w:sz w:val="32"/>
          <w:szCs w:val="32"/>
        </w:rPr>
        <w:t>该指标分值2</w:t>
      </w:r>
      <w:r>
        <w:rPr>
          <w:rFonts w:hint="eastAsia" w:cs="仿宋_GB2312"/>
          <w:sz w:val="32"/>
          <w:szCs w:val="32"/>
          <w:lang w:val="en-US" w:eastAsia="zh-CN"/>
        </w:rPr>
        <w:t>.38</w:t>
      </w:r>
      <w:r>
        <w:rPr>
          <w:rFonts w:hint="eastAsia" w:cs="仿宋_GB2312"/>
          <w:sz w:val="32"/>
          <w:szCs w:val="32"/>
        </w:rPr>
        <w:t>分，自评得分2</w:t>
      </w:r>
      <w:r>
        <w:rPr>
          <w:rFonts w:hint="eastAsia" w:cs="仿宋_GB2312"/>
          <w:sz w:val="32"/>
          <w:szCs w:val="32"/>
          <w:lang w:val="en-US" w:eastAsia="zh-CN"/>
        </w:rPr>
        <w:t>.38</w:t>
      </w:r>
      <w:r>
        <w:rPr>
          <w:rFonts w:hint="eastAsia" w:cs="仿宋_GB2312"/>
          <w:sz w:val="32"/>
          <w:szCs w:val="32"/>
        </w:rPr>
        <w:t>分，得分率为100%。</w:t>
      </w:r>
    </w:p>
    <w:p w14:paraId="6C470693">
      <w:pPr>
        <w:ind w:firstLine="560"/>
        <w:rPr>
          <w:rFonts w:hint="eastAsia" w:cs="仿宋_GB2312"/>
          <w:b/>
          <w:bCs/>
          <w:sz w:val="32"/>
          <w:szCs w:val="32"/>
          <w:lang w:val="en-US" w:eastAsia="zh-CN"/>
        </w:rPr>
      </w:pPr>
      <w:r>
        <w:rPr>
          <w:rFonts w:hint="eastAsia" w:cs="仿宋_GB2312"/>
          <w:b/>
          <w:bCs/>
          <w:sz w:val="32"/>
          <w:szCs w:val="32"/>
          <w:lang w:val="en-US" w:eastAsia="zh-CN"/>
        </w:rPr>
        <w:t>执行案件结案率：</w:t>
      </w:r>
      <w:r>
        <w:rPr>
          <w:rFonts w:hint="eastAsia" w:cs="仿宋_GB2312"/>
          <w:sz w:val="32"/>
          <w:szCs w:val="32"/>
        </w:rPr>
        <w:t>年度目标≥</w:t>
      </w:r>
      <w:r>
        <w:rPr>
          <w:rFonts w:hint="eastAsia" w:cs="仿宋_GB2312"/>
          <w:sz w:val="32"/>
          <w:szCs w:val="32"/>
          <w:lang w:val="en-US" w:eastAsia="zh-CN"/>
        </w:rPr>
        <w:t>8</w:t>
      </w:r>
      <w:r>
        <w:rPr>
          <w:rFonts w:hint="eastAsia" w:cs="仿宋_GB2312"/>
          <w:sz w:val="32"/>
          <w:szCs w:val="32"/>
        </w:rPr>
        <w:t>0%，实际完成</w:t>
      </w:r>
      <w:r>
        <w:rPr>
          <w:rFonts w:hint="eastAsia" w:cs="仿宋_GB2312"/>
          <w:sz w:val="32"/>
          <w:szCs w:val="32"/>
          <w:lang w:val="en-US" w:eastAsia="zh-CN"/>
        </w:rPr>
        <w:t>99.6</w:t>
      </w:r>
      <w:r>
        <w:rPr>
          <w:rFonts w:hint="eastAsia" w:cs="仿宋_GB2312"/>
          <w:sz w:val="32"/>
          <w:szCs w:val="32"/>
        </w:rPr>
        <w:t>%，</w:t>
      </w:r>
      <w:r>
        <w:rPr>
          <w:rFonts w:hint="eastAsia" w:cs="仿宋_GB2312"/>
          <w:sz w:val="32"/>
          <w:szCs w:val="32"/>
          <w:lang w:val="en-US" w:eastAsia="zh-CN"/>
        </w:rPr>
        <w:t>达到年度目标值</w:t>
      </w:r>
      <w:r>
        <w:rPr>
          <w:rFonts w:hint="eastAsia"/>
          <w:sz w:val="32"/>
          <w:szCs w:val="32"/>
        </w:rPr>
        <w:t>。</w:t>
      </w:r>
      <w:r>
        <w:rPr>
          <w:rFonts w:hint="eastAsia" w:cs="仿宋_GB2312"/>
          <w:sz w:val="32"/>
          <w:szCs w:val="32"/>
        </w:rPr>
        <w:t>该指标分值2</w:t>
      </w:r>
      <w:r>
        <w:rPr>
          <w:rFonts w:hint="eastAsia" w:cs="仿宋_GB2312"/>
          <w:sz w:val="32"/>
          <w:szCs w:val="32"/>
          <w:lang w:val="en-US" w:eastAsia="zh-CN"/>
        </w:rPr>
        <w:t>.38</w:t>
      </w:r>
      <w:r>
        <w:rPr>
          <w:rFonts w:hint="eastAsia" w:cs="仿宋_GB2312"/>
          <w:sz w:val="32"/>
          <w:szCs w:val="32"/>
        </w:rPr>
        <w:t>分，自评得分2</w:t>
      </w:r>
      <w:r>
        <w:rPr>
          <w:rFonts w:hint="eastAsia" w:cs="仿宋_GB2312"/>
          <w:sz w:val="32"/>
          <w:szCs w:val="32"/>
          <w:lang w:val="en-US" w:eastAsia="zh-CN"/>
        </w:rPr>
        <w:t>.38</w:t>
      </w:r>
      <w:r>
        <w:rPr>
          <w:rFonts w:hint="eastAsia" w:cs="仿宋_GB2312"/>
          <w:sz w:val="32"/>
          <w:szCs w:val="32"/>
        </w:rPr>
        <w:t>分，得分率为100%。</w:t>
      </w:r>
    </w:p>
    <w:p w14:paraId="6EB06CF1">
      <w:pPr>
        <w:ind w:firstLine="560"/>
        <w:rPr>
          <w:rFonts w:hint="eastAsia" w:cs="仿宋_GB2312"/>
          <w:b/>
          <w:bCs/>
          <w:sz w:val="32"/>
          <w:szCs w:val="32"/>
          <w:lang w:val="en-US" w:eastAsia="zh-CN"/>
        </w:rPr>
      </w:pPr>
      <w:r>
        <w:rPr>
          <w:rFonts w:hint="eastAsia" w:cs="仿宋_GB2312"/>
          <w:b/>
          <w:bCs/>
          <w:sz w:val="32"/>
          <w:szCs w:val="32"/>
          <w:lang w:val="en-US" w:eastAsia="zh-CN"/>
        </w:rPr>
        <w:t>登记立案率：</w:t>
      </w:r>
      <w:r>
        <w:rPr>
          <w:rFonts w:hint="eastAsia" w:cs="仿宋_GB2312"/>
          <w:sz w:val="32"/>
          <w:szCs w:val="32"/>
        </w:rPr>
        <w:t>年度目标≥</w:t>
      </w:r>
      <w:r>
        <w:rPr>
          <w:rFonts w:hint="eastAsia" w:cs="仿宋_GB2312"/>
          <w:sz w:val="32"/>
          <w:szCs w:val="32"/>
          <w:lang w:val="en-US" w:eastAsia="zh-CN"/>
        </w:rPr>
        <w:t>100</w:t>
      </w:r>
      <w:r>
        <w:rPr>
          <w:rFonts w:hint="eastAsia" w:cs="仿宋_GB2312"/>
          <w:sz w:val="32"/>
          <w:szCs w:val="32"/>
        </w:rPr>
        <w:t>%，实际完成</w:t>
      </w:r>
      <w:r>
        <w:rPr>
          <w:rFonts w:hint="eastAsia" w:cs="仿宋_GB2312"/>
          <w:sz w:val="32"/>
          <w:szCs w:val="32"/>
          <w:lang w:val="en-US" w:eastAsia="zh-CN"/>
        </w:rPr>
        <w:t>100</w:t>
      </w:r>
      <w:r>
        <w:rPr>
          <w:rFonts w:hint="eastAsia" w:cs="仿宋_GB2312"/>
          <w:sz w:val="32"/>
          <w:szCs w:val="32"/>
        </w:rPr>
        <w:t>%，</w:t>
      </w:r>
      <w:r>
        <w:rPr>
          <w:rFonts w:hint="eastAsia" w:cs="仿宋_GB2312"/>
          <w:sz w:val="32"/>
          <w:szCs w:val="32"/>
          <w:lang w:val="en-US" w:eastAsia="zh-CN"/>
        </w:rPr>
        <w:t>达到年度目标值</w:t>
      </w:r>
      <w:r>
        <w:rPr>
          <w:rFonts w:hint="eastAsia"/>
          <w:sz w:val="32"/>
          <w:szCs w:val="32"/>
        </w:rPr>
        <w:t>。</w:t>
      </w:r>
      <w:r>
        <w:rPr>
          <w:rFonts w:hint="eastAsia" w:cs="仿宋_GB2312"/>
          <w:sz w:val="32"/>
          <w:szCs w:val="32"/>
        </w:rPr>
        <w:t>该指标分值2</w:t>
      </w:r>
      <w:r>
        <w:rPr>
          <w:rFonts w:hint="eastAsia" w:cs="仿宋_GB2312"/>
          <w:sz w:val="32"/>
          <w:szCs w:val="32"/>
          <w:lang w:val="en-US" w:eastAsia="zh-CN"/>
        </w:rPr>
        <w:t>.38</w:t>
      </w:r>
      <w:r>
        <w:rPr>
          <w:rFonts w:hint="eastAsia" w:cs="仿宋_GB2312"/>
          <w:sz w:val="32"/>
          <w:szCs w:val="32"/>
        </w:rPr>
        <w:t>分，自评得分2</w:t>
      </w:r>
      <w:r>
        <w:rPr>
          <w:rFonts w:hint="eastAsia" w:cs="仿宋_GB2312"/>
          <w:sz w:val="32"/>
          <w:szCs w:val="32"/>
          <w:lang w:val="en-US" w:eastAsia="zh-CN"/>
        </w:rPr>
        <w:t>.38</w:t>
      </w:r>
      <w:r>
        <w:rPr>
          <w:rFonts w:hint="eastAsia" w:cs="仿宋_GB2312"/>
          <w:sz w:val="32"/>
          <w:szCs w:val="32"/>
        </w:rPr>
        <w:t>分，得分率为100%。</w:t>
      </w:r>
    </w:p>
    <w:p w14:paraId="7BF2D6B0">
      <w:pPr>
        <w:ind w:firstLine="560"/>
        <w:rPr>
          <w:rFonts w:hint="eastAsia" w:cs="仿宋_GB2312"/>
          <w:b/>
          <w:bCs/>
          <w:sz w:val="32"/>
          <w:szCs w:val="32"/>
          <w:lang w:val="en-US" w:eastAsia="zh-CN"/>
        </w:rPr>
      </w:pPr>
      <w:r>
        <w:rPr>
          <w:rFonts w:hint="eastAsia" w:cs="仿宋_GB2312"/>
          <w:b/>
          <w:bCs/>
          <w:sz w:val="32"/>
          <w:szCs w:val="32"/>
          <w:lang w:val="en-US" w:eastAsia="zh-CN"/>
        </w:rPr>
        <w:t>案件结案率：</w:t>
      </w:r>
      <w:r>
        <w:rPr>
          <w:rFonts w:hint="eastAsia" w:cs="仿宋_GB2312"/>
          <w:sz w:val="32"/>
          <w:szCs w:val="32"/>
        </w:rPr>
        <w:t>年度目标≥</w:t>
      </w:r>
      <w:r>
        <w:rPr>
          <w:rFonts w:hint="eastAsia" w:cs="仿宋_GB2312"/>
          <w:sz w:val="32"/>
          <w:szCs w:val="32"/>
          <w:lang w:val="en-US" w:eastAsia="zh-CN"/>
        </w:rPr>
        <w:t>95</w:t>
      </w:r>
      <w:r>
        <w:rPr>
          <w:rFonts w:hint="eastAsia" w:cs="仿宋_GB2312"/>
          <w:sz w:val="32"/>
          <w:szCs w:val="32"/>
        </w:rPr>
        <w:t>%，实际完成</w:t>
      </w:r>
      <w:r>
        <w:rPr>
          <w:rFonts w:hint="eastAsia" w:cs="仿宋_GB2312"/>
          <w:sz w:val="32"/>
          <w:szCs w:val="32"/>
          <w:lang w:val="en-US" w:eastAsia="zh-CN"/>
        </w:rPr>
        <w:t>99.59</w:t>
      </w:r>
      <w:r>
        <w:rPr>
          <w:rFonts w:hint="eastAsia" w:cs="仿宋_GB2312"/>
          <w:sz w:val="32"/>
          <w:szCs w:val="32"/>
        </w:rPr>
        <w:t>%，</w:t>
      </w:r>
      <w:r>
        <w:rPr>
          <w:rFonts w:hint="eastAsia" w:cs="仿宋_GB2312"/>
          <w:sz w:val="32"/>
          <w:szCs w:val="32"/>
          <w:lang w:val="en-US" w:eastAsia="zh-CN"/>
        </w:rPr>
        <w:t>达到年度目标值</w:t>
      </w:r>
      <w:r>
        <w:rPr>
          <w:rFonts w:hint="eastAsia"/>
          <w:sz w:val="32"/>
          <w:szCs w:val="32"/>
        </w:rPr>
        <w:t>。</w:t>
      </w:r>
      <w:r>
        <w:rPr>
          <w:rFonts w:hint="eastAsia" w:cs="仿宋_GB2312"/>
          <w:sz w:val="32"/>
          <w:szCs w:val="32"/>
        </w:rPr>
        <w:t>该指标分值2</w:t>
      </w:r>
      <w:r>
        <w:rPr>
          <w:rFonts w:hint="eastAsia" w:cs="仿宋_GB2312"/>
          <w:sz w:val="32"/>
          <w:szCs w:val="32"/>
          <w:lang w:val="en-US" w:eastAsia="zh-CN"/>
        </w:rPr>
        <w:t>.38</w:t>
      </w:r>
      <w:r>
        <w:rPr>
          <w:rFonts w:hint="eastAsia" w:cs="仿宋_GB2312"/>
          <w:sz w:val="32"/>
          <w:szCs w:val="32"/>
        </w:rPr>
        <w:t>分，自评得分2</w:t>
      </w:r>
      <w:r>
        <w:rPr>
          <w:rFonts w:hint="eastAsia" w:cs="仿宋_GB2312"/>
          <w:sz w:val="32"/>
          <w:szCs w:val="32"/>
          <w:lang w:val="en-US" w:eastAsia="zh-CN"/>
        </w:rPr>
        <w:t>.38</w:t>
      </w:r>
      <w:r>
        <w:rPr>
          <w:rFonts w:hint="eastAsia" w:cs="仿宋_GB2312"/>
          <w:sz w:val="32"/>
          <w:szCs w:val="32"/>
        </w:rPr>
        <w:t>分，得分率为100%。</w:t>
      </w:r>
    </w:p>
    <w:p w14:paraId="31A65398">
      <w:pPr>
        <w:ind w:firstLine="560"/>
        <w:rPr>
          <w:sz w:val="32"/>
          <w:szCs w:val="32"/>
        </w:rPr>
      </w:pPr>
      <w:r>
        <w:rPr>
          <w:rFonts w:hint="eastAsia" w:cs="仿宋_GB2312"/>
          <w:b/>
          <w:bCs/>
          <w:color w:val="auto"/>
          <w:sz w:val="32"/>
          <w:szCs w:val="32"/>
        </w:rPr>
        <w:t>一审服判息诉率：</w:t>
      </w:r>
      <w:r>
        <w:rPr>
          <w:rFonts w:hint="eastAsia" w:cs="仿宋_GB2312"/>
          <w:color w:val="auto"/>
          <w:sz w:val="32"/>
          <w:szCs w:val="32"/>
        </w:rPr>
        <w:t>年度目标≥</w:t>
      </w:r>
      <w:r>
        <w:rPr>
          <w:rFonts w:hint="eastAsia" w:cs="仿宋_GB2312"/>
          <w:color w:val="auto"/>
          <w:sz w:val="32"/>
          <w:szCs w:val="32"/>
          <w:lang w:val="en-US" w:eastAsia="zh-CN"/>
        </w:rPr>
        <w:t>90</w:t>
      </w:r>
      <w:r>
        <w:rPr>
          <w:rFonts w:hint="eastAsia" w:cs="仿宋_GB2312"/>
          <w:color w:val="auto"/>
          <w:sz w:val="32"/>
          <w:szCs w:val="32"/>
        </w:rPr>
        <w:t>%，实际完成</w:t>
      </w:r>
      <w:r>
        <w:rPr>
          <w:rFonts w:hint="eastAsia" w:cs="仿宋_GB2312"/>
          <w:color w:val="auto"/>
          <w:sz w:val="32"/>
          <w:szCs w:val="32"/>
          <w:lang w:val="en-US" w:eastAsia="zh-CN"/>
        </w:rPr>
        <w:t>90.9</w:t>
      </w:r>
      <w:r>
        <w:rPr>
          <w:rFonts w:hint="eastAsia" w:cs="仿宋_GB2312"/>
          <w:color w:val="auto"/>
          <w:sz w:val="32"/>
          <w:szCs w:val="32"/>
        </w:rPr>
        <w:t>%，该指标分值2</w:t>
      </w:r>
      <w:r>
        <w:rPr>
          <w:rFonts w:hint="eastAsia" w:cs="仿宋_GB2312"/>
          <w:color w:val="auto"/>
          <w:sz w:val="32"/>
          <w:szCs w:val="32"/>
          <w:lang w:val="en-US" w:eastAsia="zh-CN"/>
        </w:rPr>
        <w:t>.38</w:t>
      </w:r>
      <w:r>
        <w:rPr>
          <w:rFonts w:hint="eastAsia" w:cs="仿宋_GB2312"/>
          <w:color w:val="auto"/>
          <w:sz w:val="32"/>
          <w:szCs w:val="32"/>
        </w:rPr>
        <w:t>分，自评得分2</w:t>
      </w:r>
      <w:r>
        <w:rPr>
          <w:rFonts w:hint="eastAsia" w:cs="仿宋_GB2312"/>
          <w:color w:val="auto"/>
          <w:sz w:val="32"/>
          <w:szCs w:val="32"/>
          <w:lang w:val="en-US" w:eastAsia="zh-CN"/>
        </w:rPr>
        <w:t>.38</w:t>
      </w:r>
      <w:r>
        <w:rPr>
          <w:rFonts w:hint="eastAsia" w:cs="仿宋_GB2312"/>
          <w:color w:val="auto"/>
          <w:sz w:val="32"/>
          <w:szCs w:val="32"/>
        </w:rPr>
        <w:t>分，得分率为</w:t>
      </w:r>
      <w:r>
        <w:rPr>
          <w:rFonts w:hint="eastAsia" w:cs="仿宋_GB2312"/>
          <w:color w:val="auto"/>
          <w:sz w:val="32"/>
          <w:szCs w:val="32"/>
          <w:lang w:val="en-US" w:eastAsia="zh-CN"/>
        </w:rPr>
        <w:t>100</w:t>
      </w:r>
      <w:r>
        <w:rPr>
          <w:rFonts w:hint="eastAsia" w:cs="仿宋_GB2312"/>
          <w:color w:val="auto"/>
          <w:sz w:val="32"/>
          <w:szCs w:val="32"/>
        </w:rPr>
        <w:t>%。</w:t>
      </w:r>
    </w:p>
    <w:p w14:paraId="78674722">
      <w:pPr>
        <w:ind w:firstLine="560"/>
        <w:rPr>
          <w:rFonts w:hint="eastAsia" w:cs="仿宋_GB2312"/>
          <w:b/>
          <w:bCs/>
          <w:sz w:val="32"/>
          <w:szCs w:val="32"/>
          <w:lang w:val="en-US" w:eastAsia="zh-CN"/>
        </w:rPr>
      </w:pPr>
      <w:r>
        <w:rPr>
          <w:rFonts w:hint="eastAsia" w:cs="仿宋_GB2312"/>
          <w:b/>
          <w:bCs/>
          <w:sz w:val="32"/>
          <w:szCs w:val="32"/>
          <w:lang w:val="en-US" w:eastAsia="zh-CN"/>
        </w:rPr>
        <w:t>当场登记立案率：</w:t>
      </w:r>
      <w:r>
        <w:rPr>
          <w:rFonts w:hint="eastAsia" w:cs="仿宋_GB2312"/>
          <w:color w:val="auto"/>
          <w:sz w:val="32"/>
          <w:szCs w:val="32"/>
        </w:rPr>
        <w:t>年度目标≥</w:t>
      </w:r>
      <w:r>
        <w:rPr>
          <w:rFonts w:hint="eastAsia" w:cs="仿宋_GB2312"/>
          <w:color w:val="auto"/>
          <w:sz w:val="32"/>
          <w:szCs w:val="32"/>
          <w:lang w:val="en-US" w:eastAsia="zh-CN"/>
        </w:rPr>
        <w:t>80</w:t>
      </w:r>
      <w:r>
        <w:rPr>
          <w:rFonts w:hint="eastAsia" w:cs="仿宋_GB2312"/>
          <w:color w:val="auto"/>
          <w:sz w:val="32"/>
          <w:szCs w:val="32"/>
        </w:rPr>
        <w:t>%，实际完成</w:t>
      </w:r>
      <w:r>
        <w:rPr>
          <w:rFonts w:hint="eastAsia" w:cs="仿宋_GB2312"/>
          <w:color w:val="auto"/>
          <w:sz w:val="32"/>
          <w:szCs w:val="32"/>
          <w:lang w:val="en-US" w:eastAsia="zh-CN"/>
        </w:rPr>
        <w:t>95</w:t>
      </w:r>
      <w:r>
        <w:rPr>
          <w:rFonts w:hint="eastAsia" w:cs="仿宋_GB2312"/>
          <w:color w:val="auto"/>
          <w:sz w:val="32"/>
          <w:szCs w:val="32"/>
        </w:rPr>
        <w:t>%，该指标分值2</w:t>
      </w:r>
      <w:r>
        <w:rPr>
          <w:rFonts w:hint="eastAsia" w:cs="仿宋_GB2312"/>
          <w:color w:val="auto"/>
          <w:sz w:val="32"/>
          <w:szCs w:val="32"/>
          <w:lang w:val="en-US" w:eastAsia="zh-CN"/>
        </w:rPr>
        <w:t>.38</w:t>
      </w:r>
      <w:r>
        <w:rPr>
          <w:rFonts w:hint="eastAsia" w:cs="仿宋_GB2312"/>
          <w:color w:val="auto"/>
          <w:sz w:val="32"/>
          <w:szCs w:val="32"/>
        </w:rPr>
        <w:t>分，自评得分2</w:t>
      </w:r>
      <w:r>
        <w:rPr>
          <w:rFonts w:hint="eastAsia" w:cs="仿宋_GB2312"/>
          <w:color w:val="auto"/>
          <w:sz w:val="32"/>
          <w:szCs w:val="32"/>
          <w:lang w:val="en-US" w:eastAsia="zh-CN"/>
        </w:rPr>
        <w:t>.38</w:t>
      </w:r>
      <w:r>
        <w:rPr>
          <w:rFonts w:hint="eastAsia" w:cs="仿宋_GB2312"/>
          <w:color w:val="auto"/>
          <w:sz w:val="32"/>
          <w:szCs w:val="32"/>
        </w:rPr>
        <w:t>分，得分率为</w:t>
      </w:r>
      <w:r>
        <w:rPr>
          <w:rFonts w:hint="eastAsia" w:cs="仿宋_GB2312"/>
          <w:color w:val="auto"/>
          <w:sz w:val="32"/>
          <w:szCs w:val="32"/>
          <w:lang w:val="en-US" w:eastAsia="zh-CN"/>
        </w:rPr>
        <w:t>100</w:t>
      </w:r>
      <w:r>
        <w:rPr>
          <w:rFonts w:hint="eastAsia" w:cs="仿宋_GB2312"/>
          <w:color w:val="auto"/>
          <w:sz w:val="32"/>
          <w:szCs w:val="32"/>
        </w:rPr>
        <w:t>%。</w:t>
      </w:r>
    </w:p>
    <w:p w14:paraId="200C8EF8">
      <w:pPr>
        <w:ind w:firstLine="560"/>
        <w:rPr>
          <w:rFonts w:hint="eastAsia" w:cs="仿宋_GB2312"/>
          <w:b/>
          <w:bCs/>
          <w:sz w:val="32"/>
          <w:szCs w:val="32"/>
          <w:lang w:val="en-US" w:eastAsia="zh-CN"/>
        </w:rPr>
      </w:pPr>
      <w:r>
        <w:rPr>
          <w:rFonts w:hint="eastAsia" w:cs="仿宋_GB2312"/>
          <w:b/>
          <w:bCs/>
          <w:sz w:val="32"/>
          <w:szCs w:val="32"/>
          <w:lang w:val="en-US" w:eastAsia="zh-CN"/>
        </w:rPr>
        <w:t>改判率：</w:t>
      </w:r>
      <w:r>
        <w:rPr>
          <w:rFonts w:hint="eastAsia" w:cs="仿宋_GB2312"/>
          <w:color w:val="auto"/>
          <w:sz w:val="32"/>
          <w:szCs w:val="32"/>
        </w:rPr>
        <w:t>年度目标</w:t>
      </w:r>
      <w:r>
        <w:rPr>
          <w:rFonts w:hint="default" w:cs="仿宋_GB2312"/>
          <w:color w:val="auto"/>
          <w:sz w:val="32"/>
          <w:szCs w:val="32"/>
        </w:rPr>
        <w:t>≤</w:t>
      </w:r>
      <w:r>
        <w:rPr>
          <w:rFonts w:hint="eastAsia" w:cs="仿宋_GB2312"/>
          <w:color w:val="auto"/>
          <w:sz w:val="32"/>
          <w:szCs w:val="32"/>
          <w:lang w:val="en-US" w:eastAsia="zh-CN"/>
        </w:rPr>
        <w:t>3</w:t>
      </w:r>
      <w:r>
        <w:rPr>
          <w:rFonts w:hint="eastAsia" w:cs="仿宋_GB2312"/>
          <w:color w:val="auto"/>
          <w:sz w:val="32"/>
          <w:szCs w:val="32"/>
        </w:rPr>
        <w:t>%，实际完成</w:t>
      </w:r>
      <w:r>
        <w:rPr>
          <w:rFonts w:hint="eastAsia" w:cs="仿宋_GB2312"/>
          <w:color w:val="auto"/>
          <w:sz w:val="32"/>
          <w:szCs w:val="32"/>
          <w:lang w:val="en-US" w:eastAsia="zh-CN"/>
        </w:rPr>
        <w:t>2.15</w:t>
      </w:r>
      <w:r>
        <w:rPr>
          <w:rFonts w:hint="eastAsia" w:cs="仿宋_GB2312"/>
          <w:color w:val="auto"/>
          <w:sz w:val="32"/>
          <w:szCs w:val="32"/>
        </w:rPr>
        <w:t>%，该指标分值2</w:t>
      </w:r>
      <w:r>
        <w:rPr>
          <w:rFonts w:hint="eastAsia" w:cs="仿宋_GB2312"/>
          <w:color w:val="auto"/>
          <w:sz w:val="32"/>
          <w:szCs w:val="32"/>
          <w:lang w:val="en-US" w:eastAsia="zh-CN"/>
        </w:rPr>
        <w:t>.38</w:t>
      </w:r>
      <w:r>
        <w:rPr>
          <w:rFonts w:hint="eastAsia" w:cs="仿宋_GB2312"/>
          <w:color w:val="auto"/>
          <w:sz w:val="32"/>
          <w:szCs w:val="32"/>
        </w:rPr>
        <w:t>分，自评得分</w:t>
      </w:r>
      <w:r>
        <w:rPr>
          <w:rFonts w:hint="eastAsia" w:cs="仿宋_GB2312"/>
          <w:color w:val="auto"/>
          <w:sz w:val="32"/>
          <w:szCs w:val="32"/>
          <w:lang w:val="en-US" w:eastAsia="zh-CN"/>
        </w:rPr>
        <w:t>1.71</w:t>
      </w:r>
      <w:r>
        <w:rPr>
          <w:rFonts w:hint="eastAsia" w:cs="仿宋_GB2312"/>
          <w:color w:val="auto"/>
          <w:sz w:val="32"/>
          <w:szCs w:val="32"/>
        </w:rPr>
        <w:t>分，得分率为</w:t>
      </w:r>
      <w:r>
        <w:rPr>
          <w:rFonts w:hint="eastAsia" w:cs="仿宋_GB2312"/>
          <w:color w:val="auto"/>
          <w:sz w:val="32"/>
          <w:szCs w:val="32"/>
          <w:lang w:val="en-US" w:eastAsia="zh-CN"/>
        </w:rPr>
        <w:t>71.85</w:t>
      </w:r>
      <w:r>
        <w:rPr>
          <w:rFonts w:hint="eastAsia" w:cs="仿宋_GB2312"/>
          <w:color w:val="auto"/>
          <w:sz w:val="32"/>
          <w:szCs w:val="32"/>
        </w:rPr>
        <w:t>%。</w:t>
      </w:r>
    </w:p>
    <w:p w14:paraId="41307DA8">
      <w:pPr>
        <w:ind w:firstLine="560"/>
        <w:rPr>
          <w:rFonts w:hint="eastAsia" w:cs="仿宋_GB2312"/>
          <w:b/>
          <w:bCs/>
          <w:sz w:val="32"/>
          <w:szCs w:val="32"/>
          <w:lang w:val="en-US" w:eastAsia="zh-CN"/>
        </w:rPr>
      </w:pPr>
      <w:r>
        <w:rPr>
          <w:rFonts w:hint="eastAsia" w:cs="仿宋_GB2312"/>
          <w:b/>
          <w:bCs/>
          <w:sz w:val="32"/>
          <w:szCs w:val="32"/>
          <w:lang w:val="en-US" w:eastAsia="zh-CN"/>
        </w:rPr>
        <w:t>立案变更率：</w:t>
      </w:r>
      <w:r>
        <w:rPr>
          <w:rFonts w:hint="eastAsia" w:cs="仿宋_GB2312"/>
          <w:color w:val="auto"/>
          <w:sz w:val="32"/>
          <w:szCs w:val="32"/>
        </w:rPr>
        <w:t>年度目标</w:t>
      </w:r>
      <w:r>
        <w:rPr>
          <w:rFonts w:hint="default" w:cs="仿宋_GB2312"/>
          <w:color w:val="auto"/>
          <w:sz w:val="32"/>
          <w:szCs w:val="32"/>
        </w:rPr>
        <w:t>≤</w:t>
      </w:r>
      <w:r>
        <w:rPr>
          <w:rFonts w:hint="eastAsia" w:cs="仿宋_GB2312"/>
          <w:color w:val="auto"/>
          <w:sz w:val="32"/>
          <w:szCs w:val="32"/>
          <w:lang w:val="en-US" w:eastAsia="zh-CN"/>
        </w:rPr>
        <w:t>3</w:t>
      </w:r>
      <w:r>
        <w:rPr>
          <w:rFonts w:hint="eastAsia" w:cs="仿宋_GB2312"/>
          <w:color w:val="auto"/>
          <w:sz w:val="32"/>
          <w:szCs w:val="32"/>
        </w:rPr>
        <w:t>%，实际完成</w:t>
      </w:r>
      <w:r>
        <w:rPr>
          <w:rFonts w:hint="eastAsia" w:cs="仿宋_GB2312"/>
          <w:color w:val="auto"/>
          <w:sz w:val="32"/>
          <w:szCs w:val="32"/>
          <w:lang w:val="en-US" w:eastAsia="zh-CN"/>
        </w:rPr>
        <w:t>0</w:t>
      </w:r>
      <w:r>
        <w:rPr>
          <w:rFonts w:hint="eastAsia" w:cs="仿宋_GB2312"/>
          <w:color w:val="auto"/>
          <w:sz w:val="32"/>
          <w:szCs w:val="32"/>
        </w:rPr>
        <w:t>，该指标分值2</w:t>
      </w:r>
      <w:r>
        <w:rPr>
          <w:rFonts w:hint="eastAsia" w:cs="仿宋_GB2312"/>
          <w:color w:val="auto"/>
          <w:sz w:val="32"/>
          <w:szCs w:val="32"/>
          <w:lang w:val="en-US" w:eastAsia="zh-CN"/>
        </w:rPr>
        <w:t>.38</w:t>
      </w:r>
      <w:r>
        <w:rPr>
          <w:rFonts w:hint="eastAsia" w:cs="仿宋_GB2312"/>
          <w:color w:val="auto"/>
          <w:sz w:val="32"/>
          <w:szCs w:val="32"/>
        </w:rPr>
        <w:t>分，自评得分</w:t>
      </w:r>
      <w:r>
        <w:rPr>
          <w:rFonts w:hint="eastAsia" w:cs="仿宋_GB2312"/>
          <w:color w:val="auto"/>
          <w:sz w:val="32"/>
          <w:szCs w:val="32"/>
          <w:lang w:val="en-US" w:eastAsia="zh-CN"/>
        </w:rPr>
        <w:t>0</w:t>
      </w:r>
      <w:r>
        <w:rPr>
          <w:rFonts w:hint="eastAsia" w:cs="仿宋_GB2312"/>
          <w:color w:val="auto"/>
          <w:sz w:val="32"/>
          <w:szCs w:val="32"/>
        </w:rPr>
        <w:t>分</w:t>
      </w:r>
      <w:r>
        <w:rPr>
          <w:rFonts w:hint="eastAsia" w:cs="仿宋_GB2312"/>
          <w:color w:val="auto"/>
          <w:sz w:val="32"/>
          <w:szCs w:val="32"/>
          <w:lang w:eastAsia="zh-CN"/>
        </w:rPr>
        <w:t>，</w:t>
      </w:r>
      <w:r>
        <w:rPr>
          <w:rFonts w:hint="eastAsia" w:cs="仿宋_GB2312"/>
          <w:color w:val="auto"/>
          <w:sz w:val="32"/>
          <w:szCs w:val="32"/>
          <w:lang w:val="en-US" w:eastAsia="zh-CN"/>
        </w:rPr>
        <w:t>无立案变更案件</w:t>
      </w:r>
      <w:r>
        <w:rPr>
          <w:rFonts w:hint="eastAsia" w:cs="仿宋_GB2312"/>
          <w:color w:val="auto"/>
          <w:sz w:val="32"/>
          <w:szCs w:val="32"/>
        </w:rPr>
        <w:t>。</w:t>
      </w:r>
    </w:p>
    <w:p w14:paraId="1C84FA9C">
      <w:pPr>
        <w:ind w:firstLine="560"/>
        <w:rPr>
          <w:rFonts w:hint="eastAsia" w:cs="仿宋_GB2312"/>
          <w:b/>
          <w:bCs/>
          <w:sz w:val="32"/>
          <w:szCs w:val="32"/>
          <w:lang w:val="en-US" w:eastAsia="zh-CN"/>
        </w:rPr>
      </w:pPr>
      <w:r>
        <w:rPr>
          <w:rFonts w:hint="eastAsia" w:ascii="仿宋_GB2312" w:hAnsi="仿宋_GB2312" w:eastAsia="仿宋_GB2312" w:cs="仿宋_GB2312"/>
          <w:b/>
          <w:bCs/>
          <w:kern w:val="2"/>
          <w:sz w:val="32"/>
          <w:szCs w:val="32"/>
          <w:lang w:val="en-US" w:eastAsia="zh-CN" w:bidi="ar-SA"/>
        </w:rPr>
        <w:t>案件受理准确率：</w:t>
      </w:r>
      <w:r>
        <w:rPr>
          <w:rFonts w:hint="eastAsia" w:cs="仿宋_GB2312"/>
          <w:color w:val="auto"/>
          <w:sz w:val="32"/>
          <w:szCs w:val="32"/>
          <w:lang w:val="en-US" w:eastAsia="zh-CN"/>
        </w:rPr>
        <w:t>2023年我院受理案件及时，</w:t>
      </w:r>
      <w:r>
        <w:rPr>
          <w:rFonts w:hint="eastAsia" w:cs="仿宋_GB2312"/>
          <w:color w:val="auto"/>
          <w:sz w:val="32"/>
          <w:szCs w:val="32"/>
        </w:rPr>
        <w:t>该指标分值2</w:t>
      </w:r>
      <w:r>
        <w:rPr>
          <w:rFonts w:hint="eastAsia" w:cs="仿宋_GB2312"/>
          <w:color w:val="auto"/>
          <w:sz w:val="32"/>
          <w:szCs w:val="32"/>
          <w:lang w:val="en-US" w:eastAsia="zh-CN"/>
        </w:rPr>
        <w:t>.38</w:t>
      </w:r>
      <w:r>
        <w:rPr>
          <w:rFonts w:hint="eastAsia" w:cs="仿宋_GB2312"/>
          <w:color w:val="auto"/>
          <w:sz w:val="32"/>
          <w:szCs w:val="32"/>
        </w:rPr>
        <w:t>分，自评得分2</w:t>
      </w:r>
      <w:r>
        <w:rPr>
          <w:rFonts w:hint="eastAsia" w:cs="仿宋_GB2312"/>
          <w:color w:val="auto"/>
          <w:sz w:val="32"/>
          <w:szCs w:val="32"/>
          <w:lang w:val="en-US" w:eastAsia="zh-CN"/>
        </w:rPr>
        <w:t>.38</w:t>
      </w:r>
      <w:r>
        <w:rPr>
          <w:rFonts w:hint="eastAsia" w:cs="仿宋_GB2312"/>
          <w:color w:val="auto"/>
          <w:sz w:val="32"/>
          <w:szCs w:val="32"/>
        </w:rPr>
        <w:t>分，得分率为</w:t>
      </w:r>
      <w:r>
        <w:rPr>
          <w:rFonts w:hint="eastAsia" w:cs="仿宋_GB2312"/>
          <w:color w:val="auto"/>
          <w:sz w:val="32"/>
          <w:szCs w:val="32"/>
          <w:lang w:val="en-US" w:eastAsia="zh-CN"/>
        </w:rPr>
        <w:t>100</w:t>
      </w:r>
      <w:r>
        <w:rPr>
          <w:rFonts w:hint="eastAsia" w:cs="仿宋_GB2312"/>
          <w:color w:val="auto"/>
          <w:sz w:val="32"/>
          <w:szCs w:val="32"/>
        </w:rPr>
        <w:t>%。</w:t>
      </w:r>
    </w:p>
    <w:p w14:paraId="45633A0F">
      <w:pPr>
        <w:keepNext/>
        <w:keepLines/>
        <w:pageBreakBefore w:val="0"/>
        <w:widowControl w:val="0"/>
        <w:kinsoku/>
        <w:wordWrap/>
        <w:overflowPunct/>
        <w:topLinePunct w:val="0"/>
        <w:autoSpaceDE/>
        <w:autoSpaceDN/>
        <w:bidi w:val="0"/>
        <w:adjustRightInd/>
        <w:snapToGrid/>
        <w:textAlignment w:val="auto"/>
        <w:outlineLvl w:val="9"/>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办结案件及时性</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2023年我院办理案件及时，该指标分值2.38分，自评得分2.38分，得分率为100%。</w:t>
      </w:r>
    </w:p>
    <w:p w14:paraId="28C5CE35">
      <w:pPr>
        <w:ind w:firstLine="560"/>
        <w:rPr>
          <w:rFonts w:cs="仿宋_GB2312"/>
          <w:sz w:val="32"/>
          <w:szCs w:val="32"/>
        </w:rPr>
      </w:pPr>
      <w:r>
        <w:rPr>
          <w:rFonts w:hint="eastAsia" w:cs="仿宋_GB2312"/>
          <w:b/>
          <w:bCs/>
          <w:sz w:val="32"/>
          <w:szCs w:val="32"/>
        </w:rPr>
        <w:t>法定审限内结案率：</w:t>
      </w:r>
      <w:r>
        <w:rPr>
          <w:rFonts w:hint="eastAsia" w:cs="仿宋_GB2312"/>
          <w:sz w:val="32"/>
          <w:szCs w:val="32"/>
          <w:lang w:eastAsia="zh-CN"/>
        </w:rPr>
        <w:t>2023</w:t>
      </w:r>
      <w:r>
        <w:rPr>
          <w:rFonts w:hint="eastAsia" w:cs="仿宋_GB2312"/>
          <w:sz w:val="32"/>
          <w:szCs w:val="32"/>
        </w:rPr>
        <w:t>年我院法定审限内结案率为</w:t>
      </w:r>
      <w:r>
        <w:rPr>
          <w:rFonts w:hint="eastAsia" w:cs="仿宋_GB2312"/>
          <w:sz w:val="32"/>
          <w:szCs w:val="32"/>
          <w:lang w:val="en-US" w:eastAsia="zh-CN"/>
        </w:rPr>
        <w:t>100</w:t>
      </w:r>
      <w:r>
        <w:rPr>
          <w:rFonts w:hint="eastAsia" w:cs="仿宋_GB2312"/>
          <w:sz w:val="32"/>
          <w:szCs w:val="32"/>
        </w:rPr>
        <w:t>%，审判效率较高。该指标分值2</w:t>
      </w:r>
      <w:r>
        <w:rPr>
          <w:rFonts w:hint="eastAsia" w:cs="仿宋_GB2312"/>
          <w:sz w:val="32"/>
          <w:szCs w:val="32"/>
          <w:lang w:val="en-US" w:eastAsia="zh-CN"/>
        </w:rPr>
        <w:t>.38</w:t>
      </w:r>
      <w:r>
        <w:rPr>
          <w:rFonts w:hint="eastAsia" w:cs="仿宋_GB2312"/>
          <w:sz w:val="32"/>
          <w:szCs w:val="32"/>
        </w:rPr>
        <w:t>分，自评得分2</w:t>
      </w:r>
      <w:r>
        <w:rPr>
          <w:rFonts w:hint="eastAsia" w:cs="仿宋_GB2312"/>
          <w:sz w:val="32"/>
          <w:szCs w:val="32"/>
          <w:lang w:val="en-US" w:eastAsia="zh-CN"/>
        </w:rPr>
        <w:t>.38</w:t>
      </w:r>
      <w:r>
        <w:rPr>
          <w:rFonts w:hint="eastAsia" w:cs="仿宋_GB2312"/>
          <w:sz w:val="32"/>
          <w:szCs w:val="32"/>
        </w:rPr>
        <w:t>分，得分率为100%。</w:t>
      </w:r>
    </w:p>
    <w:p w14:paraId="15DACD3B">
      <w:pPr>
        <w:pStyle w:val="24"/>
        <w:spacing w:after="0"/>
        <w:ind w:left="0" w:leftChars="0" w:firstLine="560"/>
        <w:rPr>
          <w:rFonts w:cs="仿宋_GB2312"/>
          <w:sz w:val="32"/>
          <w:szCs w:val="32"/>
        </w:rPr>
      </w:pPr>
      <w:r>
        <w:rPr>
          <w:rFonts w:hint="eastAsia" w:cs="仿宋_GB2312"/>
          <w:b/>
          <w:bCs/>
          <w:sz w:val="32"/>
          <w:szCs w:val="32"/>
        </w:rPr>
        <w:t>成本控制情况：</w:t>
      </w:r>
      <w:r>
        <w:rPr>
          <w:rFonts w:hint="eastAsia" w:cs="仿宋_GB2312"/>
          <w:sz w:val="32"/>
          <w:szCs w:val="32"/>
        </w:rPr>
        <w:t>我院严格贯彻过紧日子方针，通过优化保障管理方式，培养节俭文化，在提高服务质量水平的同时，降低成本开支，节约行政成本，各项活动开支均未超出预算，成本有效控制在预算范围内。该指标分值2</w:t>
      </w:r>
      <w:r>
        <w:rPr>
          <w:rFonts w:hint="eastAsia" w:cs="仿宋_GB2312"/>
          <w:sz w:val="32"/>
          <w:szCs w:val="32"/>
          <w:lang w:val="en-US" w:eastAsia="zh-CN"/>
        </w:rPr>
        <w:t>.38</w:t>
      </w:r>
      <w:r>
        <w:rPr>
          <w:rFonts w:hint="eastAsia" w:cs="仿宋_GB2312"/>
          <w:sz w:val="32"/>
          <w:szCs w:val="32"/>
        </w:rPr>
        <w:t>分，自评得分2</w:t>
      </w:r>
      <w:r>
        <w:rPr>
          <w:rFonts w:hint="eastAsia" w:cs="仿宋_GB2312"/>
          <w:sz w:val="32"/>
          <w:szCs w:val="32"/>
          <w:lang w:val="en-US" w:eastAsia="zh-CN"/>
        </w:rPr>
        <w:t>.38</w:t>
      </w:r>
      <w:r>
        <w:rPr>
          <w:rFonts w:hint="eastAsia" w:cs="仿宋_GB2312"/>
          <w:sz w:val="32"/>
          <w:szCs w:val="32"/>
        </w:rPr>
        <w:t>分，得分率为100%。</w:t>
      </w:r>
    </w:p>
    <w:p w14:paraId="4186FDB2">
      <w:pPr>
        <w:ind w:firstLine="560"/>
        <w:outlineLvl w:val="3"/>
        <w:rPr>
          <w:rFonts w:hAnsi="宋体"/>
          <w:sz w:val="32"/>
          <w:szCs w:val="32"/>
        </w:rPr>
      </w:pPr>
      <w:r>
        <w:rPr>
          <w:rFonts w:hint="eastAsia" w:hAnsi="宋体"/>
          <w:b/>
          <w:bCs/>
          <w:sz w:val="32"/>
          <w:szCs w:val="32"/>
        </w:rPr>
        <w:t>（2）部门效果目标</w:t>
      </w:r>
    </w:p>
    <w:p w14:paraId="6786F327">
      <w:pPr>
        <w:ind w:firstLine="560"/>
        <w:rPr>
          <w:rFonts w:cs="仿宋_GB2312"/>
          <w:b/>
          <w:bCs/>
          <w:spacing w:val="4"/>
          <w:sz w:val="32"/>
          <w:szCs w:val="32"/>
        </w:rPr>
      </w:pPr>
      <w:r>
        <w:rPr>
          <w:rFonts w:hint="eastAsia" w:cs="仿宋_GB2312"/>
          <w:sz w:val="32"/>
          <w:szCs w:val="32"/>
        </w:rPr>
        <w:t>部门效果指标分值</w:t>
      </w:r>
      <w:r>
        <w:rPr>
          <w:rFonts w:hint="eastAsia" w:cs="仿宋_GB2312"/>
          <w:sz w:val="32"/>
          <w:szCs w:val="32"/>
          <w:lang w:val="en-US" w:eastAsia="zh-CN"/>
        </w:rPr>
        <w:t>9.52</w:t>
      </w:r>
      <w:r>
        <w:rPr>
          <w:rFonts w:hint="eastAsia" w:cs="仿宋_GB2312"/>
          <w:sz w:val="32"/>
          <w:szCs w:val="32"/>
        </w:rPr>
        <w:t>分，自评得分</w:t>
      </w:r>
      <w:r>
        <w:rPr>
          <w:rFonts w:hint="eastAsia" w:cs="仿宋_GB2312"/>
          <w:sz w:val="32"/>
          <w:szCs w:val="32"/>
          <w:lang w:val="en-US" w:eastAsia="zh-CN"/>
        </w:rPr>
        <w:t>9.41</w:t>
      </w:r>
      <w:r>
        <w:rPr>
          <w:rFonts w:hint="eastAsia" w:cs="仿宋_GB2312"/>
          <w:sz w:val="32"/>
          <w:szCs w:val="32"/>
        </w:rPr>
        <w:t>分，得分率为</w:t>
      </w:r>
      <w:r>
        <w:rPr>
          <w:rFonts w:hint="eastAsia" w:cs="仿宋_GB2312"/>
          <w:sz w:val="32"/>
          <w:szCs w:val="32"/>
          <w:lang w:val="en-US" w:eastAsia="zh-CN"/>
        </w:rPr>
        <w:t>98.84</w:t>
      </w:r>
      <w:r>
        <w:rPr>
          <w:rFonts w:hint="eastAsia" w:cs="仿宋_GB2312"/>
          <w:sz w:val="32"/>
          <w:szCs w:val="32"/>
        </w:rPr>
        <w:t>%。</w:t>
      </w:r>
    </w:p>
    <w:p w14:paraId="042578A2">
      <w:pPr>
        <w:ind w:firstLine="560"/>
        <w:rPr>
          <w:rFonts w:hint="eastAsia" w:ascii="仿宋_GB2312" w:hAnsi="仿宋_GB2312" w:eastAsia="仿宋_GB2312" w:cs="仿宋_GB2312"/>
          <w:kern w:val="2"/>
          <w:sz w:val="32"/>
          <w:szCs w:val="32"/>
          <w:lang w:val="en-US" w:eastAsia="zh-CN" w:bidi="ar-SA"/>
        </w:rPr>
      </w:pPr>
      <w:r>
        <w:rPr>
          <w:rFonts w:hint="eastAsia" w:cs="仿宋_GB2312"/>
          <w:b/>
          <w:bCs/>
          <w:sz w:val="32"/>
          <w:szCs w:val="32"/>
        </w:rPr>
        <w:t>执行标的到位率：</w:t>
      </w:r>
      <w:r>
        <w:rPr>
          <w:rFonts w:hint="eastAsia" w:cs="仿宋_GB2312"/>
          <w:b w:val="0"/>
          <w:bCs w:val="0"/>
          <w:sz w:val="32"/>
          <w:szCs w:val="32"/>
          <w:lang w:val="en-US" w:eastAsia="zh-CN"/>
        </w:rPr>
        <w:t>我院</w:t>
      </w:r>
      <w:r>
        <w:rPr>
          <w:rFonts w:hint="eastAsia" w:ascii="仿宋_GB2312" w:hAnsi="仿宋_GB2312" w:eastAsia="仿宋_GB2312" w:cs="仿宋_GB2312"/>
          <w:kern w:val="2"/>
          <w:sz w:val="32"/>
          <w:szCs w:val="32"/>
          <w:lang w:val="en-US" w:eastAsia="zh-CN" w:bidi="ar-SA"/>
        </w:rPr>
        <w:t>积极防范和化解金融风险。树牢防范化解金融风险的大局意识，充分研判形势，全力推进涉金融案件审判执行工作。充分发挥非诉机制优势，指导成立金融行业调委会并实体化运行，年内，全年共受理涉金融纠纷诉讼案件540件，已结540件，审结率100%，申请执行374件，执行清收到位1.22亿元。发出支付令20件，清收标的136.93万元，保障金融业持续健康发展。该指标分值2</w:t>
      </w:r>
      <w:r>
        <w:rPr>
          <w:rFonts w:hint="eastAsia" w:cs="仿宋_GB2312"/>
          <w:kern w:val="2"/>
          <w:sz w:val="32"/>
          <w:szCs w:val="32"/>
          <w:lang w:val="en-US" w:eastAsia="zh-CN" w:bidi="ar-SA"/>
        </w:rPr>
        <w:t>.38</w:t>
      </w:r>
      <w:r>
        <w:rPr>
          <w:rFonts w:hint="eastAsia" w:ascii="仿宋_GB2312" w:hAnsi="仿宋_GB2312" w:eastAsia="仿宋_GB2312" w:cs="仿宋_GB2312"/>
          <w:kern w:val="2"/>
          <w:sz w:val="32"/>
          <w:szCs w:val="32"/>
          <w:lang w:val="en-US" w:eastAsia="zh-CN" w:bidi="ar-SA"/>
        </w:rPr>
        <w:t>分，自评得分</w:t>
      </w:r>
      <w:r>
        <w:rPr>
          <w:rFonts w:hint="eastAsia" w:cs="仿宋_GB2312"/>
          <w:kern w:val="2"/>
          <w:sz w:val="32"/>
          <w:szCs w:val="32"/>
          <w:lang w:val="en-US" w:eastAsia="zh-CN" w:bidi="ar-SA"/>
        </w:rPr>
        <w:t>2.27</w:t>
      </w:r>
      <w:r>
        <w:rPr>
          <w:rFonts w:hint="eastAsia" w:ascii="仿宋_GB2312" w:hAnsi="仿宋_GB2312" w:eastAsia="仿宋_GB2312" w:cs="仿宋_GB2312"/>
          <w:kern w:val="2"/>
          <w:sz w:val="32"/>
          <w:szCs w:val="32"/>
          <w:lang w:val="en-US" w:eastAsia="zh-CN" w:bidi="ar-SA"/>
        </w:rPr>
        <w:t>分，得分率为</w:t>
      </w:r>
      <w:r>
        <w:rPr>
          <w:rFonts w:hint="eastAsia" w:cs="仿宋_GB2312"/>
          <w:kern w:val="2"/>
          <w:sz w:val="32"/>
          <w:szCs w:val="32"/>
          <w:lang w:val="en-US" w:eastAsia="zh-CN" w:bidi="ar-SA"/>
        </w:rPr>
        <w:t>95.38</w:t>
      </w:r>
      <w:r>
        <w:rPr>
          <w:rFonts w:hint="eastAsia" w:ascii="仿宋_GB2312" w:hAnsi="仿宋_GB2312" w:eastAsia="仿宋_GB2312" w:cs="仿宋_GB2312"/>
          <w:kern w:val="2"/>
          <w:sz w:val="32"/>
          <w:szCs w:val="32"/>
          <w:lang w:val="en-US" w:eastAsia="zh-CN" w:bidi="ar-SA"/>
        </w:rPr>
        <w:t>%。</w:t>
      </w:r>
    </w:p>
    <w:p w14:paraId="7A00C4A3">
      <w:pPr>
        <w:ind w:firstLine="560"/>
        <w:rPr>
          <w:rFonts w:hint="eastAsia" w:cs="仿宋_GB2312"/>
          <w:b/>
          <w:bCs/>
          <w:color w:val="auto"/>
          <w:sz w:val="32"/>
          <w:szCs w:val="32"/>
          <w:highlight w:val="none"/>
          <w:lang w:eastAsia="zh-CN"/>
        </w:rPr>
      </w:pPr>
      <w:r>
        <w:rPr>
          <w:rFonts w:hint="eastAsia" w:cs="仿宋_GB2312"/>
          <w:b/>
          <w:bCs/>
          <w:color w:val="auto"/>
          <w:sz w:val="32"/>
          <w:szCs w:val="32"/>
          <w:highlight w:val="none"/>
        </w:rPr>
        <w:t>当庭宣判率</w:t>
      </w:r>
      <w:r>
        <w:rPr>
          <w:rFonts w:hint="eastAsia" w:cs="仿宋_GB2312"/>
          <w:b/>
          <w:bCs/>
          <w:color w:val="auto"/>
          <w:sz w:val="32"/>
          <w:szCs w:val="32"/>
          <w:highlight w:val="none"/>
          <w:lang w:eastAsia="zh-CN"/>
        </w:rPr>
        <w:t>：</w:t>
      </w:r>
      <w:r>
        <w:rPr>
          <w:rFonts w:hint="eastAsia" w:cs="仿宋_GB2312"/>
          <w:color w:val="auto"/>
          <w:sz w:val="32"/>
          <w:szCs w:val="32"/>
        </w:rPr>
        <w:t>年度目标≥</w:t>
      </w:r>
      <w:r>
        <w:rPr>
          <w:rFonts w:hint="eastAsia" w:cs="仿宋_GB2312"/>
          <w:color w:val="auto"/>
          <w:sz w:val="32"/>
          <w:szCs w:val="32"/>
          <w:lang w:val="en-US" w:eastAsia="zh-CN"/>
        </w:rPr>
        <w:t>80</w:t>
      </w:r>
      <w:r>
        <w:rPr>
          <w:rFonts w:hint="eastAsia" w:cs="仿宋_GB2312"/>
          <w:color w:val="auto"/>
          <w:sz w:val="32"/>
          <w:szCs w:val="32"/>
        </w:rPr>
        <w:t>%，实际完成</w:t>
      </w:r>
      <w:r>
        <w:rPr>
          <w:rFonts w:hint="eastAsia" w:cs="仿宋_GB2312"/>
          <w:color w:val="auto"/>
          <w:sz w:val="32"/>
          <w:szCs w:val="32"/>
          <w:lang w:val="en-US" w:eastAsia="zh-CN"/>
        </w:rPr>
        <w:t>92.5</w:t>
      </w:r>
      <w:r>
        <w:rPr>
          <w:rFonts w:hint="eastAsia" w:cs="仿宋_GB2312"/>
          <w:color w:val="auto"/>
          <w:sz w:val="32"/>
          <w:szCs w:val="32"/>
        </w:rPr>
        <w:t>%，该指标分值2</w:t>
      </w:r>
      <w:r>
        <w:rPr>
          <w:rFonts w:hint="eastAsia" w:cs="仿宋_GB2312"/>
          <w:color w:val="auto"/>
          <w:sz w:val="32"/>
          <w:szCs w:val="32"/>
          <w:lang w:val="en-US" w:eastAsia="zh-CN"/>
        </w:rPr>
        <w:t>.38</w:t>
      </w:r>
      <w:r>
        <w:rPr>
          <w:rFonts w:hint="eastAsia" w:cs="仿宋_GB2312"/>
          <w:color w:val="auto"/>
          <w:sz w:val="32"/>
          <w:szCs w:val="32"/>
        </w:rPr>
        <w:t>分，自评得分2</w:t>
      </w:r>
      <w:r>
        <w:rPr>
          <w:rFonts w:hint="eastAsia" w:cs="仿宋_GB2312"/>
          <w:color w:val="auto"/>
          <w:sz w:val="32"/>
          <w:szCs w:val="32"/>
          <w:lang w:val="en-US" w:eastAsia="zh-CN"/>
        </w:rPr>
        <w:t>.38</w:t>
      </w:r>
      <w:r>
        <w:rPr>
          <w:rFonts w:hint="eastAsia" w:cs="仿宋_GB2312"/>
          <w:color w:val="auto"/>
          <w:sz w:val="32"/>
          <w:szCs w:val="32"/>
        </w:rPr>
        <w:t>分，得分率为</w:t>
      </w:r>
      <w:r>
        <w:rPr>
          <w:rFonts w:hint="eastAsia" w:cs="仿宋_GB2312"/>
          <w:color w:val="auto"/>
          <w:sz w:val="32"/>
          <w:szCs w:val="32"/>
          <w:lang w:val="en-US" w:eastAsia="zh-CN"/>
        </w:rPr>
        <w:t>100</w:t>
      </w:r>
      <w:r>
        <w:rPr>
          <w:rFonts w:hint="eastAsia" w:cs="仿宋_GB2312"/>
          <w:color w:val="auto"/>
          <w:sz w:val="32"/>
          <w:szCs w:val="32"/>
        </w:rPr>
        <w:t>%。</w:t>
      </w:r>
    </w:p>
    <w:p w14:paraId="5CA09802">
      <w:pPr>
        <w:ind w:firstLine="560"/>
        <w:rPr>
          <w:rFonts w:hint="eastAsia" w:cs="仿宋_GB2312"/>
          <w:b/>
          <w:bCs/>
          <w:color w:val="auto"/>
          <w:sz w:val="32"/>
          <w:szCs w:val="32"/>
          <w:highlight w:val="none"/>
          <w:lang w:eastAsia="zh-CN"/>
        </w:rPr>
      </w:pPr>
      <w:r>
        <w:rPr>
          <w:rFonts w:hint="eastAsia" w:cs="仿宋_GB2312"/>
          <w:b/>
          <w:bCs/>
          <w:color w:val="auto"/>
          <w:sz w:val="32"/>
          <w:szCs w:val="32"/>
          <w:highlight w:val="none"/>
          <w:lang w:eastAsia="zh-CN"/>
        </w:rPr>
        <w:t>案件调撤率：</w:t>
      </w:r>
      <w:r>
        <w:rPr>
          <w:rFonts w:hint="eastAsia" w:cs="仿宋_GB2312"/>
          <w:color w:val="auto"/>
          <w:sz w:val="32"/>
          <w:szCs w:val="32"/>
        </w:rPr>
        <w:t>年度目标≥</w:t>
      </w:r>
      <w:r>
        <w:rPr>
          <w:rFonts w:hint="eastAsia" w:cs="仿宋_GB2312"/>
          <w:color w:val="auto"/>
          <w:sz w:val="32"/>
          <w:szCs w:val="32"/>
          <w:lang w:val="en-US" w:eastAsia="zh-CN"/>
        </w:rPr>
        <w:t>50</w:t>
      </w:r>
      <w:r>
        <w:rPr>
          <w:rFonts w:hint="eastAsia" w:cs="仿宋_GB2312"/>
          <w:color w:val="auto"/>
          <w:sz w:val="32"/>
          <w:szCs w:val="32"/>
        </w:rPr>
        <w:t>%，实际完成</w:t>
      </w:r>
      <w:r>
        <w:rPr>
          <w:rFonts w:hint="eastAsia" w:cs="仿宋_GB2312"/>
          <w:color w:val="auto"/>
          <w:sz w:val="32"/>
          <w:szCs w:val="32"/>
          <w:lang w:val="en-US" w:eastAsia="zh-CN"/>
        </w:rPr>
        <w:t>63.38</w:t>
      </w:r>
      <w:r>
        <w:rPr>
          <w:rFonts w:hint="eastAsia" w:cs="仿宋_GB2312"/>
          <w:color w:val="auto"/>
          <w:sz w:val="32"/>
          <w:szCs w:val="32"/>
        </w:rPr>
        <w:t>%，该指标分值2</w:t>
      </w:r>
      <w:r>
        <w:rPr>
          <w:rFonts w:hint="eastAsia" w:cs="仿宋_GB2312"/>
          <w:color w:val="auto"/>
          <w:sz w:val="32"/>
          <w:szCs w:val="32"/>
          <w:lang w:val="en-US" w:eastAsia="zh-CN"/>
        </w:rPr>
        <w:t>.38</w:t>
      </w:r>
      <w:r>
        <w:rPr>
          <w:rFonts w:hint="eastAsia" w:cs="仿宋_GB2312"/>
          <w:color w:val="auto"/>
          <w:sz w:val="32"/>
          <w:szCs w:val="32"/>
        </w:rPr>
        <w:t>分，自评得分2</w:t>
      </w:r>
      <w:r>
        <w:rPr>
          <w:rFonts w:hint="eastAsia" w:cs="仿宋_GB2312"/>
          <w:color w:val="auto"/>
          <w:sz w:val="32"/>
          <w:szCs w:val="32"/>
          <w:lang w:val="en-US" w:eastAsia="zh-CN"/>
        </w:rPr>
        <w:t>.38</w:t>
      </w:r>
      <w:r>
        <w:rPr>
          <w:rFonts w:hint="eastAsia" w:cs="仿宋_GB2312"/>
          <w:color w:val="auto"/>
          <w:sz w:val="32"/>
          <w:szCs w:val="32"/>
        </w:rPr>
        <w:t>分，得分率为</w:t>
      </w:r>
      <w:r>
        <w:rPr>
          <w:rFonts w:hint="eastAsia" w:cs="仿宋_GB2312"/>
          <w:color w:val="auto"/>
          <w:sz w:val="32"/>
          <w:szCs w:val="32"/>
          <w:lang w:val="en-US" w:eastAsia="zh-CN"/>
        </w:rPr>
        <w:t>100</w:t>
      </w:r>
      <w:r>
        <w:rPr>
          <w:rFonts w:hint="eastAsia" w:cs="仿宋_GB2312"/>
          <w:color w:val="auto"/>
          <w:sz w:val="32"/>
          <w:szCs w:val="32"/>
        </w:rPr>
        <w:t>%。</w:t>
      </w:r>
    </w:p>
    <w:p w14:paraId="2F0FB915">
      <w:pPr>
        <w:ind w:firstLine="560"/>
        <w:rPr>
          <w:rFonts w:cs="仿宋_GB2312"/>
          <w:b/>
          <w:bCs/>
          <w:color w:val="auto"/>
          <w:sz w:val="32"/>
          <w:szCs w:val="32"/>
          <w:highlight w:val="none"/>
        </w:rPr>
      </w:pPr>
      <w:r>
        <w:rPr>
          <w:rFonts w:hint="eastAsia" w:cs="仿宋_GB2312"/>
          <w:b/>
          <w:bCs/>
          <w:color w:val="auto"/>
          <w:sz w:val="32"/>
          <w:szCs w:val="32"/>
          <w:highlight w:val="none"/>
        </w:rPr>
        <w:t>人民法制意识增强：</w:t>
      </w:r>
      <w:r>
        <w:rPr>
          <w:rFonts w:hint="eastAsia" w:ascii="仿宋_GB2312" w:hAnsi="仿宋_GB2312" w:eastAsia="仿宋_GB2312" w:cs="仿宋_GB2312"/>
          <w:sz w:val="32"/>
          <w:szCs w:val="32"/>
          <w:highlight w:val="none"/>
        </w:rPr>
        <w:t>遵循</w:t>
      </w:r>
      <w:r>
        <w:rPr>
          <w:rFonts w:hint="eastAsia" w:ascii="仿宋_GB2312" w:hAnsi="仿宋_GB2312" w:eastAsia="仿宋_GB2312" w:cs="仿宋_GB2312"/>
          <w:sz w:val="32"/>
          <w:szCs w:val="32"/>
        </w:rPr>
        <w:t>内涵式、集约化发展思路，持续升级优化诉讼服务中心服务功能，引入智能导诉，实现诉讼咨询、网上立案、自助缴费等业务一网通办，让群众进一个场所，在一个</w:t>
      </w:r>
      <w:r>
        <w:rPr>
          <w:rFonts w:hint="eastAsia" w:ascii="仿宋_GB2312" w:hAnsi="仿宋_GB2312" w:eastAsia="仿宋_GB2312" w:cs="仿宋_GB2312"/>
          <w:sz w:val="32"/>
          <w:szCs w:val="32"/>
          <w:highlight w:val="none"/>
        </w:rPr>
        <w:t>平台就能一站式办理全部诉讼业务，案件当场立案率</w:t>
      </w:r>
      <w:r>
        <w:rPr>
          <w:rStyle w:val="47"/>
          <w:rFonts w:ascii="Times New Roman" w:hAnsi="Times New Roman" w:eastAsia="仿宋_GB2312"/>
          <w:sz w:val="32"/>
          <w:szCs w:val="32"/>
          <w:highlight w:val="none"/>
        </w:rPr>
        <w:t>100</w:t>
      </w:r>
      <w:r>
        <w:rPr>
          <w:rStyle w:val="47"/>
          <w:rFonts w:hint="eastAsia" w:ascii="Times New Roman" w:hAnsi="Times New Roman" w:eastAsia="仿宋_GB2312"/>
          <w:sz w:val="32"/>
          <w:szCs w:val="32"/>
          <w:highlight w:val="none"/>
        </w:rPr>
        <w:t>%</w:t>
      </w:r>
      <w:r>
        <w:rPr>
          <w:rFonts w:hint="eastAsia" w:hAnsi="宋体"/>
          <w:color w:val="auto"/>
          <w:sz w:val="32"/>
          <w:szCs w:val="32"/>
          <w:highlight w:val="none"/>
        </w:rPr>
        <w:t>。该指标分值</w:t>
      </w:r>
      <w:r>
        <w:rPr>
          <w:rFonts w:hAnsi="宋体"/>
          <w:color w:val="auto"/>
          <w:sz w:val="32"/>
          <w:szCs w:val="32"/>
          <w:highlight w:val="none"/>
        </w:rPr>
        <w:t>2</w:t>
      </w:r>
      <w:r>
        <w:rPr>
          <w:rFonts w:hint="eastAsia" w:hAnsi="宋体"/>
          <w:color w:val="auto"/>
          <w:sz w:val="32"/>
          <w:szCs w:val="32"/>
          <w:highlight w:val="none"/>
          <w:lang w:val="en-US" w:eastAsia="zh-CN"/>
        </w:rPr>
        <w:t>.38</w:t>
      </w:r>
      <w:r>
        <w:rPr>
          <w:rFonts w:hint="eastAsia" w:hAnsi="宋体"/>
          <w:color w:val="auto"/>
          <w:sz w:val="32"/>
          <w:szCs w:val="32"/>
          <w:highlight w:val="none"/>
        </w:rPr>
        <w:t>分，自评得分</w:t>
      </w:r>
      <w:r>
        <w:rPr>
          <w:rFonts w:hint="eastAsia" w:hAnsi="宋体"/>
          <w:color w:val="auto"/>
          <w:sz w:val="32"/>
          <w:szCs w:val="32"/>
          <w:highlight w:val="none"/>
          <w:lang w:val="en-US" w:eastAsia="zh-CN"/>
        </w:rPr>
        <w:t>2.38</w:t>
      </w:r>
      <w:r>
        <w:rPr>
          <w:rFonts w:hint="eastAsia" w:hAnsi="宋体"/>
          <w:color w:val="auto"/>
          <w:sz w:val="32"/>
          <w:szCs w:val="32"/>
          <w:highlight w:val="none"/>
        </w:rPr>
        <w:t>分，得分率为</w:t>
      </w:r>
      <w:r>
        <w:rPr>
          <w:rFonts w:hint="eastAsia" w:hAnsi="宋体"/>
          <w:color w:val="auto"/>
          <w:sz w:val="32"/>
          <w:szCs w:val="32"/>
          <w:highlight w:val="none"/>
          <w:lang w:val="en-US" w:eastAsia="zh-CN"/>
        </w:rPr>
        <w:t>100</w:t>
      </w:r>
      <w:r>
        <w:rPr>
          <w:rFonts w:hint="eastAsia" w:hAnsi="宋体"/>
          <w:color w:val="auto"/>
          <w:sz w:val="32"/>
          <w:szCs w:val="32"/>
          <w:highlight w:val="none"/>
        </w:rPr>
        <w:t>%。</w:t>
      </w:r>
    </w:p>
    <w:p w14:paraId="28F66090">
      <w:pPr>
        <w:ind w:firstLine="560"/>
        <w:rPr>
          <w:rFonts w:hint="eastAsia"/>
          <w:b/>
          <w:bCs/>
          <w:sz w:val="32"/>
          <w:szCs w:val="32"/>
          <w:highlight w:val="none"/>
          <w:lang w:val="en-US" w:eastAsia="zh-CN"/>
        </w:rPr>
      </w:pPr>
      <w:r>
        <w:rPr>
          <w:rFonts w:hint="eastAsia"/>
          <w:b/>
          <w:bCs/>
          <w:sz w:val="32"/>
          <w:szCs w:val="32"/>
          <w:highlight w:val="none"/>
          <w:lang w:val="en-US" w:eastAsia="zh-CN"/>
        </w:rPr>
        <w:t>（3）服务对象满意度</w:t>
      </w:r>
    </w:p>
    <w:p w14:paraId="5EEAAE51">
      <w:pPr>
        <w:ind w:firstLine="560"/>
        <w:rPr>
          <w:sz w:val="32"/>
          <w:szCs w:val="32"/>
          <w:highlight w:val="none"/>
        </w:rPr>
      </w:pPr>
      <w:r>
        <w:rPr>
          <w:rFonts w:hint="eastAsia" w:hAnsi="宋体"/>
          <w:sz w:val="32"/>
          <w:szCs w:val="32"/>
          <w:highlight w:val="none"/>
        </w:rPr>
        <w:t>服务对象满意度主要考察司法工作人员满意度</w:t>
      </w:r>
      <w:r>
        <w:rPr>
          <w:rFonts w:hint="eastAsia" w:hAnsi="宋体"/>
          <w:sz w:val="32"/>
          <w:szCs w:val="32"/>
          <w:highlight w:val="none"/>
          <w:lang w:val="en-US" w:eastAsia="zh-CN"/>
        </w:rPr>
        <w:t>和诉讼双方满意度</w:t>
      </w:r>
      <w:r>
        <w:rPr>
          <w:rFonts w:hint="eastAsia" w:hAnsi="宋体"/>
          <w:sz w:val="32"/>
          <w:szCs w:val="32"/>
          <w:highlight w:val="none"/>
        </w:rPr>
        <w:t>。</w:t>
      </w:r>
      <w:r>
        <w:rPr>
          <w:rFonts w:hAnsi="宋体"/>
          <w:sz w:val="32"/>
          <w:szCs w:val="32"/>
          <w:highlight w:val="none"/>
        </w:rPr>
        <w:t>该指标分值</w:t>
      </w:r>
      <w:r>
        <w:rPr>
          <w:rFonts w:hint="eastAsia" w:hAnsi="宋体"/>
          <w:sz w:val="32"/>
          <w:szCs w:val="32"/>
          <w:highlight w:val="none"/>
        </w:rPr>
        <w:t>10分，自评得分10分，得分率为100%。</w:t>
      </w:r>
    </w:p>
    <w:p w14:paraId="458D7A73">
      <w:pPr>
        <w:ind w:firstLine="560"/>
        <w:rPr>
          <w:sz w:val="32"/>
          <w:szCs w:val="32"/>
          <w:highlight w:val="none"/>
        </w:rPr>
      </w:pPr>
      <w:r>
        <w:rPr>
          <w:rFonts w:hint="eastAsia"/>
          <w:b/>
          <w:bCs/>
          <w:sz w:val="32"/>
          <w:szCs w:val="32"/>
          <w:highlight w:val="none"/>
        </w:rPr>
        <w:t>司法工作人员满意度：</w:t>
      </w:r>
      <w:r>
        <w:rPr>
          <w:rFonts w:hint="eastAsia"/>
          <w:sz w:val="32"/>
          <w:szCs w:val="32"/>
          <w:highlight w:val="none"/>
        </w:rPr>
        <w:t>2023年我院在案件的审判上，找准短板弱项，加强分析研判，查找原因症结，围绕审判存在的问题和短板，细化工作举措，层层压实责任，确保查漏补缺工作落实到位，保障工作人员办案质量要求和业务能力水平的提升，法院工作人员满意度为9</w:t>
      </w:r>
      <w:r>
        <w:rPr>
          <w:rFonts w:hint="eastAsia"/>
          <w:sz w:val="32"/>
          <w:szCs w:val="32"/>
          <w:highlight w:val="none"/>
          <w:lang w:val="en-US" w:eastAsia="zh-CN"/>
        </w:rPr>
        <w:t>5</w:t>
      </w:r>
      <w:r>
        <w:rPr>
          <w:rFonts w:hint="eastAsia"/>
          <w:sz w:val="32"/>
          <w:szCs w:val="32"/>
          <w:highlight w:val="none"/>
        </w:rPr>
        <w:t>%。该指标分值</w:t>
      </w:r>
      <w:r>
        <w:rPr>
          <w:rFonts w:hint="eastAsia"/>
          <w:sz w:val="32"/>
          <w:szCs w:val="32"/>
          <w:highlight w:val="none"/>
          <w:lang w:val="en-US" w:eastAsia="zh-CN"/>
        </w:rPr>
        <w:t>5</w:t>
      </w:r>
      <w:r>
        <w:rPr>
          <w:rFonts w:hint="eastAsia"/>
          <w:sz w:val="32"/>
          <w:szCs w:val="32"/>
          <w:highlight w:val="none"/>
        </w:rPr>
        <w:t>分，自评得分</w:t>
      </w:r>
      <w:r>
        <w:rPr>
          <w:rFonts w:hint="eastAsia"/>
          <w:sz w:val="32"/>
          <w:szCs w:val="32"/>
          <w:highlight w:val="none"/>
          <w:lang w:val="en-US" w:eastAsia="zh-CN"/>
        </w:rPr>
        <w:t>5</w:t>
      </w:r>
      <w:r>
        <w:rPr>
          <w:rFonts w:hint="eastAsia"/>
          <w:sz w:val="32"/>
          <w:szCs w:val="32"/>
          <w:highlight w:val="none"/>
        </w:rPr>
        <w:t>分，得分率为100%。</w:t>
      </w:r>
    </w:p>
    <w:p w14:paraId="1C28A2E6">
      <w:pPr>
        <w:ind w:firstLine="560"/>
        <w:rPr>
          <w:rFonts w:hint="eastAsia"/>
          <w:sz w:val="32"/>
          <w:szCs w:val="32"/>
          <w:highlight w:val="none"/>
        </w:rPr>
      </w:pPr>
      <w:r>
        <w:rPr>
          <w:rFonts w:hint="eastAsia"/>
          <w:b/>
          <w:bCs/>
          <w:sz w:val="32"/>
          <w:szCs w:val="32"/>
          <w:highlight w:val="none"/>
          <w:lang w:val="en-US" w:eastAsia="zh-CN"/>
        </w:rPr>
        <w:t>诉讼双方满意度：</w:t>
      </w:r>
      <w:r>
        <w:rPr>
          <w:rFonts w:hint="eastAsia"/>
          <w:sz w:val="32"/>
          <w:szCs w:val="32"/>
          <w:highlight w:val="none"/>
        </w:rPr>
        <w:t>我院依法审理各类案件，妥善化解矛盾纠纷和行政争议，</w:t>
      </w:r>
      <w:r>
        <w:rPr>
          <w:rFonts w:hint="eastAsia"/>
          <w:sz w:val="32"/>
          <w:szCs w:val="32"/>
          <w:highlight w:val="none"/>
          <w:lang w:val="en-US" w:eastAsia="zh-CN"/>
        </w:rPr>
        <w:t>维护了法院审判工作的有序开展，</w:t>
      </w:r>
      <w:r>
        <w:rPr>
          <w:rFonts w:hint="eastAsia"/>
          <w:sz w:val="32"/>
          <w:szCs w:val="32"/>
          <w:highlight w:val="none"/>
        </w:rPr>
        <w:t>积极保障人民群众生命财产安全，不断增强人民群众获得感、幸福感和安全感，减轻人民群众诉讼诉累，</w:t>
      </w:r>
      <w:r>
        <w:rPr>
          <w:rFonts w:hint="eastAsia"/>
          <w:sz w:val="32"/>
          <w:szCs w:val="32"/>
          <w:highlight w:val="none"/>
          <w:lang w:val="en-US" w:eastAsia="zh-CN"/>
        </w:rPr>
        <w:t>因此得到社会公众的好评，</w:t>
      </w:r>
      <w:r>
        <w:rPr>
          <w:rFonts w:hint="eastAsia"/>
          <w:sz w:val="32"/>
          <w:szCs w:val="32"/>
          <w:highlight w:val="none"/>
        </w:rPr>
        <w:t>满意度</w:t>
      </w:r>
      <w:r>
        <w:rPr>
          <w:rFonts w:hint="eastAsia"/>
          <w:sz w:val="32"/>
          <w:szCs w:val="32"/>
          <w:highlight w:val="none"/>
          <w:lang w:val="en-US" w:eastAsia="zh-CN"/>
        </w:rPr>
        <w:t>达到98</w:t>
      </w:r>
      <w:r>
        <w:rPr>
          <w:rFonts w:hint="eastAsia"/>
          <w:sz w:val="32"/>
          <w:szCs w:val="32"/>
          <w:highlight w:val="none"/>
        </w:rPr>
        <w:t>%。</w:t>
      </w:r>
    </w:p>
    <w:p w14:paraId="3929D595">
      <w:pPr>
        <w:ind w:firstLine="560"/>
        <w:rPr>
          <w:rFonts w:hint="eastAsia" w:hAnsi="宋体"/>
          <w:b/>
          <w:bCs/>
          <w:sz w:val="32"/>
          <w:szCs w:val="32"/>
          <w:highlight w:val="none"/>
        </w:rPr>
      </w:pPr>
      <w:r>
        <w:rPr>
          <w:rFonts w:hAnsi="宋体"/>
          <w:sz w:val="32"/>
          <w:szCs w:val="32"/>
          <w:highlight w:val="none"/>
        </w:rPr>
        <w:t>该指标分值</w:t>
      </w:r>
      <w:r>
        <w:rPr>
          <w:rFonts w:hint="eastAsia" w:hAnsi="宋体"/>
          <w:sz w:val="32"/>
          <w:szCs w:val="32"/>
          <w:highlight w:val="none"/>
          <w:lang w:val="en-US" w:eastAsia="zh-CN"/>
        </w:rPr>
        <w:t>5</w:t>
      </w:r>
      <w:r>
        <w:rPr>
          <w:rFonts w:hint="eastAsia" w:hAnsi="宋体"/>
          <w:sz w:val="32"/>
          <w:szCs w:val="32"/>
          <w:highlight w:val="none"/>
        </w:rPr>
        <w:t>分，</w:t>
      </w:r>
      <w:r>
        <w:rPr>
          <w:rFonts w:hint="eastAsia" w:ascii="仿宋_GB2312" w:hAnsi="宋体" w:eastAsia="仿宋_GB2312" w:cstheme="minorBidi"/>
          <w:kern w:val="2"/>
          <w:sz w:val="32"/>
          <w:szCs w:val="32"/>
          <w:highlight w:val="none"/>
          <w:lang w:val="en-US" w:eastAsia="zh-CN" w:bidi="ar-SA"/>
        </w:rPr>
        <w:t>自评得分</w:t>
      </w:r>
      <w:r>
        <w:rPr>
          <w:rFonts w:hint="eastAsia" w:hAnsi="宋体"/>
          <w:sz w:val="32"/>
          <w:szCs w:val="32"/>
          <w:highlight w:val="none"/>
          <w:lang w:val="en-US" w:eastAsia="zh-CN"/>
        </w:rPr>
        <w:t>5</w:t>
      </w:r>
      <w:r>
        <w:rPr>
          <w:rFonts w:hint="eastAsia" w:hAnsi="宋体"/>
          <w:sz w:val="32"/>
          <w:szCs w:val="32"/>
          <w:highlight w:val="none"/>
        </w:rPr>
        <w:t>分，得分率</w:t>
      </w:r>
      <w:r>
        <w:rPr>
          <w:rFonts w:hint="eastAsia" w:hAnsi="宋体"/>
          <w:sz w:val="32"/>
          <w:szCs w:val="32"/>
          <w:highlight w:val="none"/>
          <w:lang w:val="en-US" w:eastAsia="zh-CN"/>
        </w:rPr>
        <w:t>100</w:t>
      </w:r>
      <w:r>
        <w:rPr>
          <w:rFonts w:hint="eastAsia" w:hAnsi="宋体"/>
          <w:sz w:val="32"/>
          <w:szCs w:val="32"/>
          <w:highlight w:val="none"/>
        </w:rPr>
        <w:t>%。</w:t>
      </w:r>
    </w:p>
    <w:p w14:paraId="38025795">
      <w:pPr>
        <w:ind w:firstLine="560"/>
        <w:rPr>
          <w:rFonts w:hAnsi="宋体"/>
          <w:b/>
          <w:bCs/>
          <w:sz w:val="32"/>
          <w:szCs w:val="32"/>
        </w:rPr>
      </w:pPr>
      <w:r>
        <w:rPr>
          <w:rFonts w:hint="eastAsia" w:hAnsi="宋体"/>
          <w:b/>
          <w:bCs/>
          <w:sz w:val="32"/>
          <w:szCs w:val="32"/>
          <w:lang w:eastAsia="zh-CN"/>
        </w:rPr>
        <w:t>（</w:t>
      </w:r>
      <w:r>
        <w:rPr>
          <w:rFonts w:hint="eastAsia" w:hAnsi="宋体"/>
          <w:b/>
          <w:bCs/>
          <w:sz w:val="32"/>
          <w:szCs w:val="32"/>
          <w:lang w:val="en-US" w:eastAsia="zh-CN"/>
        </w:rPr>
        <w:t>4）</w:t>
      </w:r>
      <w:r>
        <w:rPr>
          <w:rFonts w:hint="eastAsia" w:hAnsi="宋体"/>
          <w:b/>
          <w:bCs/>
          <w:sz w:val="32"/>
          <w:szCs w:val="32"/>
        </w:rPr>
        <w:t>社会影响</w:t>
      </w:r>
    </w:p>
    <w:p w14:paraId="648CAC8E">
      <w:pPr>
        <w:ind w:firstLine="560"/>
        <w:rPr>
          <w:sz w:val="32"/>
          <w:szCs w:val="32"/>
        </w:rPr>
      </w:pPr>
      <w:r>
        <w:rPr>
          <w:rFonts w:hint="eastAsia"/>
          <w:sz w:val="32"/>
          <w:szCs w:val="32"/>
        </w:rPr>
        <w:t>社会影响指标分值4</w:t>
      </w:r>
      <w:r>
        <w:rPr>
          <w:rFonts w:hint="eastAsia"/>
          <w:sz w:val="32"/>
          <w:szCs w:val="32"/>
          <w:lang w:val="en-US" w:eastAsia="zh-CN"/>
        </w:rPr>
        <w:t>.76</w:t>
      </w:r>
      <w:r>
        <w:rPr>
          <w:rFonts w:hint="eastAsia"/>
          <w:sz w:val="32"/>
          <w:szCs w:val="32"/>
        </w:rPr>
        <w:t>分，自评得分4</w:t>
      </w:r>
      <w:r>
        <w:rPr>
          <w:rFonts w:hint="eastAsia"/>
          <w:sz w:val="32"/>
          <w:szCs w:val="32"/>
          <w:lang w:val="en-US" w:eastAsia="zh-CN"/>
        </w:rPr>
        <w:t>.76</w:t>
      </w:r>
      <w:r>
        <w:rPr>
          <w:rFonts w:hint="eastAsia"/>
          <w:sz w:val="32"/>
          <w:szCs w:val="32"/>
        </w:rPr>
        <w:t>分，得分率为100%。</w:t>
      </w:r>
    </w:p>
    <w:p w14:paraId="7E88D2EC">
      <w:pPr>
        <w:keepNext w:val="0"/>
        <w:keepLines w:val="0"/>
        <w:pageBreakBefore w:val="0"/>
        <w:widowControl w:val="0"/>
        <w:tabs>
          <w:tab w:val="left" w:pos="571"/>
          <w:tab w:val="left" w:pos="1680"/>
        </w:tabs>
        <w:kinsoku/>
        <w:wordWrap/>
        <w:overflowPunct/>
        <w:topLinePunct w:val="0"/>
        <w:autoSpaceDE/>
        <w:autoSpaceDN/>
        <w:bidi w:val="0"/>
        <w:adjustRightInd/>
        <w:snapToGrid/>
        <w:spacing w:line="576" w:lineRule="exact"/>
        <w:ind w:firstLine="643" w:firstLineChars="200"/>
        <w:rPr>
          <w:rFonts w:hint="eastAsia"/>
          <w:sz w:val="32"/>
          <w:szCs w:val="32"/>
        </w:rPr>
      </w:pPr>
      <w:r>
        <w:rPr>
          <w:rFonts w:hint="eastAsia" w:cs="仿宋_GB2312"/>
          <w:b/>
          <w:bCs/>
          <w:sz w:val="32"/>
          <w:szCs w:val="32"/>
        </w:rPr>
        <w:t>单位获奖情况：</w:t>
      </w:r>
      <w:r>
        <w:rPr>
          <w:rFonts w:hint="eastAsia"/>
          <w:sz w:val="32"/>
          <w:szCs w:val="32"/>
        </w:rPr>
        <w:t>2023年县人民法院审判质效管理指标进入全省法院第一方阵，被省委、省政府授予“省级文明单位”荣誉称号，党建工作受到最高人民法院第六巡回法庭高度肯定，队伍建设工作在全省法院作经验交流，高质量发展、优化营商环境工作分别荣获全县一等奖和三等奖等。该指标分值2</w:t>
      </w:r>
      <w:r>
        <w:rPr>
          <w:rFonts w:hint="eastAsia"/>
          <w:sz w:val="32"/>
          <w:szCs w:val="32"/>
          <w:lang w:val="en-US" w:eastAsia="zh-CN"/>
        </w:rPr>
        <w:t>.38</w:t>
      </w:r>
      <w:r>
        <w:rPr>
          <w:rFonts w:hint="eastAsia"/>
          <w:sz w:val="32"/>
          <w:szCs w:val="32"/>
        </w:rPr>
        <w:t>分，自评得分</w:t>
      </w:r>
      <w:r>
        <w:rPr>
          <w:rFonts w:hint="eastAsia"/>
          <w:sz w:val="32"/>
          <w:szCs w:val="32"/>
          <w:lang w:val="en-US" w:eastAsia="zh-CN"/>
        </w:rPr>
        <w:t>2.38</w:t>
      </w:r>
      <w:r>
        <w:rPr>
          <w:rFonts w:hint="eastAsia"/>
          <w:sz w:val="32"/>
          <w:szCs w:val="32"/>
        </w:rPr>
        <w:t>分，得分率为100%。</w:t>
      </w:r>
    </w:p>
    <w:p w14:paraId="38C70544">
      <w:pPr>
        <w:ind w:firstLine="560"/>
        <w:rPr>
          <w:rFonts w:hAnsi="宋体"/>
          <w:sz w:val="32"/>
          <w:szCs w:val="32"/>
        </w:rPr>
      </w:pPr>
      <w:r>
        <w:rPr>
          <w:rFonts w:hint="eastAsia"/>
          <w:b/>
          <w:bCs/>
          <w:sz w:val="32"/>
          <w:szCs w:val="32"/>
        </w:rPr>
        <w:t>违法违纪情况：</w:t>
      </w:r>
      <w:r>
        <w:rPr>
          <w:rFonts w:hint="eastAsia" w:hAnsi="宋体"/>
          <w:sz w:val="32"/>
          <w:szCs w:val="32"/>
          <w:lang w:eastAsia="zh-CN"/>
        </w:rPr>
        <w:t>2023</w:t>
      </w:r>
      <w:r>
        <w:rPr>
          <w:rFonts w:hAnsi="宋体"/>
          <w:sz w:val="32"/>
          <w:szCs w:val="32"/>
        </w:rPr>
        <w:t>年</w:t>
      </w:r>
      <w:r>
        <w:rPr>
          <w:rFonts w:hint="eastAsia" w:hAnsi="宋体"/>
          <w:sz w:val="32"/>
          <w:szCs w:val="32"/>
        </w:rPr>
        <w:t>我院</w:t>
      </w:r>
      <w:r>
        <w:rPr>
          <w:rFonts w:hAnsi="宋体"/>
          <w:sz w:val="32"/>
          <w:szCs w:val="32"/>
        </w:rPr>
        <w:t>未出现在国家层面督查或人大审计、监察等监督监察时发现问题被问责的情况</w:t>
      </w:r>
      <w:r>
        <w:rPr>
          <w:rFonts w:hint="eastAsia" w:hAnsi="宋体"/>
          <w:sz w:val="32"/>
          <w:szCs w:val="32"/>
        </w:rPr>
        <w:t>。</w:t>
      </w:r>
      <w:r>
        <w:rPr>
          <w:rFonts w:hint="eastAsia" w:cs="仿宋_GB2312"/>
          <w:sz w:val="32"/>
          <w:szCs w:val="32"/>
        </w:rPr>
        <w:t>该指标分值</w:t>
      </w:r>
      <w:r>
        <w:rPr>
          <w:rFonts w:hint="eastAsia" w:cs="仿宋_GB2312"/>
          <w:sz w:val="32"/>
          <w:szCs w:val="32"/>
          <w:lang w:val="en-US" w:eastAsia="zh-CN"/>
        </w:rPr>
        <w:t>2.38</w:t>
      </w:r>
      <w:r>
        <w:rPr>
          <w:rFonts w:hint="eastAsia" w:cs="仿宋_GB2312"/>
          <w:sz w:val="32"/>
          <w:szCs w:val="32"/>
        </w:rPr>
        <w:t>分，自评得分</w:t>
      </w:r>
      <w:r>
        <w:rPr>
          <w:rFonts w:hint="eastAsia" w:cs="仿宋_GB2312"/>
          <w:sz w:val="32"/>
          <w:szCs w:val="32"/>
          <w:lang w:val="en-US" w:eastAsia="zh-CN"/>
        </w:rPr>
        <w:t>2.38</w:t>
      </w:r>
      <w:r>
        <w:rPr>
          <w:rFonts w:hint="eastAsia" w:cs="仿宋_GB2312"/>
          <w:sz w:val="32"/>
          <w:szCs w:val="32"/>
        </w:rPr>
        <w:t>分，得分率为100%。</w:t>
      </w:r>
    </w:p>
    <w:p w14:paraId="77BD12BE">
      <w:pPr>
        <w:pStyle w:val="5"/>
        <w:ind w:firstLine="560"/>
        <w:rPr>
          <w:sz w:val="32"/>
          <w:szCs w:val="32"/>
        </w:rPr>
      </w:pPr>
      <w:bookmarkStart w:id="49" w:name="_Toc40046033"/>
      <w:r>
        <w:rPr>
          <w:rFonts w:hint="eastAsia"/>
          <w:sz w:val="32"/>
          <w:szCs w:val="32"/>
        </w:rPr>
        <w:t>4.能力建设</w:t>
      </w:r>
      <w:bookmarkEnd w:id="49"/>
    </w:p>
    <w:p w14:paraId="209265B8">
      <w:pPr>
        <w:ind w:firstLine="560"/>
        <w:rPr>
          <w:rFonts w:hAnsi="宋体"/>
          <w:sz w:val="32"/>
          <w:szCs w:val="32"/>
        </w:rPr>
      </w:pPr>
      <w:r>
        <w:rPr>
          <w:rFonts w:hint="eastAsia" w:hAnsi="宋体"/>
          <w:sz w:val="32"/>
          <w:szCs w:val="32"/>
        </w:rPr>
        <w:t>能力建设指标</w:t>
      </w:r>
      <w:r>
        <w:rPr>
          <w:rFonts w:hint="eastAsia"/>
          <w:sz w:val="32"/>
          <w:szCs w:val="32"/>
        </w:rPr>
        <w:t>分值10分，自评得分10分，得分率为100%。</w:t>
      </w:r>
    </w:p>
    <w:p w14:paraId="76A19472">
      <w:pPr>
        <w:ind w:firstLine="560"/>
        <w:rPr>
          <w:sz w:val="32"/>
          <w:szCs w:val="32"/>
        </w:rPr>
      </w:pPr>
      <w:r>
        <w:rPr>
          <w:rFonts w:hint="eastAsia" w:hAnsi="宋体"/>
          <w:b/>
          <w:bCs/>
          <w:sz w:val="32"/>
          <w:szCs w:val="32"/>
        </w:rPr>
        <w:t>中期规划建设完备程度：</w:t>
      </w:r>
      <w:r>
        <w:rPr>
          <w:rFonts w:hint="eastAsia" w:hAnsi="宋体"/>
          <w:sz w:val="32"/>
          <w:szCs w:val="32"/>
        </w:rPr>
        <w:t>我院中期规划完整清晰、内容全面可行，能够为未来的工作明确目标、方向和内容</w:t>
      </w:r>
      <w:r>
        <w:rPr>
          <w:rFonts w:hint="eastAsia"/>
          <w:sz w:val="32"/>
          <w:szCs w:val="32"/>
        </w:rPr>
        <w:t>。</w:t>
      </w:r>
      <w:r>
        <w:rPr>
          <w:rFonts w:hint="eastAsia" w:hAnsi="宋体"/>
          <w:sz w:val="32"/>
          <w:szCs w:val="32"/>
        </w:rPr>
        <w:t>该指标分值</w:t>
      </w:r>
      <w:r>
        <w:rPr>
          <w:rFonts w:hint="eastAsia" w:hAnsi="宋体"/>
          <w:sz w:val="32"/>
          <w:szCs w:val="32"/>
          <w:lang w:val="en-US" w:eastAsia="zh-CN"/>
        </w:rPr>
        <w:t>2</w:t>
      </w:r>
      <w:r>
        <w:rPr>
          <w:rFonts w:hint="eastAsia" w:hAnsi="宋体"/>
          <w:sz w:val="32"/>
          <w:szCs w:val="32"/>
        </w:rPr>
        <w:t>分，自评得分</w:t>
      </w:r>
      <w:r>
        <w:rPr>
          <w:rFonts w:hint="eastAsia" w:hAnsi="宋体"/>
          <w:sz w:val="32"/>
          <w:szCs w:val="32"/>
          <w:lang w:val="en-US" w:eastAsia="zh-CN"/>
        </w:rPr>
        <w:t>2</w:t>
      </w:r>
      <w:r>
        <w:rPr>
          <w:rFonts w:hint="eastAsia" w:hAnsi="宋体"/>
          <w:sz w:val="32"/>
          <w:szCs w:val="32"/>
        </w:rPr>
        <w:t>分，得分率为100%。</w:t>
      </w:r>
    </w:p>
    <w:p w14:paraId="3EE0A259">
      <w:pPr>
        <w:spacing w:line="600" w:lineRule="exact"/>
        <w:ind w:firstLine="643" w:firstLineChars="200"/>
        <w:textAlignment w:val="baseline"/>
        <w:rPr>
          <w:rFonts w:hint="eastAsia" w:hAnsi="宋体" w:eastAsia="仿宋_GB2312"/>
          <w:b w:val="0"/>
          <w:bCs w:val="0"/>
          <w:sz w:val="32"/>
          <w:szCs w:val="32"/>
          <w:lang w:eastAsia="zh-CN"/>
        </w:rPr>
      </w:pPr>
      <w:r>
        <w:rPr>
          <w:rFonts w:hint="eastAsia" w:hAnsi="宋体"/>
          <w:b/>
          <w:bCs/>
          <w:sz w:val="32"/>
          <w:szCs w:val="32"/>
        </w:rPr>
        <w:t>党建工作开展规律性</w:t>
      </w:r>
      <w:r>
        <w:rPr>
          <w:rFonts w:hint="eastAsia" w:hAnsi="宋体"/>
          <w:b/>
          <w:bCs/>
          <w:sz w:val="32"/>
          <w:szCs w:val="32"/>
          <w:lang w:eastAsia="zh-CN"/>
        </w:rPr>
        <w:t>：</w:t>
      </w:r>
      <w:r>
        <w:rPr>
          <w:rFonts w:hint="eastAsia" w:hAnsi="宋体"/>
          <w:sz w:val="32"/>
          <w:szCs w:val="32"/>
          <w:lang w:val="en-US" w:eastAsia="zh-CN"/>
        </w:rPr>
        <w:t>我院</w:t>
      </w:r>
      <w:r>
        <w:rPr>
          <w:rFonts w:hint="eastAsia" w:hAnsi="宋体"/>
          <w:sz w:val="32"/>
          <w:szCs w:val="32"/>
        </w:rPr>
        <w:t>坚持以习近平新时代中国特色社会主义思想和习近平法治思想为指导，全面贯彻落实党的二十大及二十届二中全会精神，紧紧围绕“公正与效率”工作主题，坚持系统观念、一体抓实，推动党建引领与审判工作深度融合，服务大局与执法办案高效推进，审判管理与审判质效协同发展，司法作风与公正司法相互促进，为全县各项社会事业高质量发展提供坚强有力司法保障</w:t>
      </w:r>
      <w:r>
        <w:rPr>
          <w:rFonts w:hint="eastAsia" w:hAnsi="宋体"/>
          <w:b w:val="0"/>
          <w:bCs w:val="0"/>
          <w:sz w:val="32"/>
          <w:szCs w:val="32"/>
          <w:lang w:eastAsia="zh-CN"/>
        </w:rPr>
        <w:t>。</w:t>
      </w:r>
      <w:r>
        <w:rPr>
          <w:rFonts w:hint="eastAsia" w:hAnsi="宋体"/>
          <w:sz w:val="32"/>
          <w:szCs w:val="32"/>
        </w:rPr>
        <w:t>该指标分值</w:t>
      </w:r>
      <w:r>
        <w:rPr>
          <w:rFonts w:hint="eastAsia" w:hAnsi="宋体"/>
          <w:sz w:val="32"/>
          <w:szCs w:val="32"/>
          <w:lang w:val="en-US" w:eastAsia="zh-CN"/>
        </w:rPr>
        <w:t>2</w:t>
      </w:r>
      <w:r>
        <w:rPr>
          <w:rFonts w:hint="eastAsia" w:hAnsi="宋体"/>
          <w:sz w:val="32"/>
          <w:szCs w:val="32"/>
        </w:rPr>
        <w:t>分，自评得分</w:t>
      </w:r>
      <w:r>
        <w:rPr>
          <w:rFonts w:hint="eastAsia" w:hAnsi="宋体"/>
          <w:sz w:val="32"/>
          <w:szCs w:val="32"/>
          <w:lang w:val="en-US" w:eastAsia="zh-CN"/>
        </w:rPr>
        <w:t>2</w:t>
      </w:r>
      <w:r>
        <w:rPr>
          <w:rFonts w:hint="eastAsia" w:hAnsi="宋体"/>
          <w:sz w:val="32"/>
          <w:szCs w:val="32"/>
        </w:rPr>
        <w:t>分，得分率100%。</w:t>
      </w:r>
    </w:p>
    <w:p w14:paraId="39C368CA">
      <w:pPr>
        <w:ind w:firstLine="562"/>
        <w:rPr>
          <w:rFonts w:hint="eastAsia" w:hAnsi="宋体"/>
          <w:b w:val="0"/>
          <w:bCs w:val="0"/>
          <w:sz w:val="32"/>
          <w:szCs w:val="32"/>
          <w:lang w:eastAsia="zh-CN"/>
        </w:rPr>
      </w:pPr>
      <w:r>
        <w:rPr>
          <w:rFonts w:hint="eastAsia" w:hAnsi="宋体"/>
          <w:b/>
          <w:bCs/>
          <w:sz w:val="32"/>
          <w:szCs w:val="32"/>
        </w:rPr>
        <w:t>信息化管理覆盖率</w:t>
      </w:r>
      <w:r>
        <w:rPr>
          <w:rFonts w:hint="eastAsia" w:hAnsi="宋体"/>
          <w:b/>
          <w:bCs/>
          <w:sz w:val="32"/>
          <w:szCs w:val="32"/>
          <w:lang w:eastAsia="zh-CN"/>
        </w:rPr>
        <w:t>：</w:t>
      </w:r>
      <w:r>
        <w:rPr>
          <w:rFonts w:hint="eastAsia" w:hAnsi="宋体"/>
          <w:b w:val="0"/>
          <w:bCs w:val="0"/>
          <w:sz w:val="32"/>
          <w:szCs w:val="32"/>
          <w:lang w:val="en-US" w:eastAsia="zh-CN"/>
        </w:rPr>
        <w:t>我院</w:t>
      </w:r>
      <w:r>
        <w:rPr>
          <w:rFonts w:hint="eastAsia" w:hAnsi="宋体"/>
          <w:b w:val="0"/>
          <w:bCs w:val="0"/>
          <w:sz w:val="32"/>
          <w:szCs w:val="32"/>
          <w:lang w:eastAsia="zh-CN"/>
        </w:rPr>
        <w:t>加大智慧法院建设力度，进一步落实指尖化、电子化、自助化的诉讼服务模式，深度应用智慧法院建设成果，抓实数据分析与应用，为各审执条线工作提供精准高效的审判态势分析报告，以信息化推动审判智能化。该指标分值</w:t>
      </w:r>
      <w:r>
        <w:rPr>
          <w:rFonts w:hint="eastAsia" w:hAnsi="宋体"/>
          <w:b w:val="0"/>
          <w:bCs w:val="0"/>
          <w:sz w:val="32"/>
          <w:szCs w:val="32"/>
          <w:lang w:val="en-US" w:eastAsia="zh-CN"/>
        </w:rPr>
        <w:t>2</w:t>
      </w:r>
      <w:r>
        <w:rPr>
          <w:rFonts w:hint="eastAsia" w:hAnsi="宋体"/>
          <w:b w:val="0"/>
          <w:bCs w:val="0"/>
          <w:sz w:val="32"/>
          <w:szCs w:val="32"/>
          <w:lang w:eastAsia="zh-CN"/>
        </w:rPr>
        <w:t>分，自评得分</w:t>
      </w:r>
      <w:r>
        <w:rPr>
          <w:rFonts w:hint="eastAsia" w:hAnsi="宋体"/>
          <w:b w:val="0"/>
          <w:bCs w:val="0"/>
          <w:sz w:val="32"/>
          <w:szCs w:val="32"/>
          <w:lang w:val="en-US" w:eastAsia="zh-CN"/>
        </w:rPr>
        <w:t>2</w:t>
      </w:r>
      <w:r>
        <w:rPr>
          <w:rFonts w:hint="eastAsia" w:hAnsi="宋体"/>
          <w:b w:val="0"/>
          <w:bCs w:val="0"/>
          <w:sz w:val="32"/>
          <w:szCs w:val="32"/>
          <w:lang w:eastAsia="zh-CN"/>
        </w:rPr>
        <w:t>分，得分率100%。</w:t>
      </w:r>
    </w:p>
    <w:p w14:paraId="2F6F5A1F">
      <w:pPr>
        <w:ind w:firstLine="560"/>
        <w:rPr>
          <w:rFonts w:hAnsi="宋体"/>
          <w:sz w:val="32"/>
          <w:szCs w:val="32"/>
        </w:rPr>
      </w:pPr>
      <w:r>
        <w:rPr>
          <w:rFonts w:hint="eastAsia" w:hAnsi="宋体" w:cs="宋体"/>
          <w:b/>
          <w:bCs/>
          <w:kern w:val="0"/>
          <w:sz w:val="32"/>
          <w:szCs w:val="32"/>
        </w:rPr>
        <w:t>人员培训机制完备性：</w:t>
      </w:r>
      <w:r>
        <w:rPr>
          <w:rFonts w:hint="eastAsia" w:hAnsi="宋体"/>
          <w:sz w:val="32"/>
          <w:szCs w:val="32"/>
        </w:rPr>
        <w:t>我院高度重视人员能力的培养，在人员培训方面，严格展开培训活动，为法院的长期发展储备优秀人才，不断完善人员培训机制，积极加强干警业务能力水平的提升。该指标分值</w:t>
      </w:r>
      <w:r>
        <w:rPr>
          <w:rFonts w:hint="eastAsia" w:hAnsi="宋体"/>
          <w:sz w:val="32"/>
          <w:szCs w:val="32"/>
          <w:lang w:val="en-US" w:eastAsia="zh-CN"/>
        </w:rPr>
        <w:t>2</w:t>
      </w:r>
      <w:r>
        <w:rPr>
          <w:rFonts w:hint="eastAsia" w:hAnsi="宋体"/>
          <w:sz w:val="32"/>
          <w:szCs w:val="32"/>
        </w:rPr>
        <w:t>分，自评得分</w:t>
      </w:r>
      <w:r>
        <w:rPr>
          <w:rFonts w:hint="eastAsia" w:hAnsi="宋体"/>
          <w:sz w:val="32"/>
          <w:szCs w:val="32"/>
          <w:lang w:val="en-US" w:eastAsia="zh-CN"/>
        </w:rPr>
        <w:t>2</w:t>
      </w:r>
      <w:r>
        <w:rPr>
          <w:rFonts w:hint="eastAsia" w:hAnsi="宋体"/>
          <w:sz w:val="32"/>
          <w:szCs w:val="32"/>
        </w:rPr>
        <w:t>分，得分率为100%。</w:t>
      </w:r>
    </w:p>
    <w:p w14:paraId="07104D84">
      <w:pPr>
        <w:ind w:firstLine="560"/>
        <w:rPr>
          <w:sz w:val="32"/>
          <w:szCs w:val="32"/>
        </w:rPr>
      </w:pPr>
      <w:r>
        <w:rPr>
          <w:rFonts w:hint="eastAsia" w:hAnsi="宋体"/>
          <w:b/>
          <w:bCs/>
          <w:sz w:val="32"/>
          <w:szCs w:val="32"/>
        </w:rPr>
        <w:t>档案管理完备性：</w:t>
      </w:r>
      <w:r>
        <w:rPr>
          <w:rFonts w:hint="eastAsia" w:hAnsi="宋体"/>
          <w:sz w:val="32"/>
          <w:szCs w:val="32"/>
        </w:rPr>
        <w:t>我院严格规范和完善各项档案管理工作，在档案收集、保管方面管理到位，有效执行，并设有档案管理的专职人员，取得了良好的成效</w:t>
      </w:r>
      <w:r>
        <w:rPr>
          <w:rFonts w:hint="eastAsia"/>
          <w:sz w:val="32"/>
          <w:szCs w:val="32"/>
        </w:rPr>
        <w:t>。</w:t>
      </w:r>
      <w:r>
        <w:rPr>
          <w:rFonts w:hint="eastAsia" w:hAnsi="宋体"/>
          <w:sz w:val="32"/>
          <w:szCs w:val="32"/>
        </w:rPr>
        <w:t>该指标分值</w:t>
      </w:r>
      <w:r>
        <w:rPr>
          <w:rFonts w:hint="eastAsia" w:hAnsi="宋体"/>
          <w:sz w:val="32"/>
          <w:szCs w:val="32"/>
          <w:lang w:val="en-US" w:eastAsia="zh-CN"/>
        </w:rPr>
        <w:t>2</w:t>
      </w:r>
      <w:r>
        <w:rPr>
          <w:rFonts w:hint="eastAsia" w:hAnsi="宋体"/>
          <w:sz w:val="32"/>
          <w:szCs w:val="32"/>
        </w:rPr>
        <w:t>分，自评得分</w:t>
      </w:r>
      <w:r>
        <w:rPr>
          <w:rFonts w:hint="eastAsia" w:hAnsi="宋体"/>
          <w:sz w:val="32"/>
          <w:szCs w:val="32"/>
          <w:lang w:val="en-US" w:eastAsia="zh-CN"/>
        </w:rPr>
        <w:t>2</w:t>
      </w:r>
      <w:r>
        <w:rPr>
          <w:rFonts w:hint="eastAsia" w:hAnsi="宋体"/>
          <w:sz w:val="32"/>
          <w:szCs w:val="32"/>
        </w:rPr>
        <w:t>分，得分率为100%。</w:t>
      </w:r>
    </w:p>
    <w:p w14:paraId="629E2149">
      <w:pPr>
        <w:pStyle w:val="3"/>
        <w:spacing w:before="0" w:after="0"/>
        <w:ind w:firstLine="643"/>
      </w:pPr>
      <w:bookmarkStart w:id="50" w:name="_Toc16525"/>
      <w:bookmarkStart w:id="51" w:name="_Toc16731"/>
      <w:bookmarkStart w:id="52" w:name="_Toc3174"/>
      <w:bookmarkStart w:id="53" w:name="_Toc12311"/>
      <w:bookmarkStart w:id="54" w:name="_Toc40046035"/>
      <w:bookmarkStart w:id="55" w:name="_Toc12558"/>
      <w:r>
        <w:rPr>
          <w:rFonts w:hint="eastAsia"/>
        </w:rPr>
        <w:t>（四）偏离绩效目标的原因及下一步改进措施</w:t>
      </w:r>
      <w:bookmarkEnd w:id="50"/>
      <w:bookmarkEnd w:id="51"/>
      <w:bookmarkEnd w:id="52"/>
      <w:bookmarkEnd w:id="53"/>
      <w:bookmarkEnd w:id="54"/>
      <w:bookmarkEnd w:id="55"/>
    </w:p>
    <w:p w14:paraId="12668274">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bookmarkStart w:id="56" w:name="_Toc16890"/>
      <w:bookmarkStart w:id="57" w:name="_Toc2045"/>
      <w:bookmarkStart w:id="58" w:name="_Toc8740"/>
      <w:r>
        <w:rPr>
          <w:rFonts w:hint="eastAsia"/>
          <w:b/>
          <w:bCs/>
          <w:sz w:val="32"/>
          <w:szCs w:val="32"/>
        </w:rPr>
        <w:t>项目支出预算执行率较低。</w:t>
      </w:r>
      <w:r>
        <w:rPr>
          <w:rFonts w:hint="eastAsia" w:ascii="仿宋_GB2312" w:hAnsi="仿宋_GB2312" w:eastAsia="仿宋_GB2312" w:cs="仿宋_GB2312"/>
          <w:sz w:val="32"/>
          <w:szCs w:val="32"/>
          <w:highlight w:val="none"/>
          <w:lang w:val="en-US" w:eastAsia="zh-CN"/>
        </w:rPr>
        <w:t>项目支出预算执行率低。</w:t>
      </w:r>
      <w:r>
        <w:rPr>
          <w:rFonts w:hint="eastAsia" w:cs="仿宋_GB2312"/>
          <w:sz w:val="32"/>
          <w:szCs w:val="32"/>
          <w:highlight w:val="none"/>
          <w:lang w:val="en-US" w:eastAsia="zh-CN"/>
        </w:rPr>
        <w:t>项目</w:t>
      </w:r>
      <w:r>
        <w:rPr>
          <w:rFonts w:hint="eastAsia" w:ascii="仿宋_GB2312" w:hAnsi="仿宋_GB2312" w:eastAsia="仿宋_GB2312" w:cs="仿宋_GB2312"/>
          <w:sz w:val="32"/>
          <w:szCs w:val="32"/>
          <w:highlight w:val="none"/>
          <w:lang w:val="en-US" w:eastAsia="zh-CN"/>
        </w:rPr>
        <w:t>全年</w:t>
      </w:r>
      <w:r>
        <w:rPr>
          <w:rFonts w:hint="eastAsia" w:ascii="仿宋_GB2312" w:hAnsi="仿宋_GB2312" w:eastAsia="仿宋_GB2312" w:cs="仿宋_GB2312"/>
          <w:sz w:val="32"/>
          <w:szCs w:val="32"/>
          <w:highlight w:val="none"/>
        </w:rPr>
        <w:t>预算</w:t>
      </w:r>
      <w:r>
        <w:rPr>
          <w:rFonts w:hint="eastAsia" w:ascii="仿宋_GB2312" w:hAnsi="仿宋_GB2312" w:eastAsia="仿宋_GB2312" w:cs="仿宋_GB2312"/>
          <w:sz w:val="32"/>
          <w:szCs w:val="32"/>
          <w:highlight w:val="none"/>
          <w:lang w:val="en-US" w:eastAsia="zh-CN"/>
        </w:rPr>
        <w:t>数</w:t>
      </w:r>
      <w:r>
        <w:rPr>
          <w:rFonts w:hint="eastAsia" w:cs="仿宋_GB2312"/>
          <w:sz w:val="32"/>
          <w:szCs w:val="32"/>
          <w:highlight w:val="none"/>
          <w:lang w:val="en-US" w:eastAsia="zh-CN"/>
        </w:rPr>
        <w:t>947.05</w:t>
      </w:r>
      <w:r>
        <w:rPr>
          <w:rFonts w:hint="eastAsia" w:ascii="仿宋_GB2312" w:hAnsi="仿宋_GB2312" w:eastAsia="仿宋_GB2312" w:cs="仿宋_GB2312"/>
          <w:sz w:val="32"/>
          <w:szCs w:val="32"/>
          <w:highlight w:val="none"/>
        </w:rPr>
        <w:t>万元，全年支出</w:t>
      </w:r>
      <w:r>
        <w:rPr>
          <w:rFonts w:hint="eastAsia" w:cs="仿宋_GB2312"/>
          <w:sz w:val="32"/>
          <w:szCs w:val="32"/>
          <w:highlight w:val="none"/>
          <w:lang w:val="en-US" w:eastAsia="zh-CN"/>
        </w:rPr>
        <w:t>703.77</w:t>
      </w:r>
      <w:r>
        <w:rPr>
          <w:rFonts w:hint="eastAsia" w:ascii="仿宋_GB2312" w:hAnsi="仿宋_GB2312" w:eastAsia="仿宋_GB2312" w:cs="仿宋_GB2312"/>
          <w:sz w:val="32"/>
          <w:szCs w:val="32"/>
          <w:highlight w:val="none"/>
        </w:rPr>
        <w:t>万元，预算执行率</w:t>
      </w:r>
      <w:r>
        <w:rPr>
          <w:rFonts w:hint="eastAsia" w:cs="仿宋_GB2312"/>
          <w:sz w:val="32"/>
          <w:szCs w:val="32"/>
          <w:highlight w:val="none"/>
          <w:lang w:val="en-US" w:eastAsia="zh-CN"/>
        </w:rPr>
        <w:t>74.31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下年度将尽快推进项目实施，提高资金支付进度，减少资金结转。</w:t>
      </w:r>
    </w:p>
    <w:p w14:paraId="001C06AE">
      <w:pPr>
        <w:keepNext w:val="0"/>
        <w:keepLines w:val="0"/>
        <w:pageBreakBefore w:val="0"/>
        <w:widowControl w:val="0"/>
        <w:kinsoku/>
        <w:wordWrap/>
        <w:overflowPunct/>
        <w:topLinePunct w:val="0"/>
        <w:autoSpaceDE w:val="0"/>
        <w:autoSpaceDN w:val="0"/>
        <w:bidi w:val="0"/>
        <w:adjustRightInd/>
        <w:snapToGrid/>
        <w:textAlignment w:val="auto"/>
        <w:rPr>
          <w:rFonts w:hint="default" w:ascii="仿宋_GB2312" w:hAnsi="仿宋_GB2312" w:eastAsia="仿宋_GB2312" w:cs="仿宋_GB2312"/>
          <w:sz w:val="32"/>
          <w:szCs w:val="32"/>
          <w:highlight w:val="none"/>
          <w:lang w:val="en-US" w:eastAsia="zh-CN"/>
        </w:rPr>
      </w:pPr>
      <w:r>
        <w:rPr>
          <w:rFonts w:hint="eastAsia" w:cs="仿宋_GB2312"/>
          <w:b/>
          <w:bCs/>
          <w:sz w:val="32"/>
          <w:szCs w:val="32"/>
          <w:highlight w:val="none"/>
          <w:lang w:val="en-US" w:eastAsia="zh-CN"/>
        </w:rPr>
        <w:t>系统原因导致扣分：</w:t>
      </w:r>
      <w:r>
        <w:rPr>
          <w:rFonts w:hint="eastAsia" w:ascii="仿宋_GB2312" w:hAnsi="仿宋_GB2312" w:eastAsia="仿宋_GB2312" w:cs="仿宋_GB2312"/>
          <w:sz w:val="32"/>
          <w:szCs w:val="32"/>
          <w:highlight w:val="none"/>
          <w:lang w:val="en-US" w:eastAsia="zh-CN"/>
        </w:rPr>
        <w:t>改判率，年度目标&lt;=3%，实际完成2.15%</w:t>
      </w:r>
      <w:r>
        <w:rPr>
          <w:rFonts w:hint="eastAsia"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完成年度目标</w:t>
      </w:r>
      <w:r>
        <w:rPr>
          <w:rFonts w:hint="eastAsia"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立案变更率，年度目标&lt;=3%，实际完成0%。本年度无立案变更案件，完成年度目标，以上指标已完成年度目标，系统原因导致扣分。</w:t>
      </w:r>
    </w:p>
    <w:p w14:paraId="16AD46DF">
      <w:pPr>
        <w:pStyle w:val="2"/>
        <w:spacing w:before="0" w:after="0"/>
      </w:pPr>
      <w:bookmarkStart w:id="59" w:name="_Toc3835"/>
      <w:r>
        <w:rPr>
          <w:rFonts w:hint="eastAsia"/>
        </w:rPr>
        <w:t>四、部门预算项目支出绩效自评情况分析</w:t>
      </w:r>
      <w:bookmarkEnd w:id="56"/>
      <w:bookmarkEnd w:id="57"/>
      <w:bookmarkEnd w:id="58"/>
      <w:bookmarkEnd w:id="59"/>
    </w:p>
    <w:p w14:paraId="37FD41F8">
      <w:pPr>
        <w:ind w:firstLine="560"/>
        <w:rPr>
          <w:rFonts w:hAnsi="宋体"/>
          <w:szCs w:val="28"/>
        </w:rPr>
      </w:pPr>
      <w:r>
        <w:rPr>
          <w:rFonts w:hint="eastAsia" w:hAnsi="宋体"/>
          <w:sz w:val="32"/>
          <w:szCs w:val="32"/>
          <w:lang w:eastAsia="zh-CN"/>
        </w:rPr>
        <w:t>2023</w:t>
      </w:r>
      <w:r>
        <w:rPr>
          <w:rFonts w:hint="eastAsia" w:hAnsi="宋体"/>
          <w:sz w:val="32"/>
          <w:szCs w:val="32"/>
        </w:rPr>
        <w:t>年，我院预算支出项目为2个，通过自评，2个项目结果为“优”。分项目自评情况分析如下：</w:t>
      </w:r>
    </w:p>
    <w:p w14:paraId="0DBECC64">
      <w:pPr>
        <w:pStyle w:val="3"/>
        <w:keepNext/>
        <w:keepLines/>
        <w:pageBreakBefore w:val="0"/>
        <w:widowControl w:val="0"/>
        <w:kinsoku/>
        <w:wordWrap/>
        <w:overflowPunct/>
        <w:topLinePunct w:val="0"/>
        <w:autoSpaceDE w:val="0"/>
        <w:autoSpaceDN w:val="0"/>
        <w:bidi w:val="0"/>
        <w:adjustRightInd/>
        <w:snapToGrid/>
        <w:spacing w:line="560" w:lineRule="exact"/>
        <w:textAlignment w:val="auto"/>
        <w:rPr>
          <w:rFonts w:hint="eastAsia"/>
          <w:highlight w:val="none"/>
          <w:lang w:eastAsia="zh-CN"/>
        </w:rPr>
      </w:pPr>
      <w:bookmarkStart w:id="60" w:name="_Toc6107"/>
      <w:bookmarkStart w:id="61" w:name="_Toc397"/>
      <w:bookmarkStart w:id="62" w:name="_Toc7144"/>
      <w:bookmarkStart w:id="63" w:name="_Toc6252"/>
      <w:bookmarkStart w:id="64" w:name="_Toc40046065"/>
      <w:bookmarkStart w:id="65" w:name="_Toc32543"/>
      <w:bookmarkStart w:id="66" w:name="_Toc26665"/>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lang w:val="en-US" w:eastAsia="zh-CN"/>
        </w:rPr>
        <w:t>业务费</w:t>
      </w:r>
      <w:bookmarkEnd w:id="60"/>
      <w:bookmarkEnd w:id="61"/>
    </w:p>
    <w:p w14:paraId="5E8F51A7">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本次绩效自评综合评定</w:t>
      </w:r>
      <w:r>
        <w:rPr>
          <w:rFonts w:hint="eastAsia" w:ascii="仿宋_GB2312" w:hAnsi="仿宋_GB2312" w:cs="仿宋_GB2312"/>
          <w:sz w:val="32"/>
          <w:szCs w:val="32"/>
          <w:highlight w:val="none"/>
          <w:lang w:val="en-US" w:eastAsia="zh-CN"/>
        </w:rPr>
        <w:t>业务费项目</w:t>
      </w:r>
      <w:r>
        <w:rPr>
          <w:rFonts w:hint="eastAsia" w:ascii="仿宋_GB2312" w:hAnsi="仿宋_GB2312" w:eastAsia="仿宋_GB2312" w:cs="仿宋_GB2312"/>
          <w:sz w:val="32"/>
          <w:szCs w:val="32"/>
          <w:highlight w:val="none"/>
        </w:rPr>
        <w:t>绩效得分为</w:t>
      </w:r>
      <w:r>
        <w:rPr>
          <w:rFonts w:hint="eastAsia" w:ascii="仿宋_GB2312" w:hAnsi="仿宋_GB2312" w:cs="仿宋_GB2312"/>
          <w:sz w:val="32"/>
          <w:szCs w:val="32"/>
          <w:highlight w:val="none"/>
          <w:lang w:val="en-US" w:eastAsia="zh-CN"/>
        </w:rPr>
        <w:t>99.05</w:t>
      </w:r>
      <w:r>
        <w:rPr>
          <w:rFonts w:hint="eastAsia" w:ascii="仿宋_GB2312" w:hAnsi="仿宋_GB2312" w:eastAsia="仿宋_GB2312" w:cs="仿宋_GB2312"/>
          <w:sz w:val="32"/>
          <w:szCs w:val="32"/>
          <w:highlight w:val="none"/>
        </w:rPr>
        <w:t>分，绩效等级为“优”。项目支出绩效评价包括项目资金预算执行率、</w:t>
      </w:r>
      <w:r>
        <w:rPr>
          <w:rFonts w:hint="eastAsia" w:ascii="仿宋_GB2312" w:hAnsi="仿宋_GB2312" w:cs="仿宋_GB2312"/>
          <w:sz w:val="32"/>
          <w:szCs w:val="32"/>
          <w:highlight w:val="none"/>
          <w:lang w:val="en-US" w:eastAsia="zh-CN"/>
        </w:rPr>
        <w:t>成本、</w:t>
      </w:r>
      <w:r>
        <w:rPr>
          <w:rFonts w:hint="eastAsia" w:ascii="仿宋_GB2312" w:hAnsi="仿宋_GB2312" w:eastAsia="仿宋_GB2312" w:cs="仿宋_GB2312"/>
          <w:sz w:val="32"/>
          <w:szCs w:val="32"/>
          <w:highlight w:val="none"/>
        </w:rPr>
        <w:t>产出、效益、满意度</w:t>
      </w: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个一级指标，下设</w:t>
      </w:r>
      <w:r>
        <w:rPr>
          <w:rFonts w:hint="eastAsia" w:ascii="仿宋_GB2312" w:hAnsi="仿宋_GB2312" w:cs="仿宋_GB2312"/>
          <w:sz w:val="32"/>
          <w:szCs w:val="32"/>
          <w:highlight w:val="none"/>
          <w:lang w:val="en-US" w:eastAsia="zh-CN"/>
        </w:rPr>
        <w:t>8</w:t>
      </w:r>
      <w:r>
        <w:rPr>
          <w:rFonts w:hint="eastAsia" w:ascii="仿宋_GB2312" w:hAnsi="仿宋_GB2312" w:eastAsia="仿宋_GB2312" w:cs="仿宋_GB2312"/>
          <w:sz w:val="32"/>
          <w:szCs w:val="32"/>
          <w:highlight w:val="none"/>
        </w:rPr>
        <w:t>个二级指标和</w:t>
      </w:r>
      <w:r>
        <w:rPr>
          <w:rFonts w:hint="eastAsia" w:ascii="仿宋_GB2312" w:hAnsi="仿宋_GB2312" w:cs="仿宋_GB2312"/>
          <w:sz w:val="32"/>
          <w:szCs w:val="32"/>
          <w:highlight w:val="none"/>
          <w:lang w:val="en-US" w:eastAsia="zh-CN"/>
        </w:rPr>
        <w:t>19</w:t>
      </w:r>
      <w:r>
        <w:rPr>
          <w:rFonts w:hint="eastAsia" w:ascii="仿宋_GB2312" w:hAnsi="仿宋_GB2312" w:eastAsia="仿宋_GB2312" w:cs="仿宋_GB2312"/>
          <w:sz w:val="32"/>
          <w:szCs w:val="32"/>
          <w:highlight w:val="none"/>
        </w:rPr>
        <w:t>个三级指标。项目资金预算执行率90.54%，一级指标得分情况详见下表 ：</w:t>
      </w:r>
    </w:p>
    <w:tbl>
      <w:tblPr>
        <w:tblStyle w:val="2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14:paraId="5D365FA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6A7D56B2">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14:paraId="2855D5C2">
            <w:pPr>
              <w:widowControl/>
              <w:wordWrap/>
              <w:autoSpaceDE w:val="0"/>
              <w:autoSpaceDN w:val="0"/>
              <w:adjustRightInd/>
              <w:snapToGrid/>
              <w:spacing w:line="240" w:lineRule="auto"/>
              <w:jc w:val="both"/>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14:paraId="28A211C0">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14:paraId="49D973C9">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14:paraId="143A76E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14:paraId="6FE52640">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14:paraId="5EA6C220">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14:paraId="2D8F5C62">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9.05</w:t>
            </w:r>
          </w:p>
        </w:tc>
        <w:tc>
          <w:tcPr>
            <w:tcW w:w="2268" w:type="dxa"/>
            <w:vAlign w:val="center"/>
          </w:tcPr>
          <w:p w14:paraId="75728D3D">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90.50</w:t>
            </w:r>
            <w:r>
              <w:rPr>
                <w:rFonts w:hint="eastAsia" w:ascii="宋体" w:hAnsi="宋体" w:eastAsia="宋体" w:cs="宋体"/>
                <w:color w:val="000000"/>
                <w:kern w:val="0"/>
                <w:sz w:val="22"/>
                <w:szCs w:val="22"/>
                <w:highlight w:val="none"/>
              </w:rPr>
              <w:t>%</w:t>
            </w:r>
          </w:p>
        </w:tc>
      </w:tr>
      <w:tr w14:paraId="7B1219D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14:paraId="3917BA36">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成本指标</w:t>
            </w:r>
          </w:p>
        </w:tc>
        <w:tc>
          <w:tcPr>
            <w:tcW w:w="1678" w:type="dxa"/>
            <w:vAlign w:val="center"/>
          </w:tcPr>
          <w:p w14:paraId="757617F4">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1560" w:type="dxa"/>
            <w:vAlign w:val="center"/>
          </w:tcPr>
          <w:p w14:paraId="2C54DE13">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2268" w:type="dxa"/>
            <w:vAlign w:val="center"/>
          </w:tcPr>
          <w:p w14:paraId="6CE01067">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default" w:ascii="宋体" w:hAnsi="宋体" w:eastAsia="宋体" w:cs="宋体"/>
                <w:color w:val="000000"/>
                <w:kern w:val="0"/>
                <w:sz w:val="22"/>
                <w:szCs w:val="22"/>
                <w:highlight w:val="none"/>
                <w:lang w:val="en-US" w:eastAsia="zh-CN"/>
              </w:rPr>
              <w:t>100%</w:t>
            </w:r>
          </w:p>
        </w:tc>
      </w:tr>
      <w:tr w14:paraId="238529B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782B0549">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产出</w:t>
            </w:r>
            <w:r>
              <w:rPr>
                <w:rFonts w:hint="eastAsia" w:ascii="宋体" w:hAnsi="宋体" w:eastAsia="宋体" w:cs="宋体"/>
                <w:color w:val="000000"/>
                <w:kern w:val="0"/>
                <w:sz w:val="22"/>
                <w:szCs w:val="22"/>
                <w:highlight w:val="none"/>
                <w:lang w:val="en-US" w:eastAsia="zh-CN"/>
              </w:rPr>
              <w:t>指标</w:t>
            </w:r>
          </w:p>
        </w:tc>
        <w:tc>
          <w:tcPr>
            <w:tcW w:w="1678" w:type="dxa"/>
            <w:vAlign w:val="center"/>
          </w:tcPr>
          <w:p w14:paraId="49029B24">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40</w:t>
            </w:r>
          </w:p>
        </w:tc>
        <w:tc>
          <w:tcPr>
            <w:tcW w:w="1560" w:type="dxa"/>
            <w:vAlign w:val="center"/>
          </w:tcPr>
          <w:p w14:paraId="21C5A536">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40</w:t>
            </w:r>
          </w:p>
        </w:tc>
        <w:tc>
          <w:tcPr>
            <w:tcW w:w="2268" w:type="dxa"/>
            <w:vAlign w:val="center"/>
          </w:tcPr>
          <w:p w14:paraId="1452CE77">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4BA2785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266ECAC8">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效益指标</w:t>
            </w:r>
          </w:p>
        </w:tc>
        <w:tc>
          <w:tcPr>
            <w:tcW w:w="1678" w:type="dxa"/>
            <w:vAlign w:val="center"/>
          </w:tcPr>
          <w:p w14:paraId="4D41FB2A">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1560" w:type="dxa"/>
            <w:vAlign w:val="center"/>
          </w:tcPr>
          <w:p w14:paraId="25AA136F">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2268" w:type="dxa"/>
            <w:vAlign w:val="center"/>
          </w:tcPr>
          <w:p w14:paraId="31D557FE">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5475DD2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18FBBFA2">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满意度</w:t>
            </w:r>
            <w:r>
              <w:rPr>
                <w:rFonts w:hint="eastAsia" w:ascii="宋体" w:hAnsi="宋体" w:eastAsia="宋体" w:cs="宋体"/>
                <w:color w:val="000000"/>
                <w:kern w:val="0"/>
                <w:sz w:val="22"/>
                <w:szCs w:val="22"/>
                <w:highlight w:val="none"/>
                <w:lang w:val="en-US" w:eastAsia="zh-CN"/>
              </w:rPr>
              <w:t>指标</w:t>
            </w:r>
          </w:p>
        </w:tc>
        <w:tc>
          <w:tcPr>
            <w:tcW w:w="1678" w:type="dxa"/>
            <w:vAlign w:val="center"/>
          </w:tcPr>
          <w:p w14:paraId="55AF1EBD">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1560" w:type="dxa"/>
            <w:vAlign w:val="center"/>
          </w:tcPr>
          <w:p w14:paraId="275DED52">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14:paraId="5B23A20B">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0E80F18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0161DB9D">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14:paraId="64BEC91B">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14:paraId="21C60252">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99.05</w:t>
            </w:r>
          </w:p>
        </w:tc>
        <w:tc>
          <w:tcPr>
            <w:tcW w:w="2268" w:type="dxa"/>
            <w:shd w:val="clear" w:color="auto" w:fill="BDD6EE"/>
            <w:vAlign w:val="center"/>
          </w:tcPr>
          <w:p w14:paraId="68B0714D">
            <w:pPr>
              <w:widowControl/>
              <w:wordWrap/>
              <w:autoSpaceDE w:val="0"/>
              <w:autoSpaceDN w:val="0"/>
              <w:adjustRightInd/>
              <w:snapToGrid/>
              <w:spacing w:line="240" w:lineRule="auto"/>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99.05</w:t>
            </w:r>
            <w:r>
              <w:rPr>
                <w:rFonts w:hint="default" w:ascii="宋体" w:hAnsi="宋体" w:eastAsia="宋体" w:cs="宋体"/>
                <w:b/>
                <w:color w:val="000000"/>
                <w:kern w:val="0"/>
                <w:sz w:val="22"/>
                <w:szCs w:val="22"/>
                <w:highlight w:val="none"/>
                <w:lang w:val="en-US" w:eastAsia="zh-CN"/>
              </w:rPr>
              <w:t>%</w:t>
            </w:r>
          </w:p>
        </w:tc>
      </w:tr>
    </w:tbl>
    <w:p w14:paraId="3C1F0D5B">
      <w:pPr>
        <w:pStyle w:val="5"/>
        <w:keepNext/>
        <w:keepLines/>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项目支出预算执行情况</w:t>
      </w:r>
    </w:p>
    <w:p w14:paraId="25976E73">
      <w:pPr>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业务费</w:t>
      </w:r>
      <w:r>
        <w:rPr>
          <w:rFonts w:hint="eastAsia" w:ascii="仿宋_GB2312" w:hAnsi="仿宋_GB2312" w:eastAsia="仿宋_GB2312" w:cs="仿宋_GB2312"/>
          <w:sz w:val="32"/>
          <w:szCs w:val="32"/>
          <w:highlight w:val="none"/>
        </w:rPr>
        <w:t>项目</w:t>
      </w:r>
      <w:r>
        <w:rPr>
          <w:rFonts w:hint="eastAsia" w:ascii="仿宋_GB2312" w:hAnsi="仿宋_GB2312" w:cs="仿宋_GB2312"/>
          <w:sz w:val="32"/>
          <w:szCs w:val="32"/>
          <w:highlight w:val="none"/>
          <w:lang w:val="en-US" w:eastAsia="zh-CN"/>
        </w:rPr>
        <w:t>全年</w:t>
      </w:r>
      <w:r>
        <w:rPr>
          <w:rFonts w:hint="eastAsia" w:ascii="仿宋_GB2312" w:hAnsi="仿宋_GB2312" w:eastAsia="仿宋_GB2312" w:cs="仿宋_GB2312"/>
          <w:sz w:val="32"/>
          <w:szCs w:val="32"/>
          <w:highlight w:val="none"/>
        </w:rPr>
        <w:t>预算</w:t>
      </w:r>
      <w:r>
        <w:rPr>
          <w:rFonts w:hint="eastAsia" w:ascii="仿宋_GB2312" w:hAnsi="仿宋_GB2312" w:cs="仿宋_GB2312"/>
          <w:sz w:val="32"/>
          <w:szCs w:val="32"/>
          <w:highlight w:val="none"/>
          <w:lang w:val="en-US" w:eastAsia="zh-CN"/>
        </w:rPr>
        <w:t>数166.66</w:t>
      </w:r>
      <w:r>
        <w:rPr>
          <w:rFonts w:hint="eastAsia" w:ascii="仿宋_GB2312" w:hAnsi="仿宋_GB2312" w:eastAsia="仿宋_GB2312" w:cs="仿宋_GB2312"/>
          <w:sz w:val="32"/>
          <w:szCs w:val="32"/>
          <w:highlight w:val="none"/>
        </w:rPr>
        <w:t>万元，</w:t>
      </w:r>
      <w:r>
        <w:rPr>
          <w:rFonts w:hint="eastAsia" w:ascii="仿宋_GB2312" w:hAnsi="仿宋_GB2312" w:cs="仿宋_GB2312"/>
          <w:sz w:val="32"/>
          <w:szCs w:val="32"/>
          <w:highlight w:val="none"/>
          <w:lang w:val="en-US" w:eastAsia="zh-CN"/>
        </w:rPr>
        <w:t>其中上年结转资金31.66万元，当年财政拨款135</w:t>
      </w:r>
      <w:r>
        <w:rPr>
          <w:rFonts w:hint="eastAsia" w:cs="仿宋_GB2312"/>
          <w:sz w:val="32"/>
          <w:szCs w:val="32"/>
          <w:highlight w:val="none"/>
          <w:lang w:val="en-US" w:eastAsia="zh-CN"/>
        </w:rPr>
        <w:t>.00</w:t>
      </w:r>
      <w:r>
        <w:rPr>
          <w:rFonts w:hint="eastAsia" w:ascii="仿宋_GB2312" w:hAnsi="仿宋_GB2312" w:cs="仿宋_GB2312"/>
          <w:sz w:val="32"/>
          <w:szCs w:val="32"/>
          <w:highlight w:val="none"/>
          <w:lang w:val="en-US" w:eastAsia="zh-CN"/>
        </w:rPr>
        <w:t>万元，</w:t>
      </w:r>
      <w:r>
        <w:rPr>
          <w:rFonts w:hint="eastAsia" w:ascii="仿宋_GB2312" w:hAnsi="仿宋_GB2312" w:eastAsia="仿宋_GB2312" w:cs="仿宋_GB2312"/>
          <w:sz w:val="32"/>
          <w:szCs w:val="32"/>
          <w:highlight w:val="none"/>
        </w:rPr>
        <w:t>全年支出</w:t>
      </w:r>
      <w:r>
        <w:rPr>
          <w:rFonts w:hint="eastAsia" w:ascii="仿宋_GB2312" w:hAnsi="仿宋_GB2312" w:cs="仿宋_GB2312"/>
          <w:sz w:val="32"/>
          <w:szCs w:val="32"/>
          <w:highlight w:val="none"/>
          <w:lang w:val="en-US" w:eastAsia="zh-CN"/>
        </w:rPr>
        <w:t>150.90</w:t>
      </w:r>
      <w:r>
        <w:rPr>
          <w:rFonts w:hint="eastAsia" w:ascii="仿宋_GB2312" w:hAnsi="仿宋_GB2312" w:eastAsia="仿宋_GB2312" w:cs="仿宋_GB2312"/>
          <w:sz w:val="32"/>
          <w:szCs w:val="32"/>
          <w:highlight w:val="none"/>
        </w:rPr>
        <w:t>万元，预算执行率</w:t>
      </w:r>
      <w:r>
        <w:rPr>
          <w:rFonts w:hint="eastAsia" w:ascii="仿宋_GB2312" w:hAnsi="仿宋_GB2312" w:cs="仿宋_GB2312"/>
          <w:sz w:val="32"/>
          <w:szCs w:val="32"/>
          <w:highlight w:val="none"/>
          <w:lang w:val="en-US" w:eastAsia="zh-CN"/>
        </w:rPr>
        <w:t>90.54</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指标分值10分，自评得分9.05分，得分率90.50%</w:t>
      </w:r>
      <w:r>
        <w:rPr>
          <w:rFonts w:hint="eastAsia" w:ascii="仿宋_GB2312" w:hAnsi="仿宋_GB2312" w:eastAsia="仿宋_GB2312" w:cs="仿宋_GB2312"/>
          <w:sz w:val="32"/>
          <w:szCs w:val="32"/>
          <w:highlight w:val="none"/>
        </w:rPr>
        <w:t>。</w:t>
      </w:r>
    </w:p>
    <w:p w14:paraId="383E800F">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2.总体绩效目标完成情况分析</w:t>
      </w:r>
    </w:p>
    <w:p w14:paraId="05585E2D">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项目总体绩效目标为：通过2023年度业务费的投入，保障单位正常审判执行工作顺利开展，提高办案效率，从而推动本院各项工作顺利开展。</w:t>
      </w:r>
    </w:p>
    <w:p w14:paraId="71935DE4">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2023</w:t>
      </w:r>
      <w:r>
        <w:rPr>
          <w:rFonts w:hint="eastAsia" w:ascii="仿宋_GB2312" w:hAnsi="仿宋_GB2312" w:eastAsia="仿宋_GB2312" w:cs="仿宋_GB2312"/>
          <w:sz w:val="32"/>
          <w:szCs w:val="32"/>
          <w:highlight w:val="none"/>
          <w:lang w:val="en-US" w:eastAsia="zh-CN"/>
        </w:rPr>
        <w:t>年实际完成情况：</w:t>
      </w:r>
    </w:p>
    <w:p w14:paraId="51C81C63">
      <w:pPr>
        <w:keepNext w:val="0"/>
        <w:keepLines w:val="0"/>
        <w:pageBreakBefore w:val="0"/>
        <w:widowControl w:val="0"/>
        <w:numPr>
          <w:ilvl w:val="0"/>
          <w:numId w:val="0"/>
        </w:numPr>
        <w:kinsoku/>
        <w:wordWrap/>
        <w:overflowPunct/>
        <w:topLinePunct w:val="0"/>
        <w:autoSpaceDE w:val="0"/>
        <w:autoSpaceDN w:val="0"/>
        <w:bidi w:val="0"/>
        <w:adjustRightInd/>
        <w:snapToGrid/>
        <w:ind w:firstLine="640" w:firstLineChars="200"/>
        <w:textAlignment w:val="auto"/>
        <w:rPr>
          <w:rFonts w:hint="eastAsia" w:ascii="仿宋_GB2312" w:hAnsi="仿宋_GB2312" w:cs="仿宋_GB2312"/>
          <w:sz w:val="32"/>
          <w:szCs w:val="32"/>
          <w:highlight w:val="none"/>
          <w:lang w:val="en-US" w:eastAsia="zh-CN"/>
        </w:rPr>
      </w:pPr>
      <w:r>
        <w:rPr>
          <w:rFonts w:hint="eastAsia"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保障了单位正常工作顺利开展</w:t>
      </w:r>
      <w:r>
        <w:rPr>
          <w:rFonts w:hint="eastAsia" w:ascii="仿宋_GB2312" w:hAnsi="仿宋_GB2312" w:cs="仿宋_GB2312"/>
          <w:sz w:val="32"/>
          <w:szCs w:val="32"/>
          <w:highlight w:val="none"/>
          <w:lang w:val="en-US" w:eastAsia="zh-CN"/>
        </w:rPr>
        <w:t>，提高工作效率。</w:t>
      </w:r>
    </w:p>
    <w:p w14:paraId="5FA7DF13">
      <w:pPr>
        <w:keepNext w:val="0"/>
        <w:keepLines w:val="0"/>
        <w:pageBreakBefore w:val="0"/>
        <w:widowControl w:val="0"/>
        <w:numPr>
          <w:ilvl w:val="0"/>
          <w:numId w:val="0"/>
        </w:numPr>
        <w:kinsoku/>
        <w:wordWrap/>
        <w:overflowPunct/>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2.给工作人员提供安全，良好的司法工作环境，完成对网络的日常维护工作，打造全省法院教育培训信息管理平台，助力推进法治社会建设。</w:t>
      </w:r>
    </w:p>
    <w:p w14:paraId="04F1F4F2">
      <w:pPr>
        <w:pStyle w:val="5"/>
        <w:keepNext/>
        <w:keepLines/>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3.各项指标完成情况分析</w:t>
      </w:r>
    </w:p>
    <w:p w14:paraId="3A9C8EC0">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cs="仿宋_GB2312"/>
          <w:b/>
          <w:bCs/>
          <w:sz w:val="32"/>
          <w:szCs w:val="32"/>
          <w:highlight w:val="none"/>
          <w:lang w:val="en-US" w:eastAsia="zh-CN"/>
        </w:rPr>
      </w:pPr>
      <w:r>
        <w:rPr>
          <w:rFonts w:hint="eastAsia" w:ascii="仿宋_GB2312" w:hAnsi="仿宋_GB2312" w:cs="仿宋_GB2312"/>
          <w:b/>
          <w:bCs/>
          <w:sz w:val="32"/>
          <w:szCs w:val="32"/>
          <w:highlight w:val="none"/>
          <w:lang w:eastAsia="zh-CN"/>
        </w:rPr>
        <w:t>（</w:t>
      </w:r>
      <w:r>
        <w:rPr>
          <w:rFonts w:hint="eastAsia" w:ascii="仿宋_GB2312" w:hAnsi="仿宋_GB2312" w:cs="仿宋_GB2312"/>
          <w:b/>
          <w:bCs/>
          <w:sz w:val="32"/>
          <w:szCs w:val="32"/>
          <w:highlight w:val="none"/>
          <w:lang w:val="en-US" w:eastAsia="zh-CN"/>
        </w:rPr>
        <w:t>1</w:t>
      </w:r>
      <w:r>
        <w:rPr>
          <w:rFonts w:hint="eastAsia" w:ascii="仿宋_GB2312" w:hAnsi="仿宋_GB2312" w:cs="仿宋_GB2312"/>
          <w:b/>
          <w:bCs/>
          <w:sz w:val="32"/>
          <w:szCs w:val="32"/>
          <w:highlight w:val="none"/>
          <w:lang w:eastAsia="zh-CN"/>
        </w:rPr>
        <w:t>）</w:t>
      </w:r>
      <w:r>
        <w:rPr>
          <w:rFonts w:hint="eastAsia" w:ascii="仿宋_GB2312" w:hAnsi="仿宋_GB2312" w:cs="仿宋_GB2312"/>
          <w:b/>
          <w:bCs/>
          <w:sz w:val="32"/>
          <w:szCs w:val="32"/>
          <w:highlight w:val="none"/>
          <w:lang w:val="en-US" w:eastAsia="zh-CN"/>
        </w:rPr>
        <w:t>项目成本指标完成情况分析</w:t>
      </w:r>
    </w:p>
    <w:p w14:paraId="551CB929">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cs="仿宋_GB2312"/>
          <w:b w:val="0"/>
          <w:kern w:val="2"/>
          <w:sz w:val="32"/>
          <w:szCs w:val="32"/>
          <w:highlight w:val="none"/>
          <w:lang w:val="en-US" w:eastAsia="zh-CN" w:bidi="ar-SA"/>
        </w:rPr>
      </w:pPr>
      <w:r>
        <w:rPr>
          <w:rFonts w:hint="eastAsia" w:ascii="仿宋_GB2312" w:hAnsi="仿宋_GB2312" w:cs="仿宋_GB2312"/>
          <w:b w:val="0"/>
          <w:kern w:val="2"/>
          <w:sz w:val="32"/>
          <w:szCs w:val="32"/>
          <w:highlight w:val="none"/>
          <w:lang w:val="en-US" w:eastAsia="zh-CN" w:bidi="ar-SA"/>
        </w:rPr>
        <w:t>项目</w:t>
      </w:r>
      <w:r>
        <w:rPr>
          <w:rFonts w:hint="eastAsia" w:ascii="仿宋_GB2312" w:hAnsi="仿宋_GB2312" w:eastAsia="仿宋_GB2312" w:cs="仿宋_GB2312"/>
          <w:b w:val="0"/>
          <w:kern w:val="2"/>
          <w:sz w:val="32"/>
          <w:szCs w:val="32"/>
          <w:highlight w:val="none"/>
          <w:lang w:val="en-US" w:eastAsia="zh-CN" w:bidi="ar-SA"/>
        </w:rPr>
        <w:t>成本指标包括经济成本指标</w:t>
      </w:r>
      <w:r>
        <w:rPr>
          <w:rFonts w:hint="eastAsia" w:ascii="仿宋_GB2312" w:hAnsi="仿宋_GB2312" w:cs="仿宋_GB2312"/>
          <w:b w:val="0"/>
          <w:kern w:val="2"/>
          <w:sz w:val="32"/>
          <w:szCs w:val="32"/>
          <w:highlight w:val="none"/>
          <w:lang w:val="en-US" w:eastAsia="zh-CN" w:bidi="ar-SA"/>
        </w:rPr>
        <w:t>1</w:t>
      </w:r>
      <w:r>
        <w:rPr>
          <w:rFonts w:hint="eastAsia" w:ascii="仿宋_GB2312" w:hAnsi="仿宋_GB2312" w:eastAsia="仿宋_GB2312" w:cs="仿宋_GB2312"/>
          <w:b w:val="0"/>
          <w:kern w:val="2"/>
          <w:sz w:val="32"/>
          <w:szCs w:val="32"/>
          <w:highlight w:val="none"/>
          <w:lang w:val="en-US" w:eastAsia="zh-CN" w:bidi="ar-SA"/>
        </w:rPr>
        <w:t>个二级指标，下设</w:t>
      </w:r>
      <w:r>
        <w:rPr>
          <w:rFonts w:hint="eastAsia" w:ascii="仿宋_GB2312" w:hAnsi="仿宋_GB2312" w:cs="仿宋_GB2312"/>
          <w:b w:val="0"/>
          <w:kern w:val="2"/>
          <w:sz w:val="32"/>
          <w:szCs w:val="32"/>
          <w:highlight w:val="none"/>
          <w:lang w:val="en-US" w:eastAsia="zh-CN" w:bidi="ar-SA"/>
        </w:rPr>
        <w:t>1</w:t>
      </w:r>
      <w:r>
        <w:rPr>
          <w:rFonts w:hint="eastAsia" w:ascii="仿宋_GB2312" w:hAnsi="仿宋_GB2312" w:eastAsia="仿宋_GB2312" w:cs="仿宋_GB2312"/>
          <w:b w:val="0"/>
          <w:kern w:val="2"/>
          <w:sz w:val="32"/>
          <w:szCs w:val="32"/>
          <w:highlight w:val="none"/>
          <w:lang w:val="en-US" w:eastAsia="zh-CN" w:bidi="ar-SA"/>
        </w:rPr>
        <w:t>个</w:t>
      </w:r>
      <w:r>
        <w:rPr>
          <w:rFonts w:hint="eastAsia" w:ascii="仿宋_GB2312" w:hAnsi="仿宋_GB2312" w:cs="仿宋_GB2312"/>
          <w:b w:val="0"/>
          <w:kern w:val="2"/>
          <w:sz w:val="32"/>
          <w:szCs w:val="32"/>
          <w:highlight w:val="none"/>
          <w:lang w:val="en-US" w:eastAsia="zh-CN" w:bidi="ar-SA"/>
        </w:rPr>
        <w:t>三</w:t>
      </w:r>
      <w:r>
        <w:rPr>
          <w:rFonts w:hint="eastAsia" w:ascii="仿宋_GB2312" w:hAnsi="仿宋_GB2312" w:eastAsia="仿宋_GB2312" w:cs="仿宋_GB2312"/>
          <w:b w:val="0"/>
          <w:kern w:val="2"/>
          <w:sz w:val="32"/>
          <w:szCs w:val="32"/>
          <w:highlight w:val="none"/>
          <w:lang w:val="en-US" w:eastAsia="zh-CN" w:bidi="ar-SA"/>
        </w:rPr>
        <w:t>级指标</w:t>
      </w:r>
      <w:r>
        <w:rPr>
          <w:rFonts w:hint="eastAsia" w:ascii="仿宋_GB2312" w:hAnsi="仿宋_GB2312" w:cs="仿宋_GB2312"/>
          <w:b w:val="0"/>
          <w:kern w:val="2"/>
          <w:sz w:val="32"/>
          <w:szCs w:val="32"/>
          <w:highlight w:val="none"/>
          <w:lang w:val="en-US" w:eastAsia="zh-CN" w:bidi="ar-SA"/>
        </w:rPr>
        <w:t>。</w:t>
      </w:r>
      <w:r>
        <w:rPr>
          <w:rFonts w:hint="eastAsia" w:ascii="仿宋_GB2312" w:hAnsi="仿宋_GB2312" w:eastAsia="仿宋_GB2312" w:cs="仿宋_GB2312"/>
          <w:sz w:val="32"/>
          <w:szCs w:val="32"/>
          <w:highlight w:val="none"/>
        </w:rPr>
        <w:t>指标分值</w:t>
      </w:r>
      <w:r>
        <w:rPr>
          <w:rFonts w:hint="eastAsia" w:ascii="仿宋_GB2312" w:hAnsi="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分，自评得分</w:t>
      </w:r>
      <w:r>
        <w:rPr>
          <w:rFonts w:hint="eastAsia" w:ascii="仿宋_GB2312" w:hAnsi="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分，得分率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3DA313A8">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default" w:ascii="仿宋_GB2312" w:hAnsi="仿宋_GB2312" w:cs="仿宋_GB2312"/>
          <w:b w:val="0"/>
          <w:kern w:val="2"/>
          <w:sz w:val="32"/>
          <w:szCs w:val="32"/>
          <w:highlight w:val="none"/>
          <w:lang w:val="en-US" w:eastAsia="zh-CN" w:bidi="ar-SA"/>
        </w:rPr>
      </w:pPr>
      <w:r>
        <w:rPr>
          <w:rFonts w:hint="default" w:ascii="仿宋_GB2312" w:hAnsi="仿宋_GB2312" w:cs="仿宋_GB2312"/>
          <w:b/>
          <w:bCs/>
          <w:kern w:val="2"/>
          <w:sz w:val="32"/>
          <w:szCs w:val="32"/>
          <w:highlight w:val="none"/>
          <w:lang w:val="en-US" w:eastAsia="zh-CN" w:bidi="ar-SA"/>
        </w:rPr>
        <w:t>成本控制情况</w:t>
      </w:r>
      <w:r>
        <w:rPr>
          <w:rFonts w:hint="eastAsia" w:ascii="仿宋_GB2312" w:hAnsi="仿宋_GB2312" w:cs="仿宋_GB2312"/>
          <w:b/>
          <w:bCs/>
          <w:kern w:val="2"/>
          <w:sz w:val="32"/>
          <w:szCs w:val="32"/>
          <w:highlight w:val="none"/>
          <w:lang w:val="en-US" w:eastAsia="zh-CN" w:bidi="ar-SA"/>
        </w:rPr>
        <w:t>：</w:t>
      </w:r>
      <w:r>
        <w:rPr>
          <w:rFonts w:hint="eastAsia" w:ascii="仿宋_GB2312" w:hAnsi="仿宋_GB2312" w:cs="仿宋_GB2312"/>
          <w:b w:val="0"/>
          <w:kern w:val="2"/>
          <w:sz w:val="32"/>
          <w:szCs w:val="32"/>
          <w:highlight w:val="none"/>
          <w:lang w:val="en-US" w:eastAsia="zh-CN" w:bidi="ar-SA"/>
        </w:rPr>
        <w:t>年度指标值定额标准内，实际完成90.54%，指标分值20分，自评得分20分；</w:t>
      </w:r>
    </w:p>
    <w:p w14:paraId="4A81B3AE">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）项目产出指标完成情况分析</w:t>
      </w:r>
    </w:p>
    <w:p w14:paraId="342CA39C">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项目产出指标包括数量、质量、时效</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个二级指标，下设</w:t>
      </w:r>
      <w:r>
        <w:rPr>
          <w:rFonts w:hint="eastAsia" w:ascii="仿宋_GB2312" w:hAnsi="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个三级指标。指标分值</w:t>
      </w:r>
      <w:r>
        <w:rPr>
          <w:rFonts w:hint="eastAsia" w:ascii="仿宋_GB2312" w:hAnsi="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分，自评得分</w:t>
      </w:r>
      <w:r>
        <w:rPr>
          <w:rFonts w:hint="eastAsia" w:ascii="仿宋_GB2312" w:hAnsi="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分，得分率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4F872F29">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1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①</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产出数量</w:t>
      </w:r>
    </w:p>
    <w:p w14:paraId="6E82D5A9">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cs="仿宋_GB2312"/>
          <w:b w:val="0"/>
          <w:kern w:val="2"/>
          <w:sz w:val="32"/>
          <w:szCs w:val="32"/>
          <w:highlight w:val="none"/>
          <w:lang w:val="en-US" w:eastAsia="zh-CN" w:bidi="ar-SA"/>
        </w:rPr>
      </w:pPr>
      <w:r>
        <w:rPr>
          <w:rFonts w:hint="eastAsia" w:ascii="仿宋_GB2312" w:hAnsi="仿宋_GB2312" w:eastAsia="仿宋_GB2312" w:cs="仿宋_GB2312"/>
          <w:b/>
          <w:bCs/>
          <w:sz w:val="32"/>
          <w:szCs w:val="32"/>
          <w:highlight w:val="none"/>
        </w:rPr>
        <w:t>结案率</w:t>
      </w:r>
      <w:r>
        <w:rPr>
          <w:rFonts w:hint="eastAsia" w:ascii="仿宋_GB2312" w:hAnsi="仿宋_GB2312" w:cs="仿宋_GB2312"/>
          <w:b/>
          <w:bCs/>
          <w:sz w:val="32"/>
          <w:szCs w:val="32"/>
          <w:highlight w:val="none"/>
          <w:lang w:eastAsia="zh-CN"/>
        </w:rPr>
        <w:t>：</w:t>
      </w:r>
      <w:r>
        <w:rPr>
          <w:rFonts w:hint="eastAsia" w:ascii="仿宋_GB2312" w:hAnsi="仿宋_GB2312" w:cs="仿宋_GB2312"/>
          <w:sz w:val="32"/>
          <w:szCs w:val="32"/>
          <w:highlight w:val="none"/>
          <w:lang w:val="en-US" w:eastAsia="zh-CN"/>
        </w:rPr>
        <w:t>年度指标值</w:t>
      </w:r>
      <w:r>
        <w:rPr>
          <w:rFonts w:hint="eastAsia" w:cs="仿宋_GB2312"/>
          <w:sz w:val="32"/>
          <w:szCs w:val="32"/>
          <w:highlight w:val="none"/>
          <w:lang w:val="en-US" w:eastAsia="zh-CN"/>
        </w:rPr>
        <w:t>≥</w:t>
      </w:r>
      <w:r>
        <w:rPr>
          <w:rFonts w:hint="eastAsia" w:ascii="仿宋_GB2312" w:hAnsi="仿宋_GB2312" w:cs="仿宋_GB2312"/>
          <w:sz w:val="32"/>
          <w:szCs w:val="32"/>
          <w:highlight w:val="none"/>
          <w:lang w:val="en-US" w:eastAsia="zh-CN"/>
        </w:rPr>
        <w:t>90%</w:t>
      </w:r>
      <w:r>
        <w:rPr>
          <w:rFonts w:hint="eastAsia" w:ascii="仿宋_GB2312" w:hAnsi="仿宋_GB2312" w:eastAsia="仿宋_GB2312" w:cs="仿宋_GB2312"/>
          <w:sz w:val="32"/>
          <w:szCs w:val="32"/>
          <w:highlight w:val="none"/>
          <w:lang w:val="en-US" w:eastAsia="zh-CN"/>
        </w:rPr>
        <w:t>，实际</w:t>
      </w:r>
      <w:r>
        <w:rPr>
          <w:rFonts w:hint="eastAsia" w:ascii="仿宋_GB2312" w:hAnsi="仿宋_GB2312" w:cs="仿宋_GB2312"/>
          <w:sz w:val="32"/>
          <w:szCs w:val="32"/>
          <w:highlight w:val="none"/>
          <w:lang w:val="en-US" w:eastAsia="zh-CN"/>
        </w:rPr>
        <w:t>完成100%，指标分值3.37分，自评得分3.37分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096178C9">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维修维护项目数</w:t>
      </w:r>
      <w:r>
        <w:rPr>
          <w:rFonts w:hint="eastAsia" w:ascii="仿宋_GB2312" w:hAnsi="仿宋_GB2312" w:cs="仿宋_GB2312"/>
          <w:b/>
          <w:bCs/>
          <w:sz w:val="32"/>
          <w:szCs w:val="32"/>
          <w:highlight w:val="none"/>
          <w:lang w:eastAsia="zh-CN"/>
        </w:rPr>
        <w:t>：</w:t>
      </w:r>
      <w:r>
        <w:rPr>
          <w:rFonts w:hint="eastAsia" w:ascii="仿宋_GB2312" w:hAnsi="仿宋_GB2312" w:cs="仿宋_GB2312"/>
          <w:sz w:val="32"/>
          <w:szCs w:val="32"/>
          <w:highlight w:val="none"/>
          <w:lang w:val="en-US" w:eastAsia="zh-CN"/>
        </w:rPr>
        <w:t>年度指标值1项</w:t>
      </w:r>
      <w:r>
        <w:rPr>
          <w:rFonts w:hint="eastAsia" w:ascii="仿宋_GB2312" w:hAnsi="仿宋_GB2312" w:eastAsia="仿宋_GB2312" w:cs="仿宋_GB2312"/>
          <w:sz w:val="32"/>
          <w:szCs w:val="32"/>
          <w:highlight w:val="none"/>
          <w:lang w:val="en-US" w:eastAsia="zh-CN"/>
        </w:rPr>
        <w:t>，实际</w:t>
      </w:r>
      <w:r>
        <w:rPr>
          <w:rFonts w:hint="eastAsia" w:ascii="仿宋_GB2312" w:hAnsi="仿宋_GB2312" w:cs="仿宋_GB2312"/>
          <w:sz w:val="32"/>
          <w:szCs w:val="32"/>
          <w:highlight w:val="none"/>
          <w:lang w:val="en-US" w:eastAsia="zh-CN"/>
        </w:rPr>
        <w:t>完成1项，指标分值3.33分，自评得分3.33分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56DB9CF3">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cs="仿宋_GB2312"/>
          <w:b w:val="0"/>
          <w:kern w:val="2"/>
          <w:sz w:val="32"/>
          <w:szCs w:val="32"/>
          <w:highlight w:val="none"/>
          <w:lang w:val="en-US" w:eastAsia="zh-CN" w:bidi="ar-SA"/>
        </w:rPr>
      </w:pPr>
      <w:r>
        <w:rPr>
          <w:rFonts w:hint="eastAsia" w:ascii="仿宋_GB2312" w:hAnsi="仿宋_GB2312" w:eastAsia="仿宋_GB2312" w:cs="仿宋_GB2312"/>
          <w:b/>
          <w:bCs/>
          <w:sz w:val="32"/>
          <w:szCs w:val="32"/>
          <w:highlight w:val="none"/>
        </w:rPr>
        <w:t>物业管理面积</w:t>
      </w:r>
      <w:r>
        <w:rPr>
          <w:rFonts w:hint="eastAsia" w:ascii="仿宋_GB2312" w:hAnsi="仿宋_GB2312" w:cs="仿宋_GB2312"/>
          <w:b/>
          <w:bCs/>
          <w:sz w:val="32"/>
          <w:szCs w:val="32"/>
          <w:highlight w:val="none"/>
          <w:lang w:eastAsia="zh-CN"/>
        </w:rPr>
        <w:t>：</w:t>
      </w:r>
      <w:r>
        <w:rPr>
          <w:rFonts w:hint="eastAsia" w:cs="仿宋_GB2312"/>
          <w:sz w:val="32"/>
          <w:szCs w:val="32"/>
          <w:highlight w:val="none"/>
          <w:lang w:val="en-US" w:eastAsia="zh-CN"/>
        </w:rPr>
        <w:t>我院物业面积</w:t>
      </w:r>
      <w:r>
        <w:rPr>
          <w:rFonts w:hint="eastAsia" w:ascii="仿宋_GB2312" w:hAnsi="仿宋_GB2312" w:cs="仿宋_GB2312"/>
          <w:sz w:val="32"/>
          <w:szCs w:val="32"/>
          <w:highlight w:val="none"/>
          <w:lang w:val="en-US" w:eastAsia="zh-CN"/>
        </w:rPr>
        <w:t>9540</w:t>
      </w:r>
      <w:r>
        <w:rPr>
          <w:rFonts w:hint="eastAsia" w:cs="仿宋_GB2312"/>
          <w:sz w:val="32"/>
          <w:szCs w:val="32"/>
          <w:highlight w:val="none"/>
          <w:lang w:val="en-US" w:eastAsia="zh-CN"/>
        </w:rPr>
        <w:t>平方米</w:t>
      </w:r>
      <w:r>
        <w:rPr>
          <w:rFonts w:hint="eastAsia" w:ascii="仿宋_GB2312" w:hAnsi="仿宋_GB2312" w:eastAsia="仿宋_GB2312" w:cs="仿宋_GB2312"/>
          <w:sz w:val="32"/>
          <w:szCs w:val="32"/>
          <w:highlight w:val="none"/>
          <w:lang w:val="en-US" w:eastAsia="zh-CN"/>
        </w:rPr>
        <w:t>，</w:t>
      </w:r>
      <w:r>
        <w:rPr>
          <w:rFonts w:hint="eastAsia" w:cs="仿宋_GB2312"/>
          <w:sz w:val="32"/>
          <w:szCs w:val="32"/>
          <w:highlight w:val="none"/>
          <w:lang w:val="en-US" w:eastAsia="zh-CN"/>
        </w:rPr>
        <w:t>达到年度目标值</w:t>
      </w:r>
      <w:r>
        <w:rPr>
          <w:rFonts w:hint="eastAsia" w:ascii="仿宋_GB2312" w:hAnsi="仿宋_GB2312" w:cs="仿宋_GB2312"/>
          <w:sz w:val="32"/>
          <w:szCs w:val="32"/>
          <w:highlight w:val="none"/>
          <w:lang w:val="en-US" w:eastAsia="zh-CN"/>
        </w:rPr>
        <w:t>，指标分值3.33分，自评得分3.33分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414942F1">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cs="仿宋_GB2312"/>
          <w:b w:val="0"/>
          <w:kern w:val="2"/>
          <w:sz w:val="32"/>
          <w:szCs w:val="32"/>
          <w:highlight w:val="none"/>
          <w:lang w:val="en-US" w:eastAsia="zh-CN" w:bidi="ar-SA"/>
        </w:rPr>
      </w:pPr>
      <w:r>
        <w:rPr>
          <w:rFonts w:hint="eastAsia" w:ascii="仿宋_GB2312" w:hAnsi="仿宋_GB2312" w:eastAsia="仿宋_GB2312" w:cs="仿宋_GB2312"/>
          <w:b/>
          <w:bCs/>
          <w:sz w:val="32"/>
          <w:szCs w:val="32"/>
          <w:highlight w:val="none"/>
        </w:rPr>
        <w:t>信息化运维服务完成率</w:t>
      </w:r>
      <w:r>
        <w:rPr>
          <w:rFonts w:hint="eastAsia" w:ascii="仿宋_GB2312" w:hAnsi="仿宋_GB2312" w:cs="仿宋_GB2312"/>
          <w:b/>
          <w:bCs/>
          <w:sz w:val="32"/>
          <w:szCs w:val="32"/>
          <w:highlight w:val="none"/>
          <w:lang w:eastAsia="zh-CN"/>
        </w:rPr>
        <w:t>：</w:t>
      </w:r>
      <w:r>
        <w:rPr>
          <w:rFonts w:hint="eastAsia" w:ascii="仿宋_GB2312" w:hAnsi="仿宋_GB2312" w:cs="仿宋_GB2312"/>
          <w:sz w:val="32"/>
          <w:szCs w:val="32"/>
          <w:highlight w:val="none"/>
          <w:lang w:val="en-US" w:eastAsia="zh-CN"/>
        </w:rPr>
        <w:t>年度指标值=100%</w:t>
      </w:r>
      <w:r>
        <w:rPr>
          <w:rFonts w:hint="eastAsia" w:ascii="仿宋_GB2312" w:hAnsi="仿宋_GB2312" w:eastAsia="仿宋_GB2312" w:cs="仿宋_GB2312"/>
          <w:sz w:val="32"/>
          <w:szCs w:val="32"/>
          <w:highlight w:val="none"/>
          <w:lang w:val="en-US" w:eastAsia="zh-CN"/>
        </w:rPr>
        <w:t>，实际</w:t>
      </w:r>
      <w:r>
        <w:rPr>
          <w:rFonts w:hint="eastAsia" w:ascii="仿宋_GB2312" w:hAnsi="仿宋_GB2312" w:cs="仿宋_GB2312"/>
          <w:sz w:val="32"/>
          <w:szCs w:val="32"/>
          <w:highlight w:val="none"/>
          <w:lang w:val="en-US" w:eastAsia="zh-CN"/>
        </w:rPr>
        <w:t>完成100%，指标分值3.33分，自评得分3.33分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0E1931F1">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2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②</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产出质量</w:t>
      </w:r>
    </w:p>
    <w:p w14:paraId="0FA1BCBC">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cs="仿宋_GB2312"/>
          <w:b w:val="0"/>
          <w:kern w:val="2"/>
          <w:sz w:val="32"/>
          <w:szCs w:val="32"/>
          <w:highlight w:val="none"/>
          <w:lang w:val="en-US" w:eastAsia="zh-CN" w:bidi="ar-SA"/>
        </w:rPr>
      </w:pPr>
      <w:r>
        <w:rPr>
          <w:rFonts w:hint="eastAsia" w:ascii="仿宋_GB2312" w:hAnsi="仿宋_GB2312" w:eastAsia="仿宋_GB2312" w:cs="仿宋_GB2312"/>
          <w:b/>
          <w:bCs/>
          <w:sz w:val="32"/>
          <w:szCs w:val="32"/>
          <w:highlight w:val="none"/>
        </w:rPr>
        <w:t>维修维护项目验收合格率</w:t>
      </w:r>
      <w:r>
        <w:rPr>
          <w:rFonts w:hint="eastAsia" w:ascii="仿宋_GB2312" w:hAnsi="仿宋_GB2312" w:cs="仿宋_GB2312"/>
          <w:b/>
          <w:bCs/>
          <w:sz w:val="32"/>
          <w:szCs w:val="32"/>
          <w:highlight w:val="none"/>
          <w:lang w:eastAsia="zh-CN"/>
        </w:rPr>
        <w:t>：</w:t>
      </w:r>
      <w:r>
        <w:rPr>
          <w:rFonts w:hint="eastAsia" w:ascii="仿宋_GB2312" w:hAnsi="仿宋_GB2312" w:cs="仿宋_GB2312"/>
          <w:sz w:val="32"/>
          <w:szCs w:val="32"/>
          <w:highlight w:val="none"/>
          <w:lang w:val="en-US" w:eastAsia="zh-CN"/>
        </w:rPr>
        <w:t>年度指标值=100%</w:t>
      </w:r>
      <w:r>
        <w:rPr>
          <w:rFonts w:hint="eastAsia" w:ascii="仿宋_GB2312" w:hAnsi="仿宋_GB2312" w:eastAsia="仿宋_GB2312" w:cs="仿宋_GB2312"/>
          <w:sz w:val="32"/>
          <w:szCs w:val="32"/>
          <w:highlight w:val="none"/>
          <w:lang w:val="en-US" w:eastAsia="zh-CN"/>
        </w:rPr>
        <w:t>，实际完成</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，指标分值3.33分，自评得分3.33分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6180552A">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cs="仿宋_GB2312"/>
          <w:b w:val="0"/>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物业管理合格率</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w:t>
      </w:r>
      <w:r>
        <w:rPr>
          <w:rFonts w:hint="eastAsia" w:ascii="仿宋_GB2312" w:hAnsi="仿宋_GB2312" w:eastAsia="仿宋_GB2312" w:cs="仿宋_GB2312"/>
          <w:sz w:val="32"/>
          <w:szCs w:val="32"/>
          <w:highlight w:val="none"/>
          <w:lang w:val="en-US" w:eastAsia="zh-CN"/>
        </w:rPr>
        <w:t>100%，实际完成100%</w:t>
      </w:r>
      <w:r>
        <w:rPr>
          <w:rFonts w:hint="eastAsia" w:ascii="仿宋_GB2312" w:hAnsi="仿宋_GB2312" w:cs="仿宋_GB2312"/>
          <w:sz w:val="32"/>
          <w:szCs w:val="32"/>
          <w:highlight w:val="none"/>
          <w:lang w:val="en-US" w:eastAsia="zh-CN"/>
        </w:rPr>
        <w:t>，指标分值3.33分，自评得分3.33分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210F16EF">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cs="仿宋_GB2312"/>
          <w:b w:val="0"/>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信息化运维服务验收合格率</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w:t>
      </w:r>
      <w:r>
        <w:rPr>
          <w:rFonts w:hint="eastAsia" w:ascii="仿宋_GB2312" w:hAnsi="仿宋_GB2312" w:eastAsia="仿宋_GB2312" w:cs="仿宋_GB2312"/>
          <w:sz w:val="32"/>
          <w:szCs w:val="32"/>
          <w:highlight w:val="none"/>
          <w:lang w:val="en-US" w:eastAsia="zh-CN"/>
        </w:rPr>
        <w:t>100%，实际完成100%</w:t>
      </w:r>
      <w:r>
        <w:rPr>
          <w:rFonts w:hint="eastAsia" w:ascii="仿宋_GB2312" w:hAnsi="仿宋_GB2312" w:cs="仿宋_GB2312"/>
          <w:sz w:val="32"/>
          <w:szCs w:val="32"/>
          <w:highlight w:val="none"/>
          <w:lang w:val="en-US" w:eastAsia="zh-CN"/>
        </w:rPr>
        <w:t>，指标分值3.33分，自评得分3.33分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005EC744">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cs="仿宋_GB2312"/>
          <w:b w:val="0"/>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一审服判息诉率</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w:t>
      </w:r>
      <w:r>
        <w:rPr>
          <w:rFonts w:hint="eastAsia" w:cs="仿宋_GB2312"/>
          <w:sz w:val="32"/>
          <w:szCs w:val="32"/>
          <w:highlight w:val="none"/>
          <w:lang w:val="en-US" w:eastAsia="zh-CN"/>
        </w:rPr>
        <w:t>≥</w:t>
      </w:r>
      <w:r>
        <w:rPr>
          <w:rFonts w:hint="eastAsia" w:ascii="仿宋_GB2312" w:hAnsi="仿宋_GB2312" w:cs="仿宋_GB2312"/>
          <w:sz w:val="32"/>
          <w:szCs w:val="32"/>
          <w:highlight w:val="none"/>
          <w:lang w:val="en-US" w:eastAsia="zh-CN"/>
        </w:rPr>
        <w:t>90%</w:t>
      </w:r>
      <w:r>
        <w:rPr>
          <w:rFonts w:hint="eastAsia" w:ascii="仿宋_GB2312" w:hAnsi="仿宋_GB2312" w:eastAsia="仿宋_GB2312" w:cs="仿宋_GB2312"/>
          <w:sz w:val="32"/>
          <w:szCs w:val="32"/>
          <w:highlight w:val="none"/>
          <w:lang w:val="en-US" w:eastAsia="zh-CN"/>
        </w:rPr>
        <w:t>，实际完成</w:t>
      </w:r>
      <w:r>
        <w:rPr>
          <w:rFonts w:hint="eastAsia" w:ascii="仿宋_GB2312" w:hAnsi="仿宋_GB2312" w:cs="仿宋_GB2312"/>
          <w:sz w:val="32"/>
          <w:szCs w:val="32"/>
          <w:highlight w:val="none"/>
          <w:lang w:val="en-US" w:eastAsia="zh-CN"/>
        </w:rPr>
        <w:t>90.9%，指标分值3.33分，自评得分3.33分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21328932">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3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③</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产出时效</w:t>
      </w:r>
    </w:p>
    <w:p w14:paraId="618D8CE2">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cs="仿宋_GB2312"/>
          <w:b w:val="0"/>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办案经费支付及时率</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年度指标值=100%</w:t>
      </w:r>
      <w:r>
        <w:rPr>
          <w:rFonts w:hint="eastAsia" w:ascii="仿宋_GB2312" w:hAnsi="仿宋_GB2312" w:eastAsia="仿宋_GB2312" w:cs="仿宋_GB2312"/>
          <w:sz w:val="32"/>
          <w:szCs w:val="32"/>
          <w:highlight w:val="none"/>
          <w:lang w:val="en-US" w:eastAsia="zh-CN"/>
        </w:rPr>
        <w:t>，实际完成100%</w:t>
      </w:r>
      <w:r>
        <w:rPr>
          <w:rFonts w:hint="eastAsia" w:ascii="仿宋_GB2312" w:hAnsi="仿宋_GB2312" w:cs="仿宋_GB2312"/>
          <w:sz w:val="32"/>
          <w:szCs w:val="32"/>
          <w:highlight w:val="none"/>
          <w:lang w:val="en-US" w:eastAsia="zh-CN"/>
        </w:rPr>
        <w:t>，指标分值3.33分，自评得分3.33分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3A36764B">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cs="仿宋_GB2312"/>
          <w:b w:val="0"/>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法定审限内结案率</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w:t>
      </w:r>
      <w:r>
        <w:rPr>
          <w:rFonts w:hint="eastAsia" w:cs="仿宋_GB2312"/>
          <w:sz w:val="32"/>
          <w:szCs w:val="32"/>
          <w:highlight w:val="none"/>
          <w:lang w:val="en-US" w:eastAsia="zh-CN"/>
        </w:rPr>
        <w:t>≥</w:t>
      </w:r>
      <w:r>
        <w:rPr>
          <w:rFonts w:hint="eastAsia" w:ascii="仿宋_GB2312" w:hAnsi="仿宋_GB2312" w:cs="仿宋_GB2312"/>
          <w:sz w:val="32"/>
          <w:szCs w:val="32"/>
          <w:highlight w:val="none"/>
          <w:lang w:val="en-US" w:eastAsia="zh-CN"/>
        </w:rPr>
        <w:t>90%</w:t>
      </w:r>
      <w:r>
        <w:rPr>
          <w:rFonts w:hint="eastAsia" w:ascii="仿宋_GB2312" w:hAnsi="仿宋_GB2312" w:eastAsia="仿宋_GB2312" w:cs="仿宋_GB2312"/>
          <w:sz w:val="32"/>
          <w:szCs w:val="32"/>
          <w:highlight w:val="none"/>
          <w:lang w:val="en-US" w:eastAsia="zh-CN"/>
        </w:rPr>
        <w:t>，实际完成100%</w:t>
      </w:r>
      <w:r>
        <w:rPr>
          <w:rFonts w:hint="eastAsia" w:ascii="仿宋_GB2312" w:hAnsi="仿宋_GB2312" w:cs="仿宋_GB2312"/>
          <w:sz w:val="32"/>
          <w:szCs w:val="32"/>
          <w:highlight w:val="none"/>
          <w:lang w:val="en-US" w:eastAsia="zh-CN"/>
        </w:rPr>
        <w:t>，指标分值3.33分，自评得分3.33分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61A0061D">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维修修护及时性</w:t>
      </w:r>
      <w:r>
        <w:rPr>
          <w:rFonts w:hint="eastAsia" w:ascii="仿宋_GB2312" w:hAnsi="仿宋_GB2312" w:cs="仿宋_GB2312"/>
          <w:b/>
          <w:bCs/>
          <w:sz w:val="32"/>
          <w:szCs w:val="32"/>
          <w:highlight w:val="none"/>
          <w:lang w:val="en-US" w:eastAsia="zh-CN"/>
        </w:rPr>
        <w:t>：</w:t>
      </w:r>
      <w:r>
        <w:rPr>
          <w:rFonts w:hint="eastAsia" w:hAnsi="宋体" w:cstheme="minorBidi"/>
          <w:b w:val="0"/>
          <w:bCs w:val="0"/>
          <w:kern w:val="2"/>
          <w:sz w:val="32"/>
          <w:szCs w:val="32"/>
          <w:lang w:val="en-US" w:eastAsia="zh-CN" w:bidi="ar-SA"/>
        </w:rPr>
        <w:t>我院派出法庭开展日常维修维护工作及时，</w:t>
      </w:r>
      <w:r>
        <w:rPr>
          <w:rFonts w:hint="eastAsia"/>
          <w:sz w:val="32"/>
          <w:szCs w:val="32"/>
          <w:lang w:eastAsia="zh-CN"/>
        </w:rPr>
        <w:t>达到年度指标值</w:t>
      </w:r>
      <w:r>
        <w:rPr>
          <w:rFonts w:hint="eastAsia"/>
          <w:sz w:val="32"/>
          <w:szCs w:val="32"/>
        </w:rPr>
        <w:t>。</w:t>
      </w:r>
      <w:r>
        <w:rPr>
          <w:rFonts w:hint="eastAsia" w:ascii="仿宋_GB2312" w:hAnsi="仿宋_GB2312" w:cs="仿宋_GB2312"/>
          <w:sz w:val="32"/>
          <w:szCs w:val="32"/>
          <w:highlight w:val="none"/>
          <w:lang w:val="en-US" w:eastAsia="zh-CN"/>
        </w:rPr>
        <w:t>年度指标值及时</w:t>
      </w:r>
      <w:r>
        <w:rPr>
          <w:rFonts w:hint="eastAsia" w:hAnsi="宋体"/>
          <w:sz w:val="32"/>
          <w:szCs w:val="32"/>
          <w:lang w:val="en-US" w:eastAsia="zh-CN"/>
        </w:rPr>
        <w:t>该</w:t>
      </w:r>
      <w:r>
        <w:rPr>
          <w:rFonts w:hint="eastAsia" w:hAnsi="宋体"/>
          <w:sz w:val="32"/>
          <w:szCs w:val="32"/>
        </w:rPr>
        <w:t>指标</w:t>
      </w:r>
      <w:r>
        <w:rPr>
          <w:rFonts w:hint="eastAsia" w:hAnsi="宋体"/>
          <w:sz w:val="32"/>
          <w:szCs w:val="32"/>
          <w:lang w:val="en-US" w:eastAsia="zh-CN"/>
        </w:rPr>
        <w:t>分值</w:t>
      </w:r>
      <w:r>
        <w:rPr>
          <w:rFonts w:hint="eastAsia" w:ascii="仿宋_GB2312" w:hAnsi="仿宋_GB2312" w:cs="仿宋_GB2312"/>
          <w:sz w:val="32"/>
          <w:szCs w:val="32"/>
          <w:highlight w:val="none"/>
          <w:lang w:val="en-US" w:eastAsia="zh-CN"/>
        </w:rPr>
        <w:t>3.33分</w:t>
      </w:r>
      <w:r>
        <w:rPr>
          <w:rFonts w:hint="eastAsia" w:ascii="仿宋_GB2312" w:hAnsi="仿宋_GB2312" w:eastAsia="仿宋_GB2312" w:cs="仿宋_GB2312"/>
          <w:sz w:val="32"/>
          <w:szCs w:val="32"/>
          <w:highlight w:val="none"/>
          <w:lang w:val="en-US" w:eastAsia="zh-CN"/>
        </w:rPr>
        <w:t>，实际完成100%</w:t>
      </w:r>
      <w:r>
        <w:rPr>
          <w:rFonts w:hint="eastAsia" w:ascii="仿宋_GB2312" w:hAnsi="仿宋_GB2312" w:cs="仿宋_GB2312"/>
          <w:sz w:val="32"/>
          <w:szCs w:val="32"/>
          <w:highlight w:val="none"/>
          <w:lang w:val="en-US" w:eastAsia="zh-CN"/>
        </w:rPr>
        <w:t>，指标分值3.33分，自评得分3.33分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2DE88D9C">
      <w:pPr>
        <w:keepNext w:val="0"/>
        <w:keepLines w:val="0"/>
        <w:pageBreakBefore w:val="0"/>
        <w:widowControl w:val="0"/>
        <w:kinsoku/>
        <w:wordWrap/>
        <w:overflowPunct/>
        <w:topLinePunct w:val="0"/>
        <w:autoSpaceDE w:val="0"/>
        <w:autoSpaceDN w:val="0"/>
        <w:bidi w:val="0"/>
        <w:adjustRightInd/>
        <w:snapToGrid/>
        <w:textAlignment w:val="auto"/>
        <w:rPr>
          <w:rFonts w:hint="eastAsia"/>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信息化运维工作及时性</w:t>
      </w:r>
      <w:r>
        <w:rPr>
          <w:rFonts w:hint="eastAsia" w:ascii="仿宋_GB2312" w:hAnsi="仿宋_GB2312" w:cs="仿宋_GB2312"/>
          <w:b/>
          <w:bCs/>
          <w:sz w:val="32"/>
          <w:szCs w:val="32"/>
          <w:highlight w:val="none"/>
          <w:lang w:val="en-US" w:eastAsia="zh-CN"/>
        </w:rPr>
        <w:t>：</w:t>
      </w:r>
      <w:r>
        <w:rPr>
          <w:rFonts w:hint="eastAsia" w:hAnsi="宋体"/>
          <w:b w:val="0"/>
          <w:bCs w:val="0"/>
          <w:sz w:val="32"/>
          <w:szCs w:val="32"/>
          <w:lang w:val="en-US" w:eastAsia="zh-CN"/>
        </w:rPr>
        <w:t>我院信息化运维服务已完成并通过验收，</w:t>
      </w:r>
      <w:r>
        <w:rPr>
          <w:rFonts w:hint="eastAsia"/>
          <w:sz w:val="32"/>
          <w:szCs w:val="24"/>
          <w:lang w:eastAsia="zh-CN"/>
        </w:rPr>
        <w:t>达到年度指标值</w:t>
      </w:r>
      <w:r>
        <w:rPr>
          <w:rFonts w:hint="eastAsia"/>
          <w:sz w:val="32"/>
          <w:szCs w:val="24"/>
        </w:rPr>
        <w:t>。</w:t>
      </w:r>
      <w:r>
        <w:rPr>
          <w:rFonts w:hint="eastAsia" w:ascii="仿宋_GB2312" w:hAnsi="仿宋_GB2312" w:cs="仿宋_GB2312"/>
          <w:sz w:val="32"/>
          <w:szCs w:val="32"/>
          <w:highlight w:val="none"/>
          <w:lang w:val="en-US" w:eastAsia="zh-CN"/>
        </w:rPr>
        <w:t>指标分值3.33分，自评得分3.33分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33B30F6A">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）项目效益指标完成情况分析</w:t>
      </w:r>
    </w:p>
    <w:p w14:paraId="7806D293">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项目效益指标包括</w:t>
      </w:r>
      <w:r>
        <w:rPr>
          <w:rFonts w:hint="eastAsia" w:ascii="仿宋_GB2312" w:hAnsi="仿宋_GB2312" w:cs="仿宋_GB2312"/>
          <w:sz w:val="32"/>
          <w:szCs w:val="32"/>
          <w:highlight w:val="none"/>
          <w:lang w:val="en-US" w:eastAsia="zh-CN"/>
        </w:rPr>
        <w:t>经济效益、</w:t>
      </w:r>
      <w:r>
        <w:rPr>
          <w:rFonts w:hint="eastAsia" w:ascii="仿宋_GB2312" w:hAnsi="仿宋_GB2312" w:eastAsia="仿宋_GB2312" w:cs="仿宋_GB2312"/>
          <w:sz w:val="32"/>
          <w:szCs w:val="32"/>
          <w:highlight w:val="none"/>
        </w:rPr>
        <w:t>社会效益</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生态效益3</w:t>
      </w:r>
      <w:r>
        <w:rPr>
          <w:rFonts w:hint="eastAsia" w:ascii="仿宋_GB2312" w:hAnsi="仿宋_GB2312" w:eastAsia="仿宋_GB2312" w:cs="仿宋_GB2312"/>
          <w:sz w:val="32"/>
          <w:szCs w:val="32"/>
          <w:highlight w:val="none"/>
        </w:rPr>
        <w:t>个二级指标，下设</w:t>
      </w:r>
      <w:r>
        <w:rPr>
          <w:rFonts w:hint="eastAsia" w:ascii="仿宋_GB2312" w:hAnsi="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个三级指标。指标分值</w:t>
      </w:r>
      <w:r>
        <w:rPr>
          <w:rFonts w:hint="eastAsia" w:ascii="仿宋_GB2312" w:hAnsi="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分，自评得分</w:t>
      </w:r>
      <w:r>
        <w:rPr>
          <w:rFonts w:hint="eastAsia" w:ascii="仿宋_GB2312" w:hAnsi="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分，得分率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195FA379">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1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①</w:t>
      </w:r>
      <w:r>
        <w:rPr>
          <w:rFonts w:hint="eastAsia" w:ascii="仿宋_GB2312" w:hAnsi="仿宋_GB2312" w:eastAsia="仿宋_GB2312" w:cs="仿宋_GB2312"/>
          <w:b/>
          <w:bCs/>
          <w:sz w:val="32"/>
          <w:szCs w:val="32"/>
          <w:highlight w:val="none"/>
        </w:rPr>
        <w:fldChar w:fldCharType="end"/>
      </w:r>
      <w:r>
        <w:rPr>
          <w:rFonts w:hint="eastAsia" w:ascii="仿宋_GB2312" w:hAnsi="仿宋_GB2312" w:cs="仿宋_GB2312"/>
          <w:b/>
          <w:bCs/>
          <w:sz w:val="32"/>
          <w:szCs w:val="32"/>
          <w:highlight w:val="none"/>
          <w:lang w:val="en-US" w:eastAsia="zh-CN"/>
        </w:rPr>
        <w:t>经济效益</w:t>
      </w:r>
    </w:p>
    <w:p w14:paraId="2D68F964">
      <w:pPr>
        <w:spacing w:line="600" w:lineRule="exact"/>
        <w:ind w:firstLine="643" w:firstLineChars="200"/>
        <w:jc w:val="left"/>
        <w:rPr>
          <w:rFonts w:hint="eastAsia" w:ascii="仿宋_GB2312" w:hAnsi="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挽回经济损失效果</w:t>
      </w:r>
      <w:r>
        <w:rPr>
          <w:rFonts w:hint="eastAsia" w:ascii="仿宋_GB2312" w:hAnsi="仿宋_GB2312" w:cs="仿宋_GB2312"/>
          <w:b/>
          <w:bCs/>
          <w:sz w:val="32"/>
          <w:szCs w:val="32"/>
          <w:highlight w:val="none"/>
          <w:lang w:val="en-US" w:eastAsia="zh-CN"/>
        </w:rPr>
        <w:t>：</w:t>
      </w:r>
      <w:r>
        <w:rPr>
          <w:rFonts w:hint="eastAsia" w:ascii="仿宋_GB2312" w:hAnsi="仿宋_GB2312" w:eastAsia="仿宋_GB2312" w:cs="仿宋_GB2312"/>
          <w:sz w:val="32"/>
          <w:szCs w:val="32"/>
          <w:lang w:val="en-US" w:eastAsia="zh-CN"/>
        </w:rPr>
        <w:t>2023年我院</w:t>
      </w:r>
      <w:r>
        <w:rPr>
          <w:rFonts w:hint="eastAsia" w:ascii="仿宋_GB2312" w:hAnsi="仿宋_GB2312" w:eastAsia="仿宋_GB2312" w:cs="仿宋_GB2312"/>
          <w:sz w:val="32"/>
          <w:szCs w:val="32"/>
        </w:rPr>
        <w:t>积极推动构建金融司法协同机制，助力做好高风险金融机构风险化解工作。开展不良资产清收处置“百日攻坚”和小额不良贷款“五位一体”联合清收行动。全年共受理涉金融纠纷诉讼案件</w:t>
      </w:r>
      <w:r>
        <w:rPr>
          <w:rStyle w:val="47"/>
          <w:rFonts w:ascii="Times New Roman" w:hAnsi="Times New Roman" w:eastAsia="仿宋_GB2312"/>
          <w:sz w:val="32"/>
          <w:szCs w:val="32"/>
        </w:rPr>
        <w:t>540</w:t>
      </w:r>
      <w:r>
        <w:rPr>
          <w:rFonts w:hint="eastAsia" w:ascii="仿宋_GB2312" w:hAnsi="仿宋_GB2312" w:eastAsia="仿宋_GB2312" w:cs="仿宋_GB2312"/>
          <w:sz w:val="32"/>
          <w:szCs w:val="32"/>
        </w:rPr>
        <w:t>件，已结</w:t>
      </w:r>
      <w:r>
        <w:rPr>
          <w:rStyle w:val="47"/>
          <w:rFonts w:ascii="Times New Roman" w:hAnsi="Times New Roman" w:eastAsia="仿宋_GB2312"/>
          <w:sz w:val="32"/>
          <w:szCs w:val="32"/>
        </w:rPr>
        <w:t>540</w:t>
      </w:r>
      <w:r>
        <w:rPr>
          <w:rFonts w:hint="eastAsia" w:ascii="仿宋_GB2312" w:hAnsi="仿宋_GB2312" w:eastAsia="仿宋_GB2312" w:cs="仿宋_GB2312"/>
          <w:sz w:val="32"/>
          <w:szCs w:val="32"/>
        </w:rPr>
        <w:t>件，审结率</w:t>
      </w:r>
      <w:r>
        <w:rPr>
          <w:rStyle w:val="47"/>
          <w:rFonts w:ascii="Times New Roman" w:hAnsi="Times New Roman" w:eastAsia="仿宋_GB2312"/>
          <w:sz w:val="32"/>
          <w:szCs w:val="32"/>
        </w:rPr>
        <w:t>100</w:t>
      </w:r>
      <w:r>
        <w:rPr>
          <w:rStyle w:val="47"/>
          <w:rFonts w:hint="eastAsia" w:ascii="Times New Roman" w:hAnsi="Times New Roman" w:eastAsia="仿宋_GB2312"/>
          <w:sz w:val="32"/>
          <w:szCs w:val="32"/>
        </w:rPr>
        <w:t>%</w:t>
      </w:r>
      <w:r>
        <w:rPr>
          <w:rFonts w:hint="eastAsia" w:ascii="仿宋_GB2312" w:hAnsi="仿宋_GB2312" w:eastAsia="仿宋_GB2312" w:cs="仿宋_GB2312"/>
          <w:sz w:val="32"/>
          <w:szCs w:val="32"/>
        </w:rPr>
        <w:t>，申请执行</w:t>
      </w:r>
      <w:r>
        <w:rPr>
          <w:rStyle w:val="47"/>
          <w:rFonts w:ascii="Times New Roman" w:hAnsi="Times New Roman" w:eastAsia="仿宋_GB2312"/>
          <w:sz w:val="32"/>
          <w:szCs w:val="32"/>
        </w:rPr>
        <w:t>374</w:t>
      </w:r>
      <w:r>
        <w:rPr>
          <w:rFonts w:hint="eastAsia" w:ascii="仿宋_GB2312" w:hAnsi="仿宋_GB2312" w:eastAsia="仿宋_GB2312" w:cs="仿宋_GB2312"/>
          <w:sz w:val="32"/>
          <w:szCs w:val="32"/>
        </w:rPr>
        <w:t>件，执行清收到位</w:t>
      </w:r>
      <w:r>
        <w:rPr>
          <w:rStyle w:val="47"/>
          <w:rFonts w:ascii="Times New Roman" w:hAnsi="Times New Roman" w:eastAsia="仿宋_GB2312"/>
          <w:sz w:val="32"/>
          <w:szCs w:val="32"/>
        </w:rPr>
        <w:t>1</w:t>
      </w:r>
      <w:r>
        <w:rPr>
          <w:rStyle w:val="47"/>
          <w:rFonts w:hint="eastAsia" w:ascii="Times New Roman" w:hAnsi="Times New Roman" w:eastAsia="仿宋_GB2312"/>
          <w:sz w:val="32"/>
          <w:szCs w:val="32"/>
        </w:rPr>
        <w:t>.</w:t>
      </w:r>
      <w:r>
        <w:rPr>
          <w:rStyle w:val="47"/>
          <w:rFonts w:ascii="Times New Roman" w:hAnsi="Times New Roman" w:eastAsia="仿宋_GB2312"/>
          <w:sz w:val="32"/>
          <w:szCs w:val="32"/>
        </w:rPr>
        <w:t>22</w:t>
      </w:r>
      <w:r>
        <w:rPr>
          <w:rStyle w:val="47"/>
          <w:rFonts w:hint="eastAsia" w:ascii="Times New Roman" w:hAnsi="Times New Roman" w:eastAsia="仿宋_GB2312"/>
          <w:sz w:val="32"/>
          <w:szCs w:val="32"/>
        </w:rPr>
        <w:t>亿</w:t>
      </w:r>
      <w:r>
        <w:rPr>
          <w:rFonts w:hint="eastAsia" w:ascii="仿宋_GB2312" w:hAnsi="仿宋_GB2312" w:eastAsia="仿宋_GB2312" w:cs="仿宋_GB2312"/>
          <w:sz w:val="32"/>
          <w:szCs w:val="32"/>
        </w:rPr>
        <w:t>元</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发出支付令</w:t>
      </w:r>
      <w:r>
        <w:rPr>
          <w:rStyle w:val="47"/>
          <w:rFonts w:ascii="Times New Roman" w:hAnsi="Times New Roman" w:eastAsia="仿宋_GB2312"/>
          <w:sz w:val="32"/>
          <w:szCs w:val="32"/>
        </w:rPr>
        <w:t>20</w:t>
      </w:r>
      <w:r>
        <w:rPr>
          <w:rFonts w:hint="eastAsia" w:ascii="仿宋_GB2312" w:hAnsi="仿宋_GB2312" w:eastAsia="仿宋_GB2312" w:cs="仿宋_GB2312"/>
          <w:sz w:val="32"/>
          <w:szCs w:val="32"/>
        </w:rPr>
        <w:t>件，清收标的</w:t>
      </w:r>
      <w:r>
        <w:rPr>
          <w:rStyle w:val="47"/>
          <w:rFonts w:ascii="Times New Roman" w:hAnsi="Times New Roman" w:eastAsia="仿宋_GB2312"/>
          <w:sz w:val="32"/>
          <w:szCs w:val="32"/>
        </w:rPr>
        <w:t>136</w:t>
      </w:r>
      <w:r>
        <w:rPr>
          <w:rStyle w:val="47"/>
          <w:rFonts w:hint="eastAsia" w:ascii="Times New Roman" w:hAnsi="Times New Roman" w:eastAsia="仿宋_GB2312"/>
          <w:sz w:val="32"/>
          <w:szCs w:val="32"/>
        </w:rPr>
        <w:t>.</w:t>
      </w:r>
      <w:r>
        <w:rPr>
          <w:rStyle w:val="47"/>
          <w:rFonts w:ascii="Times New Roman" w:hAnsi="Times New Roman" w:eastAsia="仿宋_GB2312"/>
          <w:sz w:val="32"/>
          <w:szCs w:val="32"/>
        </w:rPr>
        <w:t>93</w:t>
      </w:r>
      <w:r>
        <w:rPr>
          <w:rFonts w:hint="eastAsia" w:ascii="仿宋_GB2312" w:hAnsi="仿宋_GB2312" w:eastAsia="仿宋_GB2312" w:cs="仿宋_GB2312"/>
          <w:sz w:val="32"/>
          <w:szCs w:val="32"/>
        </w:rPr>
        <w:t>万元，保障金融业持续健康发展。</w:t>
      </w:r>
      <w:r>
        <w:rPr>
          <w:rFonts w:hint="eastAsia" w:hAnsi="宋体"/>
          <w:sz w:val="32"/>
          <w:szCs w:val="32"/>
          <w:highlight w:val="none"/>
        </w:rPr>
        <w:t>指标分值</w:t>
      </w:r>
      <w:r>
        <w:rPr>
          <w:rFonts w:hint="eastAsia" w:ascii="仿宋_GB2312" w:hAnsi="仿宋_GB2312" w:cs="仿宋_GB2312"/>
          <w:sz w:val="32"/>
          <w:szCs w:val="32"/>
          <w:highlight w:val="none"/>
          <w:lang w:val="en-US" w:eastAsia="zh-CN"/>
        </w:rPr>
        <w:t>5分，自评得分5分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1FE670C0">
      <w:pPr>
        <w:keepNext w:val="0"/>
        <w:keepLines w:val="0"/>
        <w:pageBreakBefore w:val="0"/>
        <w:widowControl w:val="0"/>
        <w:kinsoku/>
        <w:wordWrap/>
        <w:overflowPunct/>
        <w:topLinePunct w:val="0"/>
        <w:autoSpaceDE w:val="0"/>
        <w:autoSpaceDN w:val="0"/>
        <w:bidi w:val="0"/>
        <w:adjustRightInd/>
        <w:snapToGrid/>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2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②</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社会效益</w:t>
      </w:r>
    </w:p>
    <w:p w14:paraId="4798E42E">
      <w:pPr>
        <w:spacing w:line="600" w:lineRule="exact"/>
        <w:ind w:firstLine="643" w:firstLineChars="200"/>
        <w:rPr>
          <w:rFonts w:hint="eastAsia" w:ascii="仿宋_GB2312" w:hAnsi="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维护社会稳定效果</w:t>
      </w:r>
      <w:r>
        <w:rPr>
          <w:rFonts w:hint="eastAsia" w:ascii="仿宋_GB2312" w:hAnsi="仿宋_GB2312" w:cs="仿宋_GB2312"/>
          <w:b/>
          <w:bCs/>
          <w:sz w:val="32"/>
          <w:szCs w:val="32"/>
          <w:highlight w:val="none"/>
          <w:lang w:val="en-US" w:eastAsia="zh-CN"/>
        </w:rPr>
        <w:t>：</w:t>
      </w:r>
      <w:r>
        <w:rPr>
          <w:rFonts w:hint="eastAsia" w:ascii="仿宋_GB2312" w:hAnsi="仿宋_GB2312" w:eastAsia="仿宋_GB2312" w:cs="仿宋_GB2312"/>
          <w:sz w:val="32"/>
          <w:szCs w:val="32"/>
          <w:lang w:val="en-US" w:eastAsia="zh-CN"/>
        </w:rPr>
        <w:t>2023年我院</w:t>
      </w:r>
      <w:r>
        <w:rPr>
          <w:rStyle w:val="47"/>
          <w:rFonts w:hint="eastAsia" w:ascii="仿宋_GB2312" w:hAnsi="仿宋_GB2312" w:eastAsia="仿宋_GB2312" w:cs="仿宋_GB2312"/>
          <w:sz w:val="32"/>
          <w:szCs w:val="32"/>
        </w:rPr>
        <w:t>向县综治中心、</w:t>
      </w:r>
      <w:r>
        <w:rPr>
          <w:rStyle w:val="47"/>
          <w:rFonts w:hint="eastAsia" w:ascii="仿宋_GB2312" w:hAnsi="仿宋_GB2312" w:eastAsia="仿宋_GB2312" w:cs="仿宋_GB2312"/>
          <w:sz w:val="32"/>
          <w:szCs w:val="32"/>
          <w:lang w:val="en-US"/>
        </w:rPr>
        <w:t>帮扶乡村</w:t>
      </w:r>
      <w:r>
        <w:rPr>
          <w:rStyle w:val="47"/>
          <w:rFonts w:hint="eastAsia" w:ascii="仿宋_GB2312" w:hAnsi="仿宋_GB2312" w:eastAsia="仿宋_GB2312" w:cs="仿宋_GB2312"/>
          <w:sz w:val="32"/>
          <w:szCs w:val="32"/>
        </w:rPr>
        <w:t>派驻工作人员</w:t>
      </w:r>
      <w:r>
        <w:rPr>
          <w:rStyle w:val="47"/>
          <w:rFonts w:ascii="Times New Roman" w:hAnsi="Times New Roman" w:eastAsia="仿宋_GB2312"/>
          <w:sz w:val="32"/>
          <w:szCs w:val="32"/>
        </w:rPr>
        <w:t>5</w:t>
      </w:r>
      <w:r>
        <w:rPr>
          <w:rStyle w:val="47"/>
          <w:rFonts w:hint="eastAsia" w:ascii="仿宋_GB2312" w:hAnsi="仿宋_GB2312" w:eastAsia="仿宋_GB2312" w:cs="仿宋_GB2312"/>
          <w:sz w:val="32"/>
          <w:szCs w:val="32"/>
        </w:rPr>
        <w:t>名，</w:t>
      </w:r>
      <w:r>
        <w:rPr>
          <w:rStyle w:val="47"/>
          <w:rFonts w:ascii="Times New Roman" w:hAnsi="Times New Roman" w:eastAsia="仿宋_GB2312"/>
          <w:sz w:val="32"/>
          <w:szCs w:val="32"/>
        </w:rPr>
        <w:t>4</w:t>
      </w:r>
      <w:r>
        <w:rPr>
          <w:rStyle w:val="47"/>
          <w:rFonts w:hint="eastAsia" w:ascii="仿宋_GB2312" w:hAnsi="仿宋_GB2312" w:eastAsia="仿宋_GB2312" w:cs="仿宋_GB2312"/>
          <w:sz w:val="32"/>
          <w:szCs w:val="32"/>
        </w:rPr>
        <w:t>名基层法庭负责人兼任乡镇综治中心业务指导员，共同参与县乡综合治理和矛盾纠纷前端化解工作，共化解各类矛盾</w:t>
      </w:r>
      <w:r>
        <w:rPr>
          <w:rStyle w:val="47"/>
          <w:rFonts w:ascii="Times New Roman" w:hAnsi="Times New Roman" w:eastAsia="仿宋_GB2312"/>
          <w:sz w:val="32"/>
          <w:szCs w:val="32"/>
        </w:rPr>
        <w:t>325</w:t>
      </w:r>
      <w:r>
        <w:rPr>
          <w:rStyle w:val="47"/>
          <w:rFonts w:hint="eastAsia" w:ascii="仿宋_GB2312" w:hAnsi="仿宋_GB2312" w:eastAsia="仿宋_GB2312" w:cs="仿宋_GB2312"/>
          <w:sz w:val="32"/>
          <w:szCs w:val="32"/>
        </w:rPr>
        <w:t>件，及时消除不稳定隐患。深化</w:t>
      </w:r>
      <w:r>
        <w:rPr>
          <w:rFonts w:hint="eastAsia" w:ascii="仿宋_GB2312" w:hAnsi="仿宋_GB2312" w:eastAsia="仿宋_GB2312" w:cs="仿宋_GB2312"/>
          <w:sz w:val="32"/>
          <w:szCs w:val="32"/>
        </w:rPr>
        <w:t>“院长接访月”活动，实质性化解涉诉信访案件</w:t>
      </w:r>
      <w:r>
        <w:rPr>
          <w:rStyle w:val="47"/>
          <w:rFonts w:ascii="Times New Roman" w:hAnsi="Times New Roman" w:eastAsia="仿宋_GB2312"/>
          <w:sz w:val="32"/>
          <w:szCs w:val="32"/>
        </w:rPr>
        <w:t>25</w:t>
      </w:r>
      <w:r>
        <w:rPr>
          <w:rStyle w:val="47"/>
          <w:rFonts w:hint="eastAsia" w:ascii="仿宋_GB2312" w:hAnsi="仿宋_GB2312" w:eastAsia="仿宋_GB2312" w:cs="仿宋_GB2312"/>
          <w:sz w:val="32"/>
          <w:szCs w:val="32"/>
        </w:rPr>
        <w:t>件。</w:t>
      </w:r>
      <w:r>
        <w:rPr>
          <w:rFonts w:hint="eastAsia" w:ascii="仿宋_GB2312" w:hAnsi="仿宋_GB2312" w:eastAsia="仿宋_GB2312" w:cs="仿宋_GB2312"/>
          <w:bCs/>
          <w:sz w:val="32"/>
          <w:szCs w:val="32"/>
        </w:rPr>
        <w:t>法官干警上街道、走村户、进校园，开展国家安全、网络诈骗、生态环境等普法宣传活动</w:t>
      </w:r>
      <w:r>
        <w:rPr>
          <w:rStyle w:val="47"/>
          <w:rFonts w:ascii="Times New Roman" w:hAnsi="Times New Roman" w:eastAsia="仿宋_GB2312"/>
          <w:sz w:val="32"/>
          <w:szCs w:val="32"/>
        </w:rPr>
        <w:t>50</w:t>
      </w:r>
      <w:r>
        <w:rPr>
          <w:rFonts w:hint="eastAsia" w:ascii="仿宋_GB2312" w:hAnsi="仿宋_GB2312" w:eastAsia="仿宋_GB2312" w:cs="仿宋_GB2312"/>
          <w:bCs/>
          <w:sz w:val="32"/>
          <w:szCs w:val="32"/>
        </w:rPr>
        <w:t>余场次，开展巡回审判、模拟法庭、走近法院等公众开放活动</w:t>
      </w:r>
      <w:r>
        <w:rPr>
          <w:rStyle w:val="47"/>
          <w:rFonts w:ascii="Times New Roman" w:hAnsi="Times New Roman" w:eastAsia="仿宋_GB2312"/>
          <w:sz w:val="32"/>
          <w:szCs w:val="32"/>
        </w:rPr>
        <w:t>60</w:t>
      </w:r>
      <w:r>
        <w:rPr>
          <w:rFonts w:hint="eastAsia" w:ascii="仿宋_GB2312" w:hAnsi="仿宋_GB2312" w:eastAsia="仿宋_GB2312" w:cs="仿宋_GB2312"/>
          <w:bCs/>
          <w:sz w:val="32"/>
          <w:szCs w:val="32"/>
        </w:rPr>
        <w:t>余场次，群众遵纪守法意识逐步增强。</w:t>
      </w:r>
      <w:r>
        <w:rPr>
          <w:rFonts w:hint="eastAsia" w:ascii="仿宋_GB2312" w:hAnsi="仿宋_GB2312" w:cs="仿宋_GB2312"/>
          <w:sz w:val="32"/>
          <w:szCs w:val="32"/>
          <w:highlight w:val="none"/>
          <w:lang w:val="en-US" w:eastAsia="zh-CN"/>
        </w:rPr>
        <w:t>指标分值5分，自评得分5分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cs="仿宋_GB2312"/>
          <w:sz w:val="32"/>
          <w:szCs w:val="32"/>
          <w:highlight w:val="none"/>
          <w:lang w:eastAsia="zh-CN"/>
        </w:rPr>
        <w:t>。</w:t>
      </w:r>
    </w:p>
    <w:p w14:paraId="427BF0E1">
      <w:pPr>
        <w:spacing w:line="600" w:lineRule="exact"/>
        <w:ind w:firstLine="643"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有效保障审判</w:t>
      </w:r>
      <w:r>
        <w:rPr>
          <w:rFonts w:hint="eastAsia" w:ascii="仿宋_GB2312" w:hAnsi="仿宋_GB2312" w:cs="仿宋_GB2312"/>
          <w:b/>
          <w:bCs/>
          <w:sz w:val="32"/>
          <w:szCs w:val="32"/>
          <w:highlight w:val="none"/>
          <w:lang w:val="en-US" w:eastAsia="zh-CN"/>
        </w:rPr>
        <w:t>服务</w:t>
      </w:r>
      <w:r>
        <w:rPr>
          <w:rFonts w:hint="eastAsia" w:ascii="仿宋_GB2312" w:hAnsi="仿宋_GB2312" w:eastAsia="仿宋_GB2312" w:cs="仿宋_GB2312"/>
          <w:b/>
          <w:bCs/>
          <w:sz w:val="32"/>
          <w:szCs w:val="32"/>
          <w:highlight w:val="none"/>
          <w:lang w:val="en-US" w:eastAsia="zh-CN"/>
        </w:rPr>
        <w:t>工作</w:t>
      </w:r>
      <w:r>
        <w:rPr>
          <w:rFonts w:hint="eastAsia" w:ascii="仿宋_GB2312" w:hAnsi="仿宋_GB2312" w:cs="仿宋_GB2312"/>
          <w:b/>
          <w:bCs/>
          <w:sz w:val="32"/>
          <w:szCs w:val="32"/>
          <w:highlight w:val="none"/>
          <w:lang w:val="en-US" w:eastAsia="zh-CN"/>
        </w:rPr>
        <w:t>：</w:t>
      </w:r>
      <w:r>
        <w:rPr>
          <w:rFonts w:hint="eastAsia" w:ascii="仿宋_GB2312" w:hAnsi="仿宋_GB2312" w:eastAsia="仿宋_GB2312" w:cs="仿宋_GB2312"/>
          <w:sz w:val="32"/>
          <w:szCs w:val="32"/>
        </w:rPr>
        <w:t>我院保障基层法庭的正常运行，后勤保障能力得到提升，水电暖运行通畅，日常维修维护及时，有效保障审判服务。</w:t>
      </w:r>
      <w:r>
        <w:rPr>
          <w:rFonts w:hint="eastAsia" w:ascii="仿宋_GB2312" w:hAnsi="仿宋_GB2312" w:cs="仿宋_GB2312"/>
          <w:sz w:val="32"/>
          <w:szCs w:val="32"/>
          <w:highlight w:val="none"/>
          <w:lang w:val="en-US" w:eastAsia="zh-CN"/>
        </w:rPr>
        <w:t>指标分值5分，自评得分5分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03DD7E1A">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3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③</w:t>
      </w:r>
      <w:r>
        <w:rPr>
          <w:rFonts w:hint="eastAsia" w:ascii="仿宋_GB2312" w:hAnsi="仿宋_GB2312" w:eastAsia="仿宋_GB2312" w:cs="仿宋_GB2312"/>
          <w:b/>
          <w:bCs/>
          <w:sz w:val="32"/>
          <w:szCs w:val="32"/>
          <w:highlight w:val="none"/>
        </w:rPr>
        <w:fldChar w:fldCharType="end"/>
      </w:r>
      <w:r>
        <w:rPr>
          <w:rFonts w:hint="eastAsia" w:ascii="仿宋_GB2312" w:hAnsi="仿宋_GB2312" w:cs="仿宋_GB2312"/>
          <w:b/>
          <w:bCs/>
          <w:sz w:val="32"/>
          <w:szCs w:val="32"/>
          <w:highlight w:val="none"/>
          <w:lang w:val="en-US" w:eastAsia="zh-CN"/>
        </w:rPr>
        <w:t>生态效益</w:t>
      </w:r>
    </w:p>
    <w:p w14:paraId="60BAD73B">
      <w:pPr>
        <w:spacing w:line="600" w:lineRule="exact"/>
        <w:ind w:firstLine="643" w:firstLineChars="200"/>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打击违法犯罪，维护</w:t>
      </w:r>
      <w:r>
        <w:rPr>
          <w:rFonts w:hint="eastAsia" w:ascii="仿宋_GB2312" w:hAnsi="仿宋_GB2312" w:cs="仿宋_GB2312"/>
          <w:b/>
          <w:bCs/>
          <w:sz w:val="32"/>
          <w:szCs w:val="32"/>
          <w:highlight w:val="none"/>
          <w:lang w:val="en-US" w:eastAsia="zh-CN"/>
        </w:rPr>
        <w:t>生态秩序：</w:t>
      </w:r>
      <w:r>
        <w:rPr>
          <w:rStyle w:val="47"/>
          <w:rFonts w:hint="eastAsia" w:ascii="仿宋_GB2312" w:hAnsi="仿宋_GB2312" w:eastAsia="仿宋_GB2312" w:cs="仿宋_GB2312"/>
          <w:sz w:val="32"/>
          <w:szCs w:val="32"/>
        </w:rPr>
        <w:t>坚持惩罚犯罪与保障人权相统一，依法审理各类刑事案件。受理刑事案件</w:t>
      </w:r>
      <w:r>
        <w:rPr>
          <w:rStyle w:val="47"/>
          <w:rFonts w:ascii="Times New Roman" w:hAnsi="Times New Roman" w:eastAsia="仿宋_GB2312"/>
          <w:sz w:val="32"/>
          <w:szCs w:val="32"/>
        </w:rPr>
        <w:t>159</w:t>
      </w:r>
      <w:r>
        <w:rPr>
          <w:rStyle w:val="47"/>
          <w:rFonts w:hint="eastAsia" w:ascii="仿宋_GB2312" w:hAnsi="仿宋_GB2312" w:eastAsia="仿宋_GB2312" w:cs="仿宋_GB2312"/>
          <w:sz w:val="32"/>
          <w:szCs w:val="32"/>
        </w:rPr>
        <w:t>件，结案</w:t>
      </w:r>
      <w:r>
        <w:rPr>
          <w:rStyle w:val="47"/>
          <w:rFonts w:ascii="Times New Roman" w:hAnsi="Times New Roman" w:eastAsia="仿宋_GB2312"/>
          <w:sz w:val="32"/>
          <w:szCs w:val="32"/>
        </w:rPr>
        <w:t>158</w:t>
      </w:r>
      <w:r>
        <w:rPr>
          <w:rStyle w:val="47"/>
          <w:rFonts w:hint="eastAsia" w:ascii="仿宋_GB2312" w:hAnsi="仿宋_GB2312" w:eastAsia="仿宋_GB2312" w:cs="仿宋_GB2312"/>
          <w:sz w:val="32"/>
          <w:szCs w:val="32"/>
        </w:rPr>
        <w:t>件，结案率</w:t>
      </w:r>
      <w:r>
        <w:rPr>
          <w:rStyle w:val="47"/>
          <w:rFonts w:ascii="Times New Roman" w:hAnsi="Times New Roman" w:eastAsia="仿宋_GB2312"/>
          <w:sz w:val="32"/>
          <w:szCs w:val="32"/>
        </w:rPr>
        <w:t>99</w:t>
      </w:r>
      <w:r>
        <w:rPr>
          <w:rStyle w:val="47"/>
          <w:rFonts w:hint="eastAsia" w:ascii="Times New Roman" w:hAnsi="Times New Roman" w:eastAsia="仿宋_GB2312"/>
          <w:sz w:val="32"/>
          <w:szCs w:val="32"/>
        </w:rPr>
        <w:t>.</w:t>
      </w:r>
      <w:r>
        <w:rPr>
          <w:rStyle w:val="47"/>
          <w:rFonts w:ascii="Times New Roman" w:hAnsi="Times New Roman" w:eastAsia="仿宋_GB2312"/>
          <w:sz w:val="32"/>
          <w:szCs w:val="32"/>
        </w:rPr>
        <w:t>37</w:t>
      </w:r>
      <w:r>
        <w:rPr>
          <w:rStyle w:val="47"/>
          <w:rFonts w:hint="eastAsia" w:ascii="仿宋_GB2312" w:hAnsi="仿宋_GB2312" w:eastAsia="仿宋_GB2312" w:cs="仿宋_GB2312"/>
          <w:sz w:val="32"/>
          <w:szCs w:val="32"/>
        </w:rPr>
        <w:t>%，惩治罪犯</w:t>
      </w:r>
      <w:r>
        <w:rPr>
          <w:rStyle w:val="47"/>
          <w:rFonts w:ascii="Times New Roman" w:hAnsi="Times New Roman" w:eastAsia="仿宋_GB2312"/>
          <w:sz w:val="32"/>
          <w:szCs w:val="32"/>
        </w:rPr>
        <w:t>308</w:t>
      </w:r>
      <w:r>
        <w:rPr>
          <w:rStyle w:val="47"/>
          <w:rFonts w:hint="eastAsia" w:ascii="仿宋_GB2312" w:hAnsi="仿宋_GB2312" w:eastAsia="仿宋_GB2312" w:cs="仿宋_GB2312"/>
          <w:sz w:val="32"/>
          <w:szCs w:val="32"/>
        </w:rPr>
        <w:t>人。判处两抢一盗、贩毒、破坏易燃易爆设备等严重影响社会治安犯罪</w:t>
      </w:r>
      <w:r>
        <w:rPr>
          <w:rStyle w:val="47"/>
          <w:rFonts w:ascii="Times New Roman" w:hAnsi="Times New Roman" w:eastAsia="仿宋_GB2312"/>
          <w:sz w:val="32"/>
          <w:szCs w:val="32"/>
        </w:rPr>
        <w:t>5</w:t>
      </w:r>
      <w:r>
        <w:rPr>
          <w:rStyle w:val="47"/>
          <w:rFonts w:hint="eastAsia" w:ascii="仿宋_GB2312" w:hAnsi="仿宋_GB2312" w:eastAsia="仿宋_GB2312" w:cs="仿宋_GB2312"/>
          <w:sz w:val="32"/>
          <w:szCs w:val="32"/>
        </w:rPr>
        <w:t>年以上重刑</w:t>
      </w:r>
      <w:r>
        <w:rPr>
          <w:rStyle w:val="47"/>
          <w:rFonts w:ascii="Times New Roman" w:hAnsi="Times New Roman" w:eastAsia="仿宋_GB2312"/>
          <w:sz w:val="32"/>
          <w:szCs w:val="32"/>
        </w:rPr>
        <w:t>10</w:t>
      </w:r>
      <w:r>
        <w:rPr>
          <w:rStyle w:val="47"/>
          <w:rFonts w:hint="eastAsia" w:ascii="仿宋_GB2312" w:hAnsi="仿宋_GB2312" w:eastAsia="仿宋_GB2312" w:cs="仿宋_GB2312"/>
          <w:sz w:val="32"/>
          <w:szCs w:val="32"/>
        </w:rPr>
        <w:t>人；判处危害公共安全的危险驾驶罪</w:t>
      </w:r>
      <w:r>
        <w:rPr>
          <w:rStyle w:val="47"/>
          <w:rFonts w:ascii="Times New Roman" w:hAnsi="Times New Roman" w:eastAsia="仿宋_GB2312"/>
          <w:sz w:val="32"/>
          <w:szCs w:val="32"/>
        </w:rPr>
        <w:t>51</w:t>
      </w:r>
      <w:r>
        <w:rPr>
          <w:rStyle w:val="47"/>
          <w:rFonts w:hint="eastAsia" w:ascii="仿宋_GB2312" w:hAnsi="仿宋_GB2312" w:eastAsia="仿宋_GB2312" w:cs="仿宋_GB2312"/>
          <w:sz w:val="32"/>
          <w:szCs w:val="32"/>
        </w:rPr>
        <w:t>案实刑</w:t>
      </w:r>
      <w:r>
        <w:rPr>
          <w:rStyle w:val="47"/>
          <w:rFonts w:ascii="Times New Roman" w:hAnsi="Times New Roman" w:eastAsia="仿宋_GB2312"/>
          <w:sz w:val="32"/>
          <w:szCs w:val="32"/>
        </w:rPr>
        <w:t>28</w:t>
      </w:r>
      <w:r>
        <w:rPr>
          <w:rStyle w:val="47"/>
          <w:rFonts w:hint="eastAsia" w:ascii="仿宋_GB2312" w:hAnsi="仿宋_GB2312" w:eastAsia="仿宋_GB2312" w:cs="仿宋_GB2312"/>
          <w:sz w:val="32"/>
          <w:szCs w:val="32"/>
        </w:rPr>
        <w:t>人；判处电信网络、金融领域犯罪</w:t>
      </w:r>
      <w:r>
        <w:rPr>
          <w:rStyle w:val="47"/>
          <w:rFonts w:ascii="Times New Roman" w:hAnsi="Times New Roman" w:eastAsia="仿宋_GB2312"/>
          <w:sz w:val="32"/>
          <w:szCs w:val="32"/>
        </w:rPr>
        <w:t>16</w:t>
      </w:r>
      <w:r>
        <w:rPr>
          <w:rStyle w:val="47"/>
          <w:rFonts w:hint="eastAsia" w:ascii="仿宋_GB2312" w:hAnsi="仿宋_GB2312" w:eastAsia="仿宋_GB2312" w:cs="仿宋_GB2312"/>
          <w:sz w:val="32"/>
          <w:szCs w:val="32"/>
        </w:rPr>
        <w:t>案</w:t>
      </w:r>
      <w:r>
        <w:rPr>
          <w:rStyle w:val="47"/>
          <w:rFonts w:ascii="Times New Roman" w:hAnsi="Times New Roman" w:eastAsia="仿宋_GB2312"/>
          <w:sz w:val="32"/>
          <w:szCs w:val="32"/>
        </w:rPr>
        <w:t>49</w:t>
      </w:r>
      <w:r>
        <w:rPr>
          <w:rStyle w:val="47"/>
          <w:rFonts w:hint="eastAsia" w:ascii="仿宋_GB2312" w:hAnsi="仿宋_GB2312" w:eastAsia="仿宋_GB2312" w:cs="仿宋_GB2312"/>
          <w:sz w:val="32"/>
          <w:szCs w:val="32"/>
        </w:rPr>
        <w:t>人，没收违法所得</w:t>
      </w:r>
      <w:r>
        <w:rPr>
          <w:rStyle w:val="47"/>
          <w:rFonts w:ascii="Times New Roman" w:hAnsi="Times New Roman" w:eastAsia="仿宋_GB2312"/>
          <w:sz w:val="32"/>
          <w:szCs w:val="32"/>
        </w:rPr>
        <w:t>11</w:t>
      </w:r>
      <w:r>
        <w:rPr>
          <w:rStyle w:val="47"/>
          <w:rFonts w:hint="eastAsia" w:ascii="Times New Roman" w:hAnsi="Times New Roman" w:eastAsia="仿宋_GB2312"/>
          <w:sz w:val="32"/>
          <w:szCs w:val="32"/>
        </w:rPr>
        <w:t>.</w:t>
      </w:r>
      <w:r>
        <w:rPr>
          <w:rStyle w:val="47"/>
          <w:rFonts w:ascii="Times New Roman" w:hAnsi="Times New Roman" w:eastAsia="仿宋_GB2312"/>
          <w:sz w:val="32"/>
          <w:szCs w:val="32"/>
        </w:rPr>
        <w:t>7</w:t>
      </w:r>
      <w:r>
        <w:rPr>
          <w:rStyle w:val="47"/>
          <w:rFonts w:hint="eastAsia" w:ascii="仿宋_GB2312" w:hAnsi="仿宋_GB2312" w:eastAsia="仿宋_GB2312" w:cs="仿宋_GB2312"/>
          <w:sz w:val="32"/>
          <w:szCs w:val="32"/>
        </w:rPr>
        <w:t>万元，退赃退赔、挽回群众</w:t>
      </w:r>
      <w:r>
        <w:rPr>
          <w:rStyle w:val="47"/>
          <w:rFonts w:hint="eastAsia" w:ascii="仿宋_GB2312" w:hAnsi="仿宋_GB2312" w:eastAsia="仿宋_GB2312" w:cs="仿宋_GB2312"/>
          <w:spacing w:val="4"/>
          <w:sz w:val="32"/>
          <w:szCs w:val="32"/>
        </w:rPr>
        <w:t>损失</w:t>
      </w:r>
      <w:r>
        <w:rPr>
          <w:rStyle w:val="47"/>
          <w:rFonts w:ascii="Times New Roman" w:hAnsi="Times New Roman" w:eastAsia="仿宋_GB2312"/>
          <w:spacing w:val="4"/>
          <w:sz w:val="32"/>
          <w:szCs w:val="32"/>
        </w:rPr>
        <w:t>200</w:t>
      </w:r>
      <w:r>
        <w:rPr>
          <w:rStyle w:val="47"/>
          <w:rFonts w:hint="eastAsia" w:ascii="Times New Roman" w:hAnsi="Times New Roman" w:eastAsia="仿宋_GB2312"/>
          <w:spacing w:val="4"/>
          <w:sz w:val="32"/>
          <w:szCs w:val="32"/>
        </w:rPr>
        <w:t>.</w:t>
      </w:r>
      <w:r>
        <w:rPr>
          <w:rStyle w:val="47"/>
          <w:rFonts w:ascii="Times New Roman" w:hAnsi="Times New Roman" w:eastAsia="仿宋_GB2312"/>
          <w:spacing w:val="4"/>
          <w:sz w:val="32"/>
          <w:szCs w:val="32"/>
        </w:rPr>
        <w:t>39</w:t>
      </w:r>
      <w:r>
        <w:rPr>
          <w:rStyle w:val="47"/>
          <w:rFonts w:hint="eastAsia" w:ascii="仿宋_GB2312" w:hAnsi="仿宋_GB2312" w:eastAsia="仿宋_GB2312" w:cs="仿宋_GB2312"/>
          <w:spacing w:val="4"/>
          <w:sz w:val="32"/>
          <w:szCs w:val="32"/>
        </w:rPr>
        <w:t>万元；判处刑事附带民事公益诉讼盗掘古脊椎动物化石（盗挖龙骨）罪</w:t>
      </w:r>
      <w:r>
        <w:rPr>
          <w:rStyle w:val="47"/>
          <w:rFonts w:ascii="Times New Roman" w:hAnsi="Times New Roman" w:eastAsia="仿宋_GB2312"/>
          <w:spacing w:val="4"/>
          <w:sz w:val="32"/>
          <w:szCs w:val="32"/>
        </w:rPr>
        <w:t>10</w:t>
      </w:r>
      <w:r>
        <w:rPr>
          <w:rStyle w:val="47"/>
          <w:rFonts w:hint="eastAsia" w:ascii="仿宋_GB2312" w:hAnsi="仿宋_GB2312" w:eastAsia="仿宋_GB2312" w:cs="仿宋_GB2312"/>
          <w:spacing w:val="4"/>
          <w:sz w:val="32"/>
          <w:szCs w:val="32"/>
        </w:rPr>
        <w:t>案</w:t>
      </w:r>
      <w:r>
        <w:rPr>
          <w:rStyle w:val="47"/>
          <w:rFonts w:ascii="Times New Roman" w:hAnsi="Times New Roman" w:eastAsia="仿宋_GB2312"/>
          <w:spacing w:val="4"/>
          <w:sz w:val="32"/>
          <w:szCs w:val="32"/>
        </w:rPr>
        <w:t>35</w:t>
      </w:r>
      <w:r>
        <w:rPr>
          <w:rStyle w:val="47"/>
          <w:rFonts w:hint="eastAsia" w:ascii="仿宋_GB2312" w:hAnsi="仿宋_GB2312" w:eastAsia="仿宋_GB2312" w:cs="仿宋_GB2312"/>
          <w:spacing w:val="4"/>
          <w:sz w:val="32"/>
          <w:szCs w:val="32"/>
        </w:rPr>
        <w:t>人；配合开展反腐败斗争判处涉公职人员职务类犯罪</w:t>
      </w:r>
      <w:r>
        <w:rPr>
          <w:rStyle w:val="47"/>
          <w:rFonts w:ascii="Times New Roman" w:hAnsi="Times New Roman" w:eastAsia="仿宋_GB2312"/>
          <w:spacing w:val="4"/>
          <w:sz w:val="32"/>
          <w:szCs w:val="32"/>
        </w:rPr>
        <w:t>3</w:t>
      </w:r>
      <w:r>
        <w:rPr>
          <w:rStyle w:val="47"/>
          <w:rFonts w:hint="eastAsia" w:ascii="仿宋_GB2312" w:hAnsi="仿宋_GB2312" w:eastAsia="仿宋_GB2312" w:cs="仿宋_GB2312"/>
          <w:spacing w:val="4"/>
          <w:sz w:val="32"/>
          <w:szCs w:val="32"/>
        </w:rPr>
        <w:t>案</w:t>
      </w:r>
      <w:r>
        <w:rPr>
          <w:rStyle w:val="47"/>
          <w:rFonts w:ascii="Times New Roman" w:hAnsi="Times New Roman" w:eastAsia="仿宋_GB2312"/>
          <w:spacing w:val="4"/>
          <w:sz w:val="32"/>
          <w:szCs w:val="32"/>
        </w:rPr>
        <w:t>3</w:t>
      </w:r>
      <w:r>
        <w:rPr>
          <w:rStyle w:val="47"/>
          <w:rFonts w:hint="eastAsia" w:ascii="仿宋_GB2312" w:hAnsi="仿宋_GB2312" w:eastAsia="仿宋_GB2312" w:cs="仿宋_GB2312"/>
          <w:spacing w:val="4"/>
          <w:sz w:val="32"/>
          <w:szCs w:val="32"/>
        </w:rPr>
        <w:t>人；判处偷越国边境新型犯罪</w:t>
      </w:r>
      <w:r>
        <w:rPr>
          <w:rStyle w:val="47"/>
          <w:rFonts w:ascii="Times New Roman" w:hAnsi="Times New Roman" w:eastAsia="仿宋_GB2312"/>
          <w:spacing w:val="4"/>
          <w:sz w:val="32"/>
          <w:szCs w:val="32"/>
        </w:rPr>
        <w:t>1</w:t>
      </w:r>
      <w:r>
        <w:rPr>
          <w:rStyle w:val="47"/>
          <w:rFonts w:hint="eastAsia" w:ascii="仿宋_GB2312" w:hAnsi="仿宋_GB2312" w:eastAsia="仿宋_GB2312" w:cs="仿宋_GB2312"/>
          <w:spacing w:val="4"/>
          <w:sz w:val="32"/>
          <w:szCs w:val="32"/>
        </w:rPr>
        <w:t>案</w:t>
      </w:r>
      <w:r>
        <w:rPr>
          <w:rStyle w:val="47"/>
          <w:rFonts w:ascii="Times New Roman" w:hAnsi="Times New Roman" w:eastAsia="仿宋_GB2312"/>
          <w:spacing w:val="4"/>
          <w:sz w:val="32"/>
          <w:szCs w:val="32"/>
        </w:rPr>
        <w:t>8</w:t>
      </w:r>
      <w:r>
        <w:rPr>
          <w:rStyle w:val="47"/>
          <w:rFonts w:hint="eastAsia" w:ascii="仿宋_GB2312" w:hAnsi="仿宋_GB2312" w:eastAsia="仿宋_GB2312" w:cs="仿宋_GB2312"/>
          <w:spacing w:val="4"/>
          <w:sz w:val="32"/>
          <w:szCs w:val="32"/>
        </w:rPr>
        <w:t>人。全面落实律师辩护全覆盖和认罪认罚从宽制度，为</w:t>
      </w:r>
      <w:r>
        <w:rPr>
          <w:rStyle w:val="47"/>
          <w:rFonts w:ascii="Times New Roman" w:hAnsi="Times New Roman" w:eastAsia="仿宋_GB2312"/>
          <w:spacing w:val="4"/>
          <w:sz w:val="32"/>
          <w:szCs w:val="32"/>
        </w:rPr>
        <w:t>121</w:t>
      </w:r>
      <w:r>
        <w:rPr>
          <w:rStyle w:val="47"/>
          <w:rFonts w:hint="eastAsia" w:ascii="仿宋_GB2312" w:hAnsi="仿宋_GB2312" w:eastAsia="仿宋_GB2312" w:cs="仿宋_GB2312"/>
          <w:spacing w:val="4"/>
          <w:sz w:val="32"/>
          <w:szCs w:val="32"/>
        </w:rPr>
        <w:t>名被告人指定辩护人，对</w:t>
      </w:r>
      <w:r>
        <w:rPr>
          <w:rStyle w:val="47"/>
          <w:rFonts w:ascii="Times New Roman" w:hAnsi="Times New Roman" w:eastAsia="仿宋_GB2312"/>
          <w:spacing w:val="4"/>
          <w:sz w:val="32"/>
          <w:szCs w:val="32"/>
        </w:rPr>
        <w:t>126</w:t>
      </w:r>
      <w:r>
        <w:rPr>
          <w:rStyle w:val="47"/>
          <w:rFonts w:hint="eastAsia" w:ascii="仿宋_GB2312" w:hAnsi="仿宋_GB2312" w:eastAsia="仿宋_GB2312" w:cs="仿宋_GB2312"/>
          <w:spacing w:val="4"/>
          <w:sz w:val="32"/>
          <w:szCs w:val="32"/>
        </w:rPr>
        <w:t>名犯罪情节较轻、有悔罪表现的被告人依法判处缓刑或免予刑事处罚，保障司法人权，促进社会稳定</w:t>
      </w:r>
      <w:r>
        <w:rPr>
          <w:rFonts w:hint="eastAsia" w:ascii="仿宋_GB2312" w:hAnsi="仿宋_GB2312" w:eastAsia="仿宋_GB2312" w:cs="仿宋_GB2312"/>
          <w:bCs/>
          <w:spacing w:val="4"/>
          <w:sz w:val="32"/>
          <w:szCs w:val="32"/>
        </w:rPr>
        <w:t>。</w:t>
      </w:r>
      <w:r>
        <w:rPr>
          <w:rFonts w:hint="eastAsia" w:ascii="仿宋_GB2312" w:hAnsi="仿宋_GB2312" w:cs="仿宋_GB2312"/>
          <w:sz w:val="32"/>
          <w:szCs w:val="32"/>
          <w:highlight w:val="none"/>
          <w:lang w:val="en-US" w:eastAsia="zh-CN"/>
        </w:rPr>
        <w:t>指标分值5分，自评得分5分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cs="仿宋_GB2312"/>
          <w:sz w:val="32"/>
          <w:szCs w:val="32"/>
          <w:highlight w:val="none"/>
          <w:lang w:eastAsia="zh-CN"/>
        </w:rPr>
        <w:t>。</w:t>
      </w:r>
    </w:p>
    <w:p w14:paraId="7C4DFCD4">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rPr>
        <w:t>）项目满意度指标完成情况分析</w:t>
      </w:r>
    </w:p>
    <w:p w14:paraId="57B8188A">
      <w:pPr>
        <w:keepNext w:val="0"/>
        <w:keepLines w:val="0"/>
        <w:pageBreakBefore w:val="0"/>
        <w:widowControl w:val="0"/>
        <w:kinsoku/>
        <w:wordWrap/>
        <w:overflowPunct/>
        <w:topLinePunct w:val="0"/>
        <w:autoSpaceDE w:val="0"/>
        <w:autoSpaceDN w:val="0"/>
        <w:bidi w:val="0"/>
        <w:adjustRightInd/>
        <w:snapToGrid/>
        <w:textAlignment w:val="auto"/>
        <w:rPr>
          <w:sz w:val="32"/>
          <w:szCs w:val="32"/>
          <w:highlight w:val="none"/>
        </w:rPr>
      </w:pPr>
      <w:r>
        <w:rPr>
          <w:rFonts w:hint="eastAsia" w:ascii="仿宋_GB2312" w:hAnsi="仿宋_GB2312" w:eastAsia="仿宋_GB2312" w:cs="仿宋_GB2312"/>
          <w:sz w:val="32"/>
          <w:szCs w:val="32"/>
          <w:highlight w:val="none"/>
        </w:rPr>
        <w:t>项目服务对象满意度指标主要为</w:t>
      </w:r>
      <w:r>
        <w:rPr>
          <w:rFonts w:hint="eastAsia" w:ascii="仿宋_GB2312" w:hAnsi="仿宋_GB2312" w:cs="仿宋_GB2312"/>
          <w:sz w:val="32"/>
          <w:szCs w:val="32"/>
          <w:highlight w:val="none"/>
          <w:lang w:val="en-US" w:eastAsia="zh-CN"/>
        </w:rPr>
        <w:t>当事人满意程度及干警满意程度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指标分值</w:t>
      </w:r>
      <w:r>
        <w:rPr>
          <w:rFonts w:hint="eastAsia" w:ascii="仿宋_GB2312" w:hAnsi="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分，自评得分</w:t>
      </w:r>
      <w:r>
        <w:rPr>
          <w:rFonts w:hint="eastAsia" w:ascii="仿宋_GB2312" w:hAnsi="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分，得分率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458448E3">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宋体" w:eastAsia="仿宋_GB2312" w:cstheme="minorBidi"/>
          <w:kern w:val="2"/>
          <w:sz w:val="32"/>
          <w:szCs w:val="32"/>
          <w:highlight w:val="none"/>
          <w:lang w:val="en-US" w:eastAsia="zh-CN" w:bidi="ar-SA"/>
        </w:rPr>
      </w:pPr>
      <w:r>
        <w:rPr>
          <w:rFonts w:hint="eastAsia" w:hAnsi="宋体"/>
          <w:b/>
          <w:bCs/>
          <w:sz w:val="32"/>
          <w:szCs w:val="32"/>
          <w:lang w:val="en-US" w:eastAsia="zh-CN"/>
        </w:rPr>
        <w:t>当事人</w:t>
      </w:r>
      <w:r>
        <w:rPr>
          <w:rFonts w:hint="eastAsia" w:hAnsi="宋体"/>
          <w:b/>
          <w:bCs/>
          <w:sz w:val="32"/>
          <w:szCs w:val="32"/>
        </w:rPr>
        <w:t>满意</w:t>
      </w:r>
      <w:r>
        <w:rPr>
          <w:rFonts w:hint="eastAsia" w:hAnsi="宋体"/>
          <w:b/>
          <w:bCs/>
          <w:sz w:val="32"/>
          <w:szCs w:val="32"/>
          <w:lang w:val="en-US" w:eastAsia="zh-CN"/>
        </w:rPr>
        <w:t>程</w:t>
      </w:r>
      <w:r>
        <w:rPr>
          <w:rFonts w:hint="eastAsia" w:hAnsi="宋体"/>
          <w:b/>
          <w:bCs/>
          <w:sz w:val="32"/>
          <w:szCs w:val="32"/>
        </w:rPr>
        <w:t>度：</w:t>
      </w:r>
      <w:r>
        <w:rPr>
          <w:rFonts w:hint="eastAsia"/>
          <w:sz w:val="32"/>
          <w:szCs w:val="24"/>
        </w:rPr>
        <w:t>我院积极审判各类案件，保障人民群众合法权益，</w:t>
      </w:r>
      <w:r>
        <w:rPr>
          <w:rFonts w:hint="eastAsia" w:ascii="仿宋_GB2312" w:hAnsi="宋体" w:eastAsia="仿宋_GB2312" w:cstheme="minorBidi"/>
          <w:kern w:val="2"/>
          <w:sz w:val="32"/>
          <w:szCs w:val="32"/>
          <w:highlight w:val="none"/>
          <w:lang w:val="en-US" w:eastAsia="zh-CN" w:bidi="ar-SA"/>
        </w:rPr>
        <w:t>有力维护社会安定和人民安宁</w:t>
      </w:r>
      <w:r>
        <w:rPr>
          <w:rFonts w:hint="eastAsia" w:hAnsi="宋体" w:cstheme="minorBidi"/>
          <w:kern w:val="2"/>
          <w:sz w:val="32"/>
          <w:szCs w:val="32"/>
          <w:highlight w:val="none"/>
          <w:lang w:val="en-US" w:eastAsia="zh-CN" w:bidi="ar-SA"/>
        </w:rPr>
        <w:t>。</w:t>
      </w:r>
      <w:r>
        <w:rPr>
          <w:rFonts w:hint="eastAsia" w:hAnsi="宋体"/>
          <w:b w:val="0"/>
          <w:bCs w:val="0"/>
          <w:sz w:val="32"/>
          <w:szCs w:val="32"/>
          <w:lang w:val="en-US" w:eastAsia="zh-CN"/>
        </w:rPr>
        <w:t>当事人</w:t>
      </w:r>
      <w:r>
        <w:rPr>
          <w:rFonts w:hint="eastAsia"/>
          <w:sz w:val="32"/>
          <w:szCs w:val="24"/>
          <w:highlight w:val="none"/>
        </w:rPr>
        <w:t>满意度达</w:t>
      </w:r>
      <w:r>
        <w:rPr>
          <w:rFonts w:hint="eastAsia" w:hAnsi="宋体"/>
          <w:sz w:val="32"/>
          <w:szCs w:val="36"/>
          <w:highlight w:val="none"/>
        </w:rPr>
        <w:t>到</w:t>
      </w:r>
      <w:r>
        <w:rPr>
          <w:rFonts w:hint="eastAsia" w:hAnsi="宋体"/>
          <w:sz w:val="32"/>
          <w:szCs w:val="36"/>
          <w:highlight w:val="none"/>
          <w:lang w:val="en-US" w:eastAsia="zh-CN"/>
        </w:rPr>
        <w:t>95</w:t>
      </w:r>
      <w:r>
        <w:rPr>
          <w:rFonts w:hint="eastAsia" w:hAnsi="宋体"/>
          <w:sz w:val="32"/>
          <w:szCs w:val="36"/>
          <w:highlight w:val="none"/>
        </w:rPr>
        <w:t>%</w:t>
      </w:r>
      <w:r>
        <w:rPr>
          <w:rFonts w:hint="eastAsia" w:hAnsi="宋体"/>
          <w:sz w:val="32"/>
          <w:szCs w:val="36"/>
          <w:highlight w:val="none"/>
          <w:lang w:eastAsia="zh-CN"/>
        </w:rPr>
        <w:t>。</w:t>
      </w:r>
      <w:r>
        <w:rPr>
          <w:rFonts w:hint="eastAsia" w:ascii="仿宋_GB2312" w:hAnsi="宋体" w:eastAsia="仿宋_GB2312" w:cstheme="minorBidi"/>
          <w:kern w:val="2"/>
          <w:sz w:val="32"/>
          <w:szCs w:val="32"/>
          <w:highlight w:val="none"/>
          <w:lang w:val="en-US" w:eastAsia="zh-CN" w:bidi="ar-SA"/>
        </w:rPr>
        <w:t>该指标分值</w:t>
      </w:r>
      <w:r>
        <w:rPr>
          <w:rFonts w:hint="eastAsia" w:hAnsi="宋体" w:cstheme="minorBidi"/>
          <w:kern w:val="2"/>
          <w:sz w:val="32"/>
          <w:szCs w:val="32"/>
          <w:highlight w:val="none"/>
          <w:lang w:val="en-US" w:eastAsia="zh-CN" w:bidi="ar-SA"/>
        </w:rPr>
        <w:t>5</w:t>
      </w:r>
      <w:r>
        <w:rPr>
          <w:rFonts w:hint="eastAsia" w:ascii="仿宋_GB2312" w:hAnsi="宋体" w:eastAsia="仿宋_GB2312" w:cstheme="minorBidi"/>
          <w:kern w:val="2"/>
          <w:sz w:val="32"/>
          <w:szCs w:val="32"/>
          <w:highlight w:val="none"/>
          <w:lang w:val="en-US" w:eastAsia="zh-CN" w:bidi="ar-SA"/>
        </w:rPr>
        <w:t>分，自评得分为</w:t>
      </w:r>
      <w:r>
        <w:rPr>
          <w:rFonts w:hint="eastAsia" w:hAnsi="宋体" w:cstheme="minorBidi"/>
          <w:kern w:val="2"/>
          <w:sz w:val="32"/>
          <w:szCs w:val="32"/>
          <w:highlight w:val="none"/>
          <w:lang w:val="en-US" w:eastAsia="zh-CN" w:bidi="ar-SA"/>
        </w:rPr>
        <w:t>5</w:t>
      </w:r>
      <w:r>
        <w:rPr>
          <w:rFonts w:hint="eastAsia" w:ascii="仿宋_GB2312" w:hAnsi="宋体" w:eastAsia="仿宋_GB2312" w:cstheme="minorBidi"/>
          <w:kern w:val="2"/>
          <w:sz w:val="32"/>
          <w:szCs w:val="32"/>
          <w:highlight w:val="none"/>
          <w:lang w:val="en-US" w:eastAsia="zh-CN" w:bidi="ar-SA"/>
        </w:rPr>
        <w:t>分，得分率为</w:t>
      </w:r>
      <w:r>
        <w:rPr>
          <w:rFonts w:hint="eastAsia" w:hAnsi="宋体" w:cstheme="minorBidi"/>
          <w:kern w:val="2"/>
          <w:sz w:val="32"/>
          <w:szCs w:val="32"/>
          <w:highlight w:val="none"/>
          <w:lang w:val="en-US" w:eastAsia="zh-CN" w:bidi="ar-SA"/>
        </w:rPr>
        <w:t>100</w:t>
      </w:r>
      <w:r>
        <w:rPr>
          <w:rFonts w:hint="eastAsia" w:ascii="仿宋_GB2312" w:hAnsi="宋体" w:eastAsia="仿宋_GB2312" w:cstheme="minorBidi"/>
          <w:kern w:val="2"/>
          <w:sz w:val="32"/>
          <w:szCs w:val="32"/>
          <w:highlight w:val="none"/>
          <w:lang w:val="en-US" w:eastAsia="zh-CN" w:bidi="ar-SA"/>
        </w:rPr>
        <w:t>%。</w:t>
      </w:r>
    </w:p>
    <w:p w14:paraId="7245507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宋体" w:eastAsia="仿宋_GB2312" w:cstheme="minorBidi"/>
          <w:kern w:val="2"/>
          <w:sz w:val="32"/>
          <w:szCs w:val="32"/>
          <w:highlight w:val="none"/>
          <w:lang w:val="en-US" w:eastAsia="zh-CN" w:bidi="ar-SA"/>
        </w:rPr>
      </w:pPr>
      <w:r>
        <w:rPr>
          <w:rFonts w:hint="eastAsia" w:hAnsi="宋体"/>
          <w:b/>
          <w:bCs/>
          <w:sz w:val="32"/>
          <w:szCs w:val="32"/>
          <w:lang w:val="en-US" w:eastAsia="zh-CN"/>
        </w:rPr>
        <w:t>干警满意程度：</w:t>
      </w:r>
      <w:r>
        <w:rPr>
          <w:rFonts w:hint="eastAsia" w:hAnsi="宋体"/>
          <w:b w:val="0"/>
          <w:bCs w:val="0"/>
          <w:sz w:val="32"/>
          <w:szCs w:val="32"/>
          <w:lang w:val="en-US" w:eastAsia="zh-CN"/>
        </w:rPr>
        <w:t>通过该项目的实施，保障我院工作人</w:t>
      </w:r>
      <w:r>
        <w:rPr>
          <w:rFonts w:hint="eastAsia" w:hAnsi="宋体"/>
          <w:sz w:val="32"/>
          <w:szCs w:val="32"/>
          <w:lang w:val="en-US" w:eastAsia="zh-CN"/>
        </w:rPr>
        <w:t>员办案质量和业务能力水平的提升，</w:t>
      </w:r>
      <w:r>
        <w:rPr>
          <w:rFonts w:hint="eastAsia"/>
          <w:sz w:val="32"/>
          <w:szCs w:val="24"/>
          <w:lang w:val="en-US" w:eastAsia="zh-CN"/>
        </w:rPr>
        <w:t>法院</w:t>
      </w:r>
      <w:r>
        <w:rPr>
          <w:rFonts w:hint="eastAsia" w:hAnsi="宋体"/>
          <w:sz w:val="32"/>
          <w:szCs w:val="32"/>
          <w:lang w:val="en-US" w:eastAsia="zh-CN"/>
        </w:rPr>
        <w:t>工作人员满意度达到98%。</w:t>
      </w:r>
      <w:r>
        <w:rPr>
          <w:rFonts w:hint="eastAsia" w:ascii="仿宋_GB2312" w:hAnsi="宋体" w:eastAsia="仿宋_GB2312" w:cstheme="minorBidi"/>
          <w:kern w:val="2"/>
          <w:sz w:val="32"/>
          <w:szCs w:val="32"/>
          <w:lang w:val="en-US" w:eastAsia="zh-CN" w:bidi="ar-SA"/>
        </w:rPr>
        <w:t>该指标分值</w:t>
      </w:r>
      <w:r>
        <w:rPr>
          <w:rFonts w:hint="eastAsia" w:hAnsi="宋体" w:cstheme="minorBidi"/>
          <w:kern w:val="2"/>
          <w:sz w:val="32"/>
          <w:szCs w:val="32"/>
          <w:lang w:val="en-US" w:eastAsia="zh-CN" w:bidi="ar-SA"/>
        </w:rPr>
        <w:t>5</w:t>
      </w:r>
      <w:r>
        <w:rPr>
          <w:rFonts w:hint="eastAsia" w:ascii="仿宋_GB2312" w:hAnsi="宋体" w:eastAsia="仿宋_GB2312" w:cstheme="minorBidi"/>
          <w:kern w:val="2"/>
          <w:sz w:val="32"/>
          <w:szCs w:val="32"/>
          <w:lang w:val="en-US" w:eastAsia="zh-CN" w:bidi="ar-SA"/>
        </w:rPr>
        <w:t>分，</w:t>
      </w:r>
      <w:r>
        <w:rPr>
          <w:rFonts w:hint="eastAsia" w:ascii="仿宋_GB2312" w:hAnsi="宋体" w:eastAsia="仿宋_GB2312" w:cstheme="minorBidi"/>
          <w:kern w:val="2"/>
          <w:sz w:val="32"/>
          <w:szCs w:val="32"/>
          <w:highlight w:val="none"/>
          <w:lang w:val="en-US" w:eastAsia="zh-CN" w:bidi="ar-SA"/>
        </w:rPr>
        <w:t>自评得分为</w:t>
      </w:r>
      <w:r>
        <w:rPr>
          <w:rFonts w:hint="eastAsia" w:hAnsi="宋体" w:cstheme="minorBidi"/>
          <w:kern w:val="2"/>
          <w:sz w:val="32"/>
          <w:szCs w:val="32"/>
          <w:highlight w:val="none"/>
          <w:lang w:val="en-US" w:eastAsia="zh-CN" w:bidi="ar-SA"/>
        </w:rPr>
        <w:t>5</w:t>
      </w:r>
      <w:r>
        <w:rPr>
          <w:rFonts w:hint="eastAsia" w:ascii="仿宋_GB2312" w:hAnsi="宋体" w:eastAsia="仿宋_GB2312" w:cstheme="minorBidi"/>
          <w:kern w:val="2"/>
          <w:sz w:val="32"/>
          <w:szCs w:val="32"/>
          <w:highlight w:val="none"/>
          <w:lang w:val="en-US" w:eastAsia="zh-CN" w:bidi="ar-SA"/>
        </w:rPr>
        <w:t>分，得分率为</w:t>
      </w:r>
      <w:r>
        <w:rPr>
          <w:rFonts w:hint="eastAsia" w:hAnsi="宋体" w:cstheme="minorBidi"/>
          <w:kern w:val="2"/>
          <w:sz w:val="32"/>
          <w:szCs w:val="32"/>
          <w:highlight w:val="none"/>
          <w:lang w:val="en-US" w:eastAsia="zh-CN" w:bidi="ar-SA"/>
        </w:rPr>
        <w:t>100</w:t>
      </w:r>
      <w:r>
        <w:rPr>
          <w:rFonts w:hint="eastAsia" w:ascii="仿宋_GB2312" w:hAnsi="宋体" w:eastAsia="仿宋_GB2312" w:cstheme="minorBidi"/>
          <w:kern w:val="2"/>
          <w:sz w:val="32"/>
          <w:szCs w:val="32"/>
          <w:highlight w:val="none"/>
          <w:lang w:val="en-US" w:eastAsia="zh-CN" w:bidi="ar-SA"/>
        </w:rPr>
        <w:t>%。</w:t>
      </w:r>
    </w:p>
    <w:p w14:paraId="620E4E68">
      <w:pPr>
        <w:keepNext/>
        <w:keepLines/>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b/>
          <w:bCs w:val="0"/>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4.偏离绩效目标的原因及下一步改进措施</w:t>
      </w:r>
    </w:p>
    <w:p w14:paraId="4E2D5C21">
      <w:pPr>
        <w:keepNext w:val="0"/>
        <w:keepLines w:val="0"/>
        <w:pageBreakBefore w:val="0"/>
        <w:widowControl w:val="0"/>
        <w:kinsoku/>
        <w:wordWrap/>
        <w:overflowPunct/>
        <w:topLinePunct w:val="0"/>
        <w:autoSpaceDE w:val="0"/>
        <w:autoSpaceDN w:val="0"/>
        <w:bidi w:val="0"/>
        <w:adjustRightInd/>
        <w:snapToGrid/>
        <w:textAlignment w:val="auto"/>
        <w:rPr>
          <w:rFonts w:hint="eastAsia" w:cs="仿宋_GB2312"/>
          <w:sz w:val="32"/>
          <w:szCs w:val="32"/>
          <w:highlight w:val="none"/>
          <w:lang w:val="en-US" w:eastAsia="zh-CN"/>
        </w:rPr>
      </w:pPr>
      <w:r>
        <w:rPr>
          <w:rFonts w:hint="eastAsia" w:cs="仿宋_GB2312"/>
          <w:sz w:val="32"/>
          <w:szCs w:val="32"/>
          <w:highlight w:val="none"/>
          <w:lang w:val="en-US" w:eastAsia="zh-CN"/>
        </w:rPr>
        <w:t>无。</w:t>
      </w:r>
    </w:p>
    <w:p w14:paraId="5C31C253">
      <w:pPr>
        <w:keepNext w:val="0"/>
        <w:keepLines w:val="0"/>
        <w:pageBreakBefore w:val="0"/>
        <w:widowControl w:val="0"/>
        <w:kinsoku/>
        <w:wordWrap/>
        <w:overflowPunct/>
        <w:topLinePunct w:val="0"/>
        <w:autoSpaceDE w:val="0"/>
        <w:autoSpaceDN w:val="0"/>
        <w:bidi w:val="0"/>
        <w:adjustRightInd/>
        <w:snapToGrid/>
        <w:textAlignment w:val="auto"/>
        <w:rPr>
          <w:rFonts w:hint="default" w:ascii="仿宋_GB2312" w:hAnsi="仿宋_GB2312" w:eastAsia="仿宋_GB2312" w:cs="仿宋_GB2312"/>
          <w:sz w:val="32"/>
          <w:szCs w:val="32"/>
          <w:highlight w:val="none"/>
          <w:lang w:val="en-US" w:eastAsia="zh-CN"/>
        </w:rPr>
      </w:pPr>
      <w:r>
        <w:rPr>
          <w:rFonts w:hint="eastAsia"/>
          <w:b/>
          <w:bCs/>
          <w:sz w:val="32"/>
          <w:szCs w:val="32"/>
        </w:rPr>
        <w:t>项目支出预算执行率较低。</w:t>
      </w:r>
      <w:r>
        <w:rPr>
          <w:rFonts w:hint="eastAsia" w:ascii="仿宋_GB2312" w:hAnsi="仿宋_GB2312" w:eastAsia="仿宋_GB2312" w:cs="仿宋_GB2312"/>
          <w:sz w:val="32"/>
          <w:szCs w:val="32"/>
          <w:highlight w:val="none"/>
          <w:lang w:val="en-US" w:eastAsia="zh-CN"/>
        </w:rPr>
        <w:t>项目支出预算执行率低。全省</w:t>
      </w:r>
      <w:r>
        <w:rPr>
          <w:rFonts w:hint="eastAsia" w:cs="仿宋_GB2312"/>
          <w:sz w:val="32"/>
          <w:szCs w:val="32"/>
          <w:highlight w:val="none"/>
          <w:lang w:val="en-US" w:eastAsia="zh-CN"/>
        </w:rPr>
        <w:t>法院业务费项目</w:t>
      </w:r>
      <w:r>
        <w:rPr>
          <w:rFonts w:hint="eastAsia" w:ascii="仿宋_GB2312" w:hAnsi="仿宋_GB2312" w:eastAsia="仿宋_GB2312" w:cs="仿宋_GB2312"/>
          <w:sz w:val="32"/>
          <w:szCs w:val="32"/>
          <w:highlight w:val="none"/>
          <w:lang w:val="en-US" w:eastAsia="zh-CN"/>
        </w:rPr>
        <w:t>全年</w:t>
      </w:r>
      <w:r>
        <w:rPr>
          <w:rFonts w:hint="eastAsia" w:ascii="仿宋_GB2312" w:hAnsi="仿宋_GB2312" w:eastAsia="仿宋_GB2312" w:cs="仿宋_GB2312"/>
          <w:sz w:val="32"/>
          <w:szCs w:val="32"/>
          <w:highlight w:val="none"/>
        </w:rPr>
        <w:t>预算</w:t>
      </w:r>
      <w:r>
        <w:rPr>
          <w:rFonts w:hint="eastAsia" w:ascii="仿宋_GB2312" w:hAnsi="仿宋_GB2312" w:eastAsia="仿宋_GB2312" w:cs="仿宋_GB2312"/>
          <w:sz w:val="32"/>
          <w:szCs w:val="32"/>
          <w:highlight w:val="none"/>
          <w:lang w:val="en-US" w:eastAsia="zh-CN"/>
        </w:rPr>
        <w:t>数</w:t>
      </w:r>
      <w:r>
        <w:rPr>
          <w:rFonts w:hint="eastAsia" w:cs="仿宋_GB2312"/>
          <w:sz w:val="32"/>
          <w:szCs w:val="32"/>
          <w:highlight w:val="none"/>
          <w:lang w:val="en-US" w:eastAsia="zh-CN"/>
        </w:rPr>
        <w:t>166.66</w:t>
      </w:r>
      <w:r>
        <w:rPr>
          <w:rFonts w:hint="eastAsia" w:ascii="仿宋_GB2312" w:hAnsi="仿宋_GB2312" w:eastAsia="仿宋_GB2312" w:cs="仿宋_GB2312"/>
          <w:sz w:val="32"/>
          <w:szCs w:val="32"/>
          <w:highlight w:val="none"/>
        </w:rPr>
        <w:t>万元，全年支出</w:t>
      </w:r>
      <w:r>
        <w:rPr>
          <w:rFonts w:hint="eastAsia" w:cs="仿宋_GB2312"/>
          <w:sz w:val="32"/>
          <w:szCs w:val="32"/>
          <w:highlight w:val="none"/>
          <w:lang w:val="en-US" w:eastAsia="zh-CN"/>
        </w:rPr>
        <w:t>150.9</w:t>
      </w:r>
      <w:r>
        <w:rPr>
          <w:rFonts w:hint="eastAsia" w:ascii="仿宋_GB2312" w:hAnsi="仿宋_GB2312" w:eastAsia="仿宋_GB2312" w:cs="仿宋_GB2312"/>
          <w:sz w:val="32"/>
          <w:szCs w:val="32"/>
          <w:highlight w:val="none"/>
        </w:rPr>
        <w:t>万元，预算执行率</w:t>
      </w:r>
      <w:r>
        <w:rPr>
          <w:rFonts w:hint="eastAsia" w:cs="仿宋_GB2312"/>
          <w:sz w:val="32"/>
          <w:szCs w:val="32"/>
          <w:highlight w:val="none"/>
          <w:lang w:val="en-US" w:eastAsia="zh-CN"/>
        </w:rPr>
        <w:t>90.54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下年度将尽快推进项目实施，提高资金支付进度，减少资金结转。</w:t>
      </w:r>
    </w:p>
    <w:p w14:paraId="526708A2">
      <w:pPr>
        <w:pStyle w:val="3"/>
        <w:keepNext/>
        <w:keepLines/>
        <w:pageBreakBefore w:val="0"/>
        <w:widowControl w:val="0"/>
        <w:kinsoku/>
        <w:wordWrap/>
        <w:overflowPunct/>
        <w:topLinePunct w:val="0"/>
        <w:autoSpaceDE w:val="0"/>
        <w:autoSpaceDN w:val="0"/>
        <w:bidi w:val="0"/>
        <w:adjustRightInd/>
        <w:snapToGrid/>
        <w:spacing w:line="560" w:lineRule="exact"/>
        <w:textAlignment w:val="auto"/>
        <w:rPr>
          <w:rFonts w:hint="eastAsia"/>
          <w:highlight w:val="none"/>
          <w:lang w:eastAsia="zh-CN"/>
        </w:rPr>
      </w:pPr>
      <w:bookmarkStart w:id="67" w:name="_Toc29067"/>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lang w:val="en-US" w:eastAsia="zh-CN"/>
        </w:rPr>
        <w:t>法庭运维费</w:t>
      </w:r>
      <w:bookmarkEnd w:id="67"/>
    </w:p>
    <w:p w14:paraId="56CCF7E5">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highlight w:val="none"/>
        </w:rPr>
      </w:pPr>
      <w:r>
        <w:rPr>
          <w:rFonts w:hint="eastAsia" w:ascii="仿宋_GB2312" w:hAnsi="仿宋_GB2312" w:eastAsia="仿宋_GB2312" w:cs="仿宋_GB2312"/>
          <w:sz w:val="32"/>
          <w:szCs w:val="32"/>
          <w:highlight w:val="none"/>
        </w:rPr>
        <w:t>本次绩效自评综合评定</w:t>
      </w:r>
      <w:r>
        <w:rPr>
          <w:rFonts w:hint="eastAsia" w:ascii="仿宋_GB2312" w:hAnsi="仿宋_GB2312" w:cs="仿宋_GB2312"/>
          <w:sz w:val="32"/>
          <w:szCs w:val="32"/>
          <w:highlight w:val="none"/>
          <w:lang w:val="en-US" w:eastAsia="zh-CN"/>
        </w:rPr>
        <w:t>法庭运维费项目</w:t>
      </w:r>
      <w:r>
        <w:rPr>
          <w:rFonts w:hint="eastAsia" w:ascii="仿宋_GB2312" w:hAnsi="仿宋_GB2312" w:eastAsia="仿宋_GB2312" w:cs="仿宋_GB2312"/>
          <w:sz w:val="32"/>
          <w:szCs w:val="32"/>
          <w:highlight w:val="none"/>
        </w:rPr>
        <w:t>绩效得分为</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分，绩效等级为“优”。项目支出绩效评价包括项目资金预算执行率、</w:t>
      </w:r>
      <w:r>
        <w:rPr>
          <w:rFonts w:hint="eastAsia" w:ascii="仿宋_GB2312" w:hAnsi="仿宋_GB2312" w:cs="仿宋_GB2312"/>
          <w:sz w:val="32"/>
          <w:szCs w:val="32"/>
          <w:highlight w:val="none"/>
          <w:lang w:val="en-US" w:eastAsia="zh-CN"/>
        </w:rPr>
        <w:t>成本、</w:t>
      </w:r>
      <w:r>
        <w:rPr>
          <w:rFonts w:hint="eastAsia" w:ascii="仿宋_GB2312" w:hAnsi="仿宋_GB2312" w:eastAsia="仿宋_GB2312" w:cs="仿宋_GB2312"/>
          <w:sz w:val="32"/>
          <w:szCs w:val="32"/>
          <w:highlight w:val="none"/>
        </w:rPr>
        <w:t>产出、效益、满意度</w:t>
      </w: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个一级指标，下设</w:t>
      </w:r>
      <w:r>
        <w:rPr>
          <w:rFonts w:hint="eastAsia" w:ascii="仿宋_GB2312" w:hAnsi="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个二级指标和</w:t>
      </w:r>
      <w:r>
        <w:rPr>
          <w:rFonts w:hint="eastAsia" w:ascii="仿宋_GB2312" w:hAnsi="仿宋_GB2312" w:cs="仿宋_GB2312"/>
          <w:sz w:val="32"/>
          <w:szCs w:val="32"/>
          <w:highlight w:val="none"/>
          <w:lang w:val="en-US" w:eastAsia="zh-CN"/>
        </w:rPr>
        <w:t>13</w:t>
      </w:r>
      <w:r>
        <w:rPr>
          <w:rFonts w:hint="eastAsia" w:ascii="仿宋_GB2312" w:hAnsi="仿宋_GB2312" w:eastAsia="仿宋_GB2312" w:cs="仿宋_GB2312"/>
          <w:sz w:val="32"/>
          <w:szCs w:val="32"/>
          <w:highlight w:val="none"/>
        </w:rPr>
        <w:t>个三级指标。项目资金预算执行率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%，一级指标得分情况详见下表 ：</w:t>
      </w:r>
    </w:p>
    <w:tbl>
      <w:tblPr>
        <w:tblStyle w:val="2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14:paraId="0D1909E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045F17D5">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14:paraId="3AE6A971">
            <w:pPr>
              <w:widowControl/>
              <w:wordWrap/>
              <w:autoSpaceDE w:val="0"/>
              <w:autoSpaceDN w:val="0"/>
              <w:adjustRightInd/>
              <w:snapToGrid/>
              <w:spacing w:line="240" w:lineRule="auto"/>
              <w:jc w:val="both"/>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14:paraId="28CC21E6">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14:paraId="4E19FA49">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14:paraId="359D8F7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14:paraId="20588681">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14:paraId="556B5FC4">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14:paraId="62BD831F">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14:paraId="788A3A18">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0996A37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14:paraId="4214BD0E">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成本指标</w:t>
            </w:r>
          </w:p>
        </w:tc>
        <w:tc>
          <w:tcPr>
            <w:tcW w:w="1678" w:type="dxa"/>
            <w:vAlign w:val="center"/>
          </w:tcPr>
          <w:p w14:paraId="5377AEF6">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1560" w:type="dxa"/>
            <w:vAlign w:val="center"/>
          </w:tcPr>
          <w:p w14:paraId="70BE8551">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2268" w:type="dxa"/>
            <w:vAlign w:val="center"/>
          </w:tcPr>
          <w:p w14:paraId="1D5E7142">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6F20D8A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697EF25B">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产出</w:t>
            </w:r>
            <w:r>
              <w:rPr>
                <w:rFonts w:hint="eastAsia" w:ascii="宋体" w:hAnsi="宋体" w:eastAsia="宋体" w:cs="宋体"/>
                <w:color w:val="000000"/>
                <w:kern w:val="0"/>
                <w:sz w:val="22"/>
                <w:szCs w:val="22"/>
                <w:highlight w:val="none"/>
                <w:lang w:val="en-US" w:eastAsia="zh-CN"/>
              </w:rPr>
              <w:t>指标</w:t>
            </w:r>
          </w:p>
        </w:tc>
        <w:tc>
          <w:tcPr>
            <w:tcW w:w="1678" w:type="dxa"/>
            <w:vAlign w:val="center"/>
          </w:tcPr>
          <w:p w14:paraId="14CD5C57">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40</w:t>
            </w:r>
          </w:p>
        </w:tc>
        <w:tc>
          <w:tcPr>
            <w:tcW w:w="1560" w:type="dxa"/>
            <w:vAlign w:val="center"/>
          </w:tcPr>
          <w:p w14:paraId="36253409">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40</w:t>
            </w:r>
          </w:p>
        </w:tc>
        <w:tc>
          <w:tcPr>
            <w:tcW w:w="2268" w:type="dxa"/>
            <w:vAlign w:val="center"/>
          </w:tcPr>
          <w:p w14:paraId="2BCD792F">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32FC631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50A3B7D4">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效益指标</w:t>
            </w:r>
          </w:p>
        </w:tc>
        <w:tc>
          <w:tcPr>
            <w:tcW w:w="1678" w:type="dxa"/>
            <w:vAlign w:val="center"/>
          </w:tcPr>
          <w:p w14:paraId="79676C56">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1560" w:type="dxa"/>
            <w:vAlign w:val="center"/>
          </w:tcPr>
          <w:p w14:paraId="17624062">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2268" w:type="dxa"/>
            <w:vAlign w:val="center"/>
          </w:tcPr>
          <w:p w14:paraId="507C595B">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290C40A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0A60110C">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满意度</w:t>
            </w:r>
            <w:r>
              <w:rPr>
                <w:rFonts w:hint="eastAsia" w:ascii="宋体" w:hAnsi="宋体" w:eastAsia="宋体" w:cs="宋体"/>
                <w:color w:val="000000"/>
                <w:kern w:val="0"/>
                <w:sz w:val="22"/>
                <w:szCs w:val="22"/>
                <w:highlight w:val="none"/>
                <w:lang w:val="en-US" w:eastAsia="zh-CN"/>
              </w:rPr>
              <w:t>指标</w:t>
            </w:r>
          </w:p>
        </w:tc>
        <w:tc>
          <w:tcPr>
            <w:tcW w:w="1678" w:type="dxa"/>
            <w:vAlign w:val="center"/>
          </w:tcPr>
          <w:p w14:paraId="630A3B9C">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w:t>
            </w:r>
            <w:r>
              <w:rPr>
                <w:rFonts w:hint="eastAsia" w:ascii="宋体" w:hAnsi="宋体" w:eastAsia="宋体" w:cs="宋体"/>
                <w:color w:val="000000"/>
                <w:kern w:val="0"/>
                <w:sz w:val="22"/>
                <w:szCs w:val="22"/>
                <w:highlight w:val="none"/>
              </w:rPr>
              <w:t>0</w:t>
            </w:r>
          </w:p>
        </w:tc>
        <w:tc>
          <w:tcPr>
            <w:tcW w:w="1560" w:type="dxa"/>
            <w:vAlign w:val="center"/>
          </w:tcPr>
          <w:p w14:paraId="774D433B">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14:paraId="471A28F9">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194D8C7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10768DBD">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14:paraId="135391E1">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14:paraId="767913A1">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100</w:t>
            </w:r>
          </w:p>
        </w:tc>
        <w:tc>
          <w:tcPr>
            <w:tcW w:w="2268" w:type="dxa"/>
            <w:shd w:val="clear" w:color="auto" w:fill="BDD6EE"/>
            <w:vAlign w:val="center"/>
          </w:tcPr>
          <w:p w14:paraId="62C9908C">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100</w:t>
            </w:r>
            <w:r>
              <w:rPr>
                <w:rFonts w:hint="eastAsia" w:ascii="宋体" w:hAnsi="宋体" w:eastAsia="宋体" w:cs="宋体"/>
                <w:b/>
                <w:color w:val="000000"/>
                <w:kern w:val="0"/>
                <w:sz w:val="22"/>
                <w:szCs w:val="22"/>
                <w:highlight w:val="none"/>
              </w:rPr>
              <w:t>%</w:t>
            </w:r>
          </w:p>
        </w:tc>
      </w:tr>
    </w:tbl>
    <w:p w14:paraId="0265AF95">
      <w:pPr>
        <w:pStyle w:val="5"/>
        <w:keepNext/>
        <w:keepLines/>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项目支出预算执行情况</w:t>
      </w:r>
    </w:p>
    <w:p w14:paraId="680DBF51">
      <w:pPr>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法庭运维费</w:t>
      </w:r>
      <w:r>
        <w:rPr>
          <w:rFonts w:hint="eastAsia" w:ascii="仿宋_GB2312" w:hAnsi="仿宋_GB2312" w:eastAsia="仿宋_GB2312" w:cs="仿宋_GB2312"/>
          <w:sz w:val="32"/>
          <w:szCs w:val="32"/>
          <w:highlight w:val="none"/>
        </w:rPr>
        <w:t>项目</w:t>
      </w:r>
      <w:r>
        <w:rPr>
          <w:rFonts w:hint="eastAsia" w:ascii="仿宋_GB2312" w:hAnsi="仿宋_GB2312" w:cs="仿宋_GB2312"/>
          <w:sz w:val="32"/>
          <w:szCs w:val="32"/>
          <w:highlight w:val="none"/>
          <w:lang w:val="en-US" w:eastAsia="zh-CN"/>
        </w:rPr>
        <w:t>全年</w:t>
      </w:r>
      <w:r>
        <w:rPr>
          <w:rFonts w:hint="eastAsia" w:ascii="仿宋_GB2312" w:hAnsi="仿宋_GB2312" w:eastAsia="仿宋_GB2312" w:cs="仿宋_GB2312"/>
          <w:sz w:val="32"/>
          <w:szCs w:val="32"/>
          <w:highlight w:val="none"/>
        </w:rPr>
        <w:t>预算</w:t>
      </w:r>
      <w:r>
        <w:rPr>
          <w:rFonts w:hint="eastAsia" w:ascii="仿宋_GB2312" w:hAnsi="仿宋_GB2312" w:cs="仿宋_GB2312"/>
          <w:sz w:val="32"/>
          <w:szCs w:val="32"/>
          <w:highlight w:val="none"/>
          <w:lang w:val="en-US" w:eastAsia="zh-CN"/>
        </w:rPr>
        <w:t>数32</w:t>
      </w:r>
      <w:r>
        <w:rPr>
          <w:rFonts w:hint="eastAsia" w:cs="仿宋_GB2312"/>
          <w:sz w:val="32"/>
          <w:szCs w:val="32"/>
          <w:highlight w:val="none"/>
          <w:lang w:val="en-US" w:eastAsia="zh-CN"/>
        </w:rPr>
        <w:t>.00</w:t>
      </w:r>
      <w:r>
        <w:rPr>
          <w:rFonts w:hint="eastAsia" w:ascii="仿宋_GB2312" w:hAnsi="仿宋_GB2312" w:eastAsia="仿宋_GB2312" w:cs="仿宋_GB2312"/>
          <w:sz w:val="32"/>
          <w:szCs w:val="32"/>
          <w:highlight w:val="none"/>
        </w:rPr>
        <w:t>万元，</w:t>
      </w:r>
      <w:r>
        <w:rPr>
          <w:rFonts w:hint="eastAsia" w:ascii="仿宋_GB2312" w:hAnsi="仿宋_GB2312" w:cs="仿宋_GB2312"/>
          <w:sz w:val="32"/>
          <w:szCs w:val="32"/>
          <w:highlight w:val="none"/>
          <w:lang w:val="en-US" w:eastAsia="zh-CN"/>
        </w:rPr>
        <w:t>当年财政拨款32</w:t>
      </w:r>
      <w:r>
        <w:rPr>
          <w:rFonts w:hint="eastAsia" w:cs="仿宋_GB2312"/>
          <w:sz w:val="32"/>
          <w:szCs w:val="32"/>
          <w:highlight w:val="none"/>
          <w:lang w:val="en-US" w:eastAsia="zh-CN"/>
        </w:rPr>
        <w:t>.00</w:t>
      </w:r>
      <w:r>
        <w:rPr>
          <w:rFonts w:hint="eastAsia" w:ascii="仿宋_GB2312" w:hAnsi="仿宋_GB2312" w:cs="仿宋_GB2312"/>
          <w:sz w:val="32"/>
          <w:szCs w:val="32"/>
          <w:highlight w:val="none"/>
          <w:lang w:val="en-US" w:eastAsia="zh-CN"/>
        </w:rPr>
        <w:t>万元，</w:t>
      </w:r>
      <w:r>
        <w:rPr>
          <w:rFonts w:hint="eastAsia" w:ascii="仿宋_GB2312" w:hAnsi="仿宋_GB2312" w:eastAsia="仿宋_GB2312" w:cs="仿宋_GB2312"/>
          <w:sz w:val="32"/>
          <w:szCs w:val="32"/>
          <w:highlight w:val="none"/>
        </w:rPr>
        <w:t>全年支出</w:t>
      </w:r>
      <w:r>
        <w:rPr>
          <w:rFonts w:hint="eastAsia" w:ascii="仿宋_GB2312" w:hAnsi="仿宋_GB2312" w:cs="仿宋_GB2312"/>
          <w:sz w:val="32"/>
          <w:szCs w:val="32"/>
          <w:highlight w:val="none"/>
          <w:lang w:val="en-US" w:eastAsia="zh-CN"/>
        </w:rPr>
        <w:t>32</w:t>
      </w:r>
      <w:r>
        <w:rPr>
          <w:rFonts w:hint="eastAsia" w:cs="仿宋_GB2312"/>
          <w:sz w:val="32"/>
          <w:szCs w:val="32"/>
          <w:highlight w:val="none"/>
          <w:lang w:val="en-US" w:eastAsia="zh-CN"/>
        </w:rPr>
        <w:t>.00</w:t>
      </w:r>
      <w:r>
        <w:rPr>
          <w:rFonts w:hint="eastAsia" w:ascii="仿宋_GB2312" w:hAnsi="仿宋_GB2312" w:eastAsia="仿宋_GB2312" w:cs="仿宋_GB2312"/>
          <w:sz w:val="32"/>
          <w:szCs w:val="32"/>
          <w:highlight w:val="none"/>
        </w:rPr>
        <w:t>万元，预算执行率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指标分值10分，自评得分10分，得分率100%</w:t>
      </w:r>
      <w:r>
        <w:rPr>
          <w:rFonts w:hint="eastAsia" w:ascii="仿宋_GB2312" w:hAnsi="仿宋_GB2312" w:eastAsia="仿宋_GB2312" w:cs="仿宋_GB2312"/>
          <w:sz w:val="32"/>
          <w:szCs w:val="32"/>
          <w:highlight w:val="none"/>
        </w:rPr>
        <w:t>。</w:t>
      </w:r>
    </w:p>
    <w:p w14:paraId="3F9BC6A6">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2.总体绩效目标完成情况分析</w:t>
      </w:r>
    </w:p>
    <w:p w14:paraId="79CBF692">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项目总体绩效目标为：充分运用法庭运维经费，保障基层人民法庭的正常开支，保证法庭办公办案的顺利开展，年底前全部形成支出。</w:t>
      </w:r>
    </w:p>
    <w:p w14:paraId="30F3AB66">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cs="仿宋_GB2312"/>
          <w:sz w:val="32"/>
          <w:szCs w:val="32"/>
          <w:highlight w:val="none"/>
          <w:lang w:val="en-US" w:eastAsia="zh-CN"/>
        </w:rPr>
        <w:t>2023</w:t>
      </w:r>
      <w:r>
        <w:rPr>
          <w:rFonts w:hint="eastAsia" w:ascii="仿宋_GB2312" w:hAnsi="仿宋_GB2312" w:eastAsia="仿宋_GB2312" w:cs="仿宋_GB2312"/>
          <w:sz w:val="32"/>
          <w:szCs w:val="32"/>
          <w:highlight w:val="none"/>
          <w:lang w:val="en-US" w:eastAsia="zh-CN"/>
        </w:rPr>
        <w:t>年实际完成情况：2023年充分运用法庭运维经费，保障基层人民法庭的正常开支，保证法庭办公办案的顺利开展，年底前全部形成支出。</w:t>
      </w:r>
    </w:p>
    <w:p w14:paraId="081B761C">
      <w:pPr>
        <w:pStyle w:val="5"/>
        <w:keepNext/>
        <w:keepLines/>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3.各项指标完成情况分析</w:t>
      </w:r>
    </w:p>
    <w:p w14:paraId="22971560">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cs="仿宋_GB2312"/>
          <w:b/>
          <w:bCs/>
          <w:sz w:val="32"/>
          <w:szCs w:val="32"/>
          <w:highlight w:val="none"/>
          <w:lang w:val="en-US" w:eastAsia="zh-CN"/>
        </w:rPr>
      </w:pPr>
      <w:r>
        <w:rPr>
          <w:rFonts w:hint="eastAsia" w:ascii="仿宋_GB2312" w:hAnsi="仿宋_GB2312" w:cs="仿宋_GB2312"/>
          <w:b/>
          <w:bCs/>
          <w:sz w:val="32"/>
          <w:szCs w:val="32"/>
          <w:highlight w:val="none"/>
          <w:lang w:eastAsia="zh-CN"/>
        </w:rPr>
        <w:t>（</w:t>
      </w:r>
      <w:r>
        <w:rPr>
          <w:rFonts w:hint="eastAsia" w:ascii="仿宋_GB2312" w:hAnsi="仿宋_GB2312" w:cs="仿宋_GB2312"/>
          <w:b/>
          <w:bCs/>
          <w:sz w:val="32"/>
          <w:szCs w:val="32"/>
          <w:highlight w:val="none"/>
          <w:lang w:val="en-US" w:eastAsia="zh-CN"/>
        </w:rPr>
        <w:t>1</w:t>
      </w:r>
      <w:r>
        <w:rPr>
          <w:rFonts w:hint="eastAsia" w:ascii="仿宋_GB2312" w:hAnsi="仿宋_GB2312" w:cs="仿宋_GB2312"/>
          <w:b/>
          <w:bCs/>
          <w:sz w:val="32"/>
          <w:szCs w:val="32"/>
          <w:highlight w:val="none"/>
          <w:lang w:eastAsia="zh-CN"/>
        </w:rPr>
        <w:t>）</w:t>
      </w:r>
      <w:r>
        <w:rPr>
          <w:rFonts w:hint="eastAsia" w:ascii="仿宋_GB2312" w:hAnsi="仿宋_GB2312" w:cs="仿宋_GB2312"/>
          <w:b/>
          <w:bCs/>
          <w:sz w:val="32"/>
          <w:szCs w:val="32"/>
          <w:highlight w:val="none"/>
          <w:lang w:val="en-US" w:eastAsia="zh-CN"/>
        </w:rPr>
        <w:t>项目成本指标完成情况分析</w:t>
      </w:r>
    </w:p>
    <w:p w14:paraId="17A13601">
      <w:pPr>
        <w:keepNext/>
        <w:keepLines/>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b w:val="0"/>
          <w:kern w:val="2"/>
          <w:sz w:val="32"/>
          <w:szCs w:val="32"/>
          <w:highlight w:val="none"/>
          <w:lang w:val="en-US" w:eastAsia="zh-CN" w:bidi="ar-SA"/>
        </w:rPr>
      </w:pPr>
      <w:r>
        <w:rPr>
          <w:rFonts w:hint="eastAsia"/>
          <w:sz w:val="32"/>
          <w:szCs w:val="32"/>
          <w:highlight w:val="none"/>
          <w:lang w:val="en-US" w:eastAsia="zh-CN"/>
        </w:rPr>
        <w:t>项目</w:t>
      </w:r>
      <w:r>
        <w:rPr>
          <w:rFonts w:hint="eastAsia" w:ascii="仿宋_GB2312" w:hAnsi="仿宋_GB2312" w:eastAsia="仿宋_GB2312" w:cs="仿宋_GB2312"/>
          <w:b w:val="0"/>
          <w:kern w:val="2"/>
          <w:sz w:val="32"/>
          <w:szCs w:val="32"/>
          <w:highlight w:val="none"/>
          <w:lang w:val="en-US" w:eastAsia="zh-CN" w:bidi="ar-SA"/>
        </w:rPr>
        <w:t>成本指标包括经济成本指标1个二级指标，下设</w:t>
      </w:r>
      <w:r>
        <w:rPr>
          <w:rFonts w:hint="eastAsia" w:ascii="仿宋_GB2312" w:hAnsi="仿宋_GB2312" w:cs="仿宋_GB2312"/>
          <w:b w:val="0"/>
          <w:kern w:val="2"/>
          <w:sz w:val="32"/>
          <w:szCs w:val="32"/>
          <w:highlight w:val="none"/>
          <w:lang w:val="en-US" w:eastAsia="zh-CN" w:bidi="ar-SA"/>
        </w:rPr>
        <w:t>1</w:t>
      </w:r>
      <w:r>
        <w:rPr>
          <w:rFonts w:hint="eastAsia" w:ascii="仿宋_GB2312" w:hAnsi="仿宋_GB2312" w:eastAsia="仿宋_GB2312" w:cs="仿宋_GB2312"/>
          <w:b w:val="0"/>
          <w:kern w:val="2"/>
          <w:sz w:val="32"/>
          <w:szCs w:val="32"/>
          <w:highlight w:val="none"/>
          <w:lang w:val="en-US" w:eastAsia="zh-CN" w:bidi="ar-SA"/>
        </w:rPr>
        <w:t>个</w:t>
      </w:r>
      <w:r>
        <w:rPr>
          <w:rFonts w:hint="eastAsia" w:ascii="仿宋_GB2312" w:hAnsi="仿宋_GB2312" w:cs="仿宋_GB2312"/>
          <w:b w:val="0"/>
          <w:kern w:val="2"/>
          <w:sz w:val="32"/>
          <w:szCs w:val="32"/>
          <w:highlight w:val="none"/>
          <w:lang w:val="en-US" w:eastAsia="zh-CN" w:bidi="ar-SA"/>
        </w:rPr>
        <w:t>三</w:t>
      </w:r>
      <w:r>
        <w:rPr>
          <w:rFonts w:hint="eastAsia" w:ascii="仿宋_GB2312" w:hAnsi="仿宋_GB2312" w:eastAsia="仿宋_GB2312" w:cs="仿宋_GB2312"/>
          <w:b w:val="0"/>
          <w:kern w:val="2"/>
          <w:sz w:val="32"/>
          <w:szCs w:val="32"/>
          <w:highlight w:val="none"/>
          <w:lang w:val="en-US" w:eastAsia="zh-CN" w:bidi="ar-SA"/>
        </w:rPr>
        <w:t>级指标，指标分值20分，自评得分</w:t>
      </w:r>
      <w:r>
        <w:rPr>
          <w:rFonts w:hint="eastAsia" w:ascii="仿宋_GB2312" w:hAnsi="仿宋_GB2312" w:cs="仿宋_GB2312"/>
          <w:b w:val="0"/>
          <w:kern w:val="2"/>
          <w:sz w:val="32"/>
          <w:szCs w:val="32"/>
          <w:highlight w:val="none"/>
          <w:lang w:val="en-US" w:eastAsia="zh-CN" w:bidi="ar-SA"/>
        </w:rPr>
        <w:t>20</w:t>
      </w:r>
      <w:r>
        <w:rPr>
          <w:rFonts w:hint="eastAsia" w:ascii="仿宋_GB2312" w:hAnsi="仿宋_GB2312" w:eastAsia="仿宋_GB2312" w:cs="仿宋_GB2312"/>
          <w:b w:val="0"/>
          <w:kern w:val="2"/>
          <w:sz w:val="32"/>
          <w:szCs w:val="32"/>
          <w:highlight w:val="none"/>
          <w:lang w:val="en-US" w:eastAsia="zh-CN" w:bidi="ar-SA"/>
        </w:rPr>
        <w:t>分，得分率</w:t>
      </w:r>
      <w:r>
        <w:rPr>
          <w:rFonts w:hint="eastAsia" w:ascii="仿宋_GB2312" w:hAnsi="仿宋_GB2312" w:cs="仿宋_GB2312"/>
          <w:b w:val="0"/>
          <w:kern w:val="2"/>
          <w:sz w:val="32"/>
          <w:szCs w:val="32"/>
          <w:highlight w:val="none"/>
          <w:lang w:val="en-US" w:eastAsia="zh-CN" w:bidi="ar-SA"/>
        </w:rPr>
        <w:t>100%</w:t>
      </w:r>
      <w:r>
        <w:rPr>
          <w:rFonts w:hint="eastAsia" w:ascii="仿宋_GB2312" w:hAnsi="仿宋_GB2312" w:eastAsia="仿宋_GB2312" w:cs="仿宋_GB2312"/>
          <w:b w:val="0"/>
          <w:kern w:val="2"/>
          <w:sz w:val="32"/>
          <w:szCs w:val="32"/>
          <w:highlight w:val="none"/>
          <w:lang w:val="en-US" w:eastAsia="zh-CN" w:bidi="ar-SA"/>
        </w:rPr>
        <w:t>。</w:t>
      </w:r>
    </w:p>
    <w:p w14:paraId="791368FF">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default"/>
          <w:sz w:val="32"/>
          <w:szCs w:val="32"/>
          <w:highlight w:val="none"/>
          <w:lang w:val="en-US" w:eastAsia="zh-CN"/>
        </w:rPr>
      </w:pPr>
      <w:r>
        <w:rPr>
          <w:rFonts w:hint="eastAsia" w:ascii="仿宋_GB2312" w:hAnsi="仿宋_GB2312" w:cs="仿宋_GB2312"/>
          <w:b w:val="0"/>
          <w:kern w:val="2"/>
          <w:sz w:val="32"/>
          <w:szCs w:val="32"/>
          <w:highlight w:val="none"/>
          <w:lang w:val="en-US" w:eastAsia="zh-CN" w:bidi="ar-SA"/>
        </w:rPr>
        <w:t>年度预算控制</w:t>
      </w:r>
      <w:r>
        <w:rPr>
          <w:rFonts w:hint="eastAsia" w:ascii="仿宋_GB2312" w:hAnsi="仿宋_GB2312" w:eastAsia="仿宋_GB2312" w:cs="仿宋_GB2312"/>
          <w:b w:val="0"/>
          <w:kern w:val="2"/>
          <w:sz w:val="32"/>
          <w:szCs w:val="32"/>
          <w:highlight w:val="none"/>
          <w:lang w:val="en-US" w:eastAsia="zh-CN" w:bidi="ar-SA"/>
        </w:rPr>
        <w:t>率，2023年度经费支出在预算控制范围内，未超预算</w:t>
      </w:r>
      <w:r>
        <w:rPr>
          <w:rFonts w:hint="eastAsia" w:ascii="仿宋_GB2312" w:hAnsi="仿宋_GB2312" w:cs="仿宋_GB2312"/>
          <w:b w:val="0"/>
          <w:kern w:val="2"/>
          <w:sz w:val="32"/>
          <w:szCs w:val="32"/>
          <w:highlight w:val="none"/>
          <w:lang w:val="en-US" w:eastAsia="zh-CN" w:bidi="ar-SA"/>
        </w:rPr>
        <w:t>，成本控制率100%。</w:t>
      </w:r>
    </w:p>
    <w:p w14:paraId="357119BE">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rPr>
        <w:t>）项目产出指标完成情况分析</w:t>
      </w:r>
    </w:p>
    <w:p w14:paraId="69539832">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项目产出指标包括数量、质量、时效</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个二级指标，下设</w:t>
      </w:r>
      <w:r>
        <w:rPr>
          <w:rFonts w:hint="eastAsia" w:ascii="仿宋_GB2312" w:hAnsi="仿宋_GB2312" w:cs="仿宋_GB2312"/>
          <w:sz w:val="32"/>
          <w:szCs w:val="32"/>
          <w:highlight w:val="none"/>
          <w:lang w:val="en-US" w:eastAsia="zh-CN"/>
        </w:rPr>
        <w:t>9</w:t>
      </w:r>
      <w:r>
        <w:rPr>
          <w:rFonts w:hint="eastAsia" w:ascii="仿宋_GB2312" w:hAnsi="仿宋_GB2312" w:eastAsia="仿宋_GB2312" w:cs="仿宋_GB2312"/>
          <w:sz w:val="32"/>
          <w:szCs w:val="32"/>
          <w:highlight w:val="none"/>
        </w:rPr>
        <w:t>个三级指标。指标分值</w:t>
      </w:r>
      <w:r>
        <w:rPr>
          <w:rFonts w:hint="eastAsia" w:ascii="仿宋_GB2312" w:hAnsi="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分，自评得分</w:t>
      </w:r>
      <w:r>
        <w:rPr>
          <w:rFonts w:hint="eastAsia" w:ascii="仿宋_GB2312" w:hAnsi="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分，得分率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79F7524E">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1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①</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产出数量</w:t>
      </w:r>
    </w:p>
    <w:p w14:paraId="30339AFD">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bCs/>
          <w:sz w:val="32"/>
          <w:szCs w:val="32"/>
          <w:highlight w:val="none"/>
        </w:rPr>
        <w:t>保障供暖面积</w:t>
      </w:r>
      <w:r>
        <w:rPr>
          <w:rFonts w:hint="eastAsia" w:ascii="仿宋_GB2312" w:hAnsi="仿宋_GB2312" w:cs="仿宋_GB2312"/>
          <w:b/>
          <w:bCs/>
          <w:sz w:val="32"/>
          <w:szCs w:val="32"/>
          <w:highlight w:val="none"/>
          <w:lang w:eastAsia="zh-CN"/>
        </w:rPr>
        <w:t>：</w:t>
      </w:r>
      <w:r>
        <w:rPr>
          <w:rFonts w:hint="eastAsia" w:ascii="仿宋_GB2312" w:hAnsi="仿宋_GB2312" w:cs="仿宋_GB2312"/>
          <w:sz w:val="32"/>
          <w:szCs w:val="32"/>
          <w:highlight w:val="none"/>
          <w:lang w:val="en-US" w:eastAsia="zh-CN"/>
        </w:rPr>
        <w:t>年度指标值9540㎡</w:t>
      </w:r>
      <w:r>
        <w:rPr>
          <w:rFonts w:hint="eastAsia" w:ascii="仿宋_GB2312" w:hAnsi="仿宋_GB2312" w:eastAsia="仿宋_GB2312" w:cs="仿宋_GB2312"/>
          <w:sz w:val="32"/>
          <w:szCs w:val="32"/>
          <w:highlight w:val="none"/>
          <w:lang w:val="en-US" w:eastAsia="zh-CN"/>
        </w:rPr>
        <w:t>，实际</w:t>
      </w:r>
      <w:r>
        <w:rPr>
          <w:rFonts w:hint="eastAsia" w:ascii="仿宋_GB2312" w:hAnsi="仿宋_GB2312" w:cs="仿宋_GB2312"/>
          <w:sz w:val="32"/>
          <w:szCs w:val="32"/>
          <w:highlight w:val="none"/>
          <w:lang w:val="en-US" w:eastAsia="zh-CN"/>
        </w:rPr>
        <w:t>完成9540㎡，指标分值4.44分，自评得分4.44分</w:t>
      </w:r>
      <w:r>
        <w:rPr>
          <w:rFonts w:hint="eastAsia" w:ascii="仿宋_GB2312" w:hAnsi="仿宋_GB2312" w:eastAsia="仿宋_GB2312" w:cs="仿宋_GB2312"/>
          <w:b w:val="0"/>
          <w:kern w:val="2"/>
          <w:sz w:val="32"/>
          <w:szCs w:val="32"/>
          <w:highlight w:val="none"/>
          <w:lang w:val="en-US" w:eastAsia="zh-CN" w:bidi="ar-SA"/>
        </w:rPr>
        <w:t>，得分率</w:t>
      </w:r>
      <w:r>
        <w:rPr>
          <w:rFonts w:hint="eastAsia" w:ascii="仿宋_GB2312" w:hAnsi="仿宋_GB2312" w:cs="仿宋_GB2312"/>
          <w:b w:val="0"/>
          <w:kern w:val="2"/>
          <w:sz w:val="32"/>
          <w:szCs w:val="32"/>
          <w:highlight w:val="none"/>
          <w:lang w:val="en-US" w:eastAsia="zh-CN" w:bidi="ar-SA"/>
        </w:rPr>
        <w:t>100%</w:t>
      </w:r>
      <w:r>
        <w:rPr>
          <w:rFonts w:hint="eastAsia" w:ascii="仿宋_GB2312" w:hAnsi="仿宋_GB2312" w:eastAsia="仿宋_GB2312" w:cs="仿宋_GB2312"/>
          <w:b w:val="0"/>
          <w:kern w:val="2"/>
          <w:sz w:val="32"/>
          <w:szCs w:val="32"/>
          <w:highlight w:val="none"/>
          <w:lang w:val="en-US" w:eastAsia="zh-CN" w:bidi="ar-SA"/>
        </w:rPr>
        <w:t>。</w:t>
      </w:r>
    </w:p>
    <w:p w14:paraId="43D7967D">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保障基层法庭个数</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年度指标值4个</w:t>
      </w:r>
      <w:r>
        <w:rPr>
          <w:rFonts w:hint="eastAsia" w:ascii="仿宋_GB2312" w:hAnsi="仿宋_GB2312" w:eastAsia="仿宋_GB2312" w:cs="仿宋_GB2312"/>
          <w:sz w:val="32"/>
          <w:szCs w:val="32"/>
          <w:highlight w:val="none"/>
          <w:lang w:val="en-US" w:eastAsia="zh-CN"/>
        </w:rPr>
        <w:t>，实际</w:t>
      </w:r>
      <w:r>
        <w:rPr>
          <w:rFonts w:hint="eastAsia" w:ascii="仿宋_GB2312" w:hAnsi="仿宋_GB2312" w:cs="仿宋_GB2312"/>
          <w:sz w:val="32"/>
          <w:szCs w:val="32"/>
          <w:highlight w:val="none"/>
          <w:lang w:val="en-US" w:eastAsia="zh-CN"/>
        </w:rPr>
        <w:t>完成4个，指标分值4.48分，自评得分4.48分</w:t>
      </w:r>
      <w:r>
        <w:rPr>
          <w:rFonts w:hint="eastAsia" w:ascii="仿宋_GB2312" w:hAnsi="仿宋_GB2312" w:eastAsia="仿宋_GB2312" w:cs="仿宋_GB2312"/>
          <w:b w:val="0"/>
          <w:kern w:val="2"/>
          <w:sz w:val="32"/>
          <w:szCs w:val="32"/>
          <w:highlight w:val="none"/>
          <w:lang w:val="en-US" w:eastAsia="zh-CN" w:bidi="ar-SA"/>
        </w:rPr>
        <w:t>，得分率</w:t>
      </w:r>
      <w:r>
        <w:rPr>
          <w:rFonts w:hint="eastAsia" w:ascii="仿宋_GB2312" w:hAnsi="仿宋_GB2312" w:cs="仿宋_GB2312"/>
          <w:b w:val="0"/>
          <w:kern w:val="2"/>
          <w:sz w:val="32"/>
          <w:szCs w:val="32"/>
          <w:highlight w:val="none"/>
          <w:lang w:val="en-US" w:eastAsia="zh-CN" w:bidi="ar-SA"/>
        </w:rPr>
        <w:t>100%</w:t>
      </w:r>
      <w:r>
        <w:rPr>
          <w:rFonts w:hint="eastAsia" w:ascii="仿宋_GB2312" w:hAnsi="仿宋_GB2312" w:eastAsia="仿宋_GB2312" w:cs="仿宋_GB2312"/>
          <w:b w:val="0"/>
          <w:kern w:val="2"/>
          <w:sz w:val="32"/>
          <w:szCs w:val="32"/>
          <w:highlight w:val="none"/>
          <w:lang w:val="en-US" w:eastAsia="zh-CN" w:bidi="ar-SA"/>
        </w:rPr>
        <w:t>。</w:t>
      </w:r>
    </w:p>
    <w:p w14:paraId="045363B0">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维修维护工作完成率</w:t>
      </w:r>
      <w:r>
        <w:rPr>
          <w:rFonts w:hint="eastAsia" w:ascii="仿宋_GB2312" w:hAnsi="仿宋_GB2312" w:cs="仿宋_GB2312"/>
          <w:b/>
          <w:bCs/>
          <w:sz w:val="32"/>
          <w:szCs w:val="32"/>
          <w:highlight w:val="none"/>
          <w:lang w:eastAsia="zh-CN"/>
        </w:rPr>
        <w:t>：</w:t>
      </w:r>
      <w:r>
        <w:rPr>
          <w:rFonts w:hint="eastAsia" w:ascii="仿宋_GB2312" w:hAnsi="仿宋_GB2312" w:cs="仿宋_GB2312"/>
          <w:sz w:val="32"/>
          <w:szCs w:val="32"/>
          <w:highlight w:val="none"/>
          <w:lang w:val="en-US" w:eastAsia="zh-CN"/>
        </w:rPr>
        <w:t>年度指标值</w:t>
      </w:r>
      <w:r>
        <w:rPr>
          <w:rFonts w:hint="eastAsia" w:cs="仿宋_GB2312"/>
          <w:sz w:val="32"/>
          <w:szCs w:val="32"/>
          <w:highlight w:val="none"/>
          <w:lang w:val="en-US" w:eastAsia="zh-CN"/>
        </w:rPr>
        <w:t>≥</w:t>
      </w:r>
      <w:r>
        <w:rPr>
          <w:rFonts w:hint="eastAsia" w:ascii="仿宋_GB2312" w:hAnsi="仿宋_GB2312" w:cs="仿宋_GB2312"/>
          <w:sz w:val="32"/>
          <w:szCs w:val="32"/>
          <w:highlight w:val="none"/>
          <w:lang w:val="en-US" w:eastAsia="zh-CN"/>
        </w:rPr>
        <w:t>90%</w:t>
      </w:r>
      <w:r>
        <w:rPr>
          <w:rFonts w:hint="eastAsia" w:ascii="仿宋_GB2312" w:hAnsi="仿宋_GB2312" w:eastAsia="仿宋_GB2312" w:cs="仿宋_GB2312"/>
          <w:sz w:val="32"/>
          <w:szCs w:val="32"/>
          <w:highlight w:val="none"/>
          <w:lang w:val="en-US" w:eastAsia="zh-CN"/>
        </w:rPr>
        <w:t>，实际</w:t>
      </w:r>
      <w:r>
        <w:rPr>
          <w:rFonts w:hint="eastAsia" w:ascii="仿宋_GB2312" w:hAnsi="仿宋_GB2312" w:cs="仿宋_GB2312"/>
          <w:sz w:val="32"/>
          <w:szCs w:val="32"/>
          <w:highlight w:val="none"/>
          <w:lang w:val="en-US" w:eastAsia="zh-CN"/>
        </w:rPr>
        <w:t>完成100</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val="en-US" w:eastAsia="zh-CN"/>
        </w:rPr>
        <w:t>，指标分值4.44分，自评得分4.44分</w:t>
      </w:r>
      <w:r>
        <w:rPr>
          <w:rFonts w:hint="eastAsia" w:ascii="仿宋_GB2312" w:hAnsi="仿宋_GB2312" w:eastAsia="仿宋_GB2312" w:cs="仿宋_GB2312"/>
          <w:b w:val="0"/>
          <w:kern w:val="2"/>
          <w:sz w:val="32"/>
          <w:szCs w:val="32"/>
          <w:highlight w:val="none"/>
          <w:lang w:val="en-US" w:eastAsia="zh-CN" w:bidi="ar-SA"/>
        </w:rPr>
        <w:t>，得分率</w:t>
      </w:r>
      <w:r>
        <w:rPr>
          <w:rFonts w:hint="eastAsia" w:ascii="仿宋_GB2312" w:hAnsi="仿宋_GB2312" w:cs="仿宋_GB2312"/>
          <w:b w:val="0"/>
          <w:kern w:val="2"/>
          <w:sz w:val="32"/>
          <w:szCs w:val="32"/>
          <w:highlight w:val="none"/>
          <w:lang w:val="en-US" w:eastAsia="zh-CN" w:bidi="ar-SA"/>
        </w:rPr>
        <w:t>100%</w:t>
      </w:r>
      <w:r>
        <w:rPr>
          <w:rFonts w:hint="eastAsia" w:ascii="仿宋_GB2312" w:hAnsi="仿宋_GB2312" w:eastAsia="仿宋_GB2312" w:cs="仿宋_GB2312"/>
          <w:b w:val="0"/>
          <w:kern w:val="2"/>
          <w:sz w:val="32"/>
          <w:szCs w:val="32"/>
          <w:highlight w:val="none"/>
          <w:lang w:val="en-US" w:eastAsia="zh-CN" w:bidi="ar-SA"/>
        </w:rPr>
        <w:t>。</w:t>
      </w:r>
    </w:p>
    <w:p w14:paraId="1BB34016">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2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②</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产出质量</w:t>
      </w:r>
    </w:p>
    <w:p w14:paraId="2FE5BB1C">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rPr>
        <w:t>法庭正常运转保障率</w:t>
      </w:r>
      <w:r>
        <w:rPr>
          <w:rFonts w:hint="eastAsia" w:ascii="仿宋_GB2312" w:hAnsi="仿宋_GB2312" w:cs="仿宋_GB2312"/>
          <w:b/>
          <w:bCs/>
          <w:sz w:val="32"/>
          <w:szCs w:val="32"/>
          <w:highlight w:val="none"/>
          <w:lang w:eastAsia="zh-CN"/>
        </w:rPr>
        <w:t>：</w:t>
      </w:r>
      <w:r>
        <w:rPr>
          <w:rFonts w:hint="eastAsia" w:cs="仿宋_GB2312"/>
          <w:b w:val="0"/>
          <w:bCs w:val="0"/>
          <w:sz w:val="32"/>
          <w:szCs w:val="32"/>
          <w:highlight w:val="none"/>
          <w:lang w:val="en-US" w:eastAsia="zh-CN"/>
        </w:rPr>
        <w:t>我院法庭正常运转，达到年度目标值。</w:t>
      </w:r>
      <w:r>
        <w:rPr>
          <w:rFonts w:hint="eastAsia" w:ascii="仿宋_GB2312" w:hAnsi="仿宋_GB2312" w:cs="仿宋_GB2312"/>
          <w:b w:val="0"/>
          <w:bCs w:val="0"/>
          <w:sz w:val="32"/>
          <w:szCs w:val="32"/>
          <w:highlight w:val="none"/>
          <w:lang w:val="en-US" w:eastAsia="zh-CN"/>
        </w:rPr>
        <w:t>指标分值4.44分，自评得分4.44分</w:t>
      </w:r>
      <w:r>
        <w:rPr>
          <w:rFonts w:hint="eastAsia" w:ascii="仿宋_GB2312" w:hAnsi="仿宋_GB2312" w:eastAsia="仿宋_GB2312" w:cs="仿宋_GB2312"/>
          <w:b w:val="0"/>
          <w:bCs w:val="0"/>
          <w:kern w:val="2"/>
          <w:sz w:val="32"/>
          <w:szCs w:val="32"/>
          <w:highlight w:val="none"/>
          <w:lang w:val="en-US" w:eastAsia="zh-CN" w:bidi="ar-SA"/>
        </w:rPr>
        <w:t>，得分率</w:t>
      </w:r>
      <w:r>
        <w:rPr>
          <w:rFonts w:hint="eastAsia" w:ascii="仿宋_GB2312" w:hAnsi="仿宋_GB2312" w:cs="仿宋_GB2312"/>
          <w:b w:val="0"/>
          <w:bCs w:val="0"/>
          <w:kern w:val="2"/>
          <w:sz w:val="32"/>
          <w:szCs w:val="32"/>
          <w:highlight w:val="none"/>
          <w:lang w:val="en-US" w:eastAsia="zh-CN" w:bidi="ar-SA"/>
        </w:rPr>
        <w:t>100%</w:t>
      </w:r>
      <w:r>
        <w:rPr>
          <w:rFonts w:hint="eastAsia" w:ascii="仿宋_GB2312" w:hAnsi="仿宋_GB2312" w:eastAsia="仿宋_GB2312" w:cs="仿宋_GB2312"/>
          <w:b w:val="0"/>
          <w:bCs w:val="0"/>
          <w:kern w:val="2"/>
          <w:sz w:val="32"/>
          <w:szCs w:val="32"/>
          <w:highlight w:val="none"/>
          <w:lang w:val="en-US" w:eastAsia="zh-CN" w:bidi="ar-SA"/>
        </w:rPr>
        <w:t>。</w:t>
      </w:r>
    </w:p>
    <w:p w14:paraId="36B4924D">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水电暖服务保障率</w:t>
      </w:r>
      <w:r>
        <w:rPr>
          <w:rFonts w:hint="eastAsia" w:ascii="仿宋_GB2312" w:hAnsi="仿宋_GB2312" w:cs="仿宋_GB2312"/>
          <w:b/>
          <w:bCs/>
          <w:sz w:val="32"/>
          <w:szCs w:val="32"/>
          <w:highlight w:val="none"/>
          <w:lang w:val="en-US" w:eastAsia="zh-CN"/>
        </w:rPr>
        <w:t>：</w:t>
      </w:r>
      <w:r>
        <w:rPr>
          <w:rFonts w:hint="eastAsia" w:cs="仿宋_GB2312"/>
          <w:sz w:val="32"/>
          <w:szCs w:val="32"/>
          <w:highlight w:val="none"/>
          <w:lang w:val="en-US" w:eastAsia="zh-CN"/>
        </w:rPr>
        <w:t>我院</w:t>
      </w:r>
      <w:r>
        <w:rPr>
          <w:rFonts w:hint="eastAsia" w:ascii="仿宋_GB2312" w:hAnsi="宋体" w:eastAsia="仿宋_GB2312" w:cstheme="minorBidi"/>
          <w:kern w:val="2"/>
          <w:sz w:val="32"/>
          <w:szCs w:val="32"/>
          <w:highlight w:val="none"/>
          <w:lang w:val="en-US" w:eastAsia="zh-CN" w:bidi="ar-SA"/>
        </w:rPr>
        <w:t>水电暖运行通畅</w:t>
      </w:r>
      <w:r>
        <w:rPr>
          <w:rFonts w:hint="eastAsia" w:ascii="仿宋_GB2312" w:hAnsi="仿宋_GB2312" w:cs="仿宋_GB2312"/>
          <w:sz w:val="32"/>
          <w:szCs w:val="32"/>
          <w:highlight w:val="none"/>
          <w:lang w:val="en-US" w:eastAsia="zh-CN"/>
        </w:rPr>
        <w:t>，</w:t>
      </w:r>
      <w:r>
        <w:rPr>
          <w:rFonts w:hint="eastAsia" w:cs="仿宋_GB2312"/>
          <w:sz w:val="32"/>
          <w:szCs w:val="32"/>
          <w:highlight w:val="none"/>
          <w:lang w:val="en-US" w:eastAsia="zh-CN"/>
        </w:rPr>
        <w:t>达到年度目标值。</w:t>
      </w:r>
      <w:r>
        <w:rPr>
          <w:rFonts w:hint="eastAsia" w:ascii="仿宋_GB2312" w:hAnsi="仿宋_GB2312" w:cs="仿宋_GB2312"/>
          <w:sz w:val="32"/>
          <w:szCs w:val="32"/>
          <w:highlight w:val="none"/>
          <w:lang w:val="en-US" w:eastAsia="zh-CN"/>
        </w:rPr>
        <w:t>指标分值4.44分，自评得分4.44分</w:t>
      </w:r>
      <w:r>
        <w:rPr>
          <w:rFonts w:hint="eastAsia" w:ascii="仿宋_GB2312" w:hAnsi="仿宋_GB2312" w:eastAsia="仿宋_GB2312" w:cs="仿宋_GB2312"/>
          <w:b w:val="0"/>
          <w:kern w:val="2"/>
          <w:sz w:val="32"/>
          <w:szCs w:val="32"/>
          <w:highlight w:val="none"/>
          <w:lang w:val="en-US" w:eastAsia="zh-CN" w:bidi="ar-SA"/>
        </w:rPr>
        <w:t>，得分率</w:t>
      </w:r>
      <w:r>
        <w:rPr>
          <w:rFonts w:hint="eastAsia" w:ascii="仿宋_GB2312" w:hAnsi="仿宋_GB2312" w:cs="仿宋_GB2312"/>
          <w:b w:val="0"/>
          <w:kern w:val="2"/>
          <w:sz w:val="32"/>
          <w:szCs w:val="32"/>
          <w:highlight w:val="none"/>
          <w:lang w:val="en-US" w:eastAsia="zh-CN" w:bidi="ar-SA"/>
        </w:rPr>
        <w:t>100%</w:t>
      </w:r>
      <w:r>
        <w:rPr>
          <w:rFonts w:hint="eastAsia" w:ascii="仿宋_GB2312" w:hAnsi="仿宋_GB2312" w:eastAsia="仿宋_GB2312" w:cs="仿宋_GB2312"/>
          <w:b w:val="0"/>
          <w:kern w:val="2"/>
          <w:sz w:val="32"/>
          <w:szCs w:val="32"/>
          <w:highlight w:val="none"/>
          <w:lang w:val="en-US" w:eastAsia="zh-CN" w:bidi="ar-SA"/>
        </w:rPr>
        <w:t>。</w:t>
      </w:r>
    </w:p>
    <w:p w14:paraId="408D2086">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维修维护合格率</w:t>
      </w:r>
      <w:r>
        <w:rPr>
          <w:rFonts w:hint="eastAsia" w:ascii="仿宋_GB2312" w:hAnsi="仿宋_GB2312" w:cs="仿宋_GB2312"/>
          <w:b/>
          <w:bCs/>
          <w:sz w:val="32"/>
          <w:szCs w:val="32"/>
          <w:highlight w:val="none"/>
          <w:lang w:val="en-US" w:eastAsia="zh-CN"/>
        </w:rPr>
        <w:t>：</w:t>
      </w:r>
      <w:r>
        <w:rPr>
          <w:rFonts w:hint="eastAsia" w:hAnsi="宋体" w:cstheme="minorBidi"/>
          <w:kern w:val="2"/>
          <w:sz w:val="32"/>
          <w:szCs w:val="32"/>
          <w:highlight w:val="none"/>
          <w:lang w:val="en-US" w:eastAsia="zh-CN" w:bidi="ar-SA"/>
        </w:rPr>
        <w:t>我院</w:t>
      </w:r>
      <w:r>
        <w:rPr>
          <w:rFonts w:hint="eastAsia" w:ascii="仿宋_GB2312" w:hAnsi="宋体" w:eastAsia="仿宋_GB2312" w:cstheme="minorBidi"/>
          <w:kern w:val="2"/>
          <w:sz w:val="32"/>
          <w:szCs w:val="32"/>
          <w:highlight w:val="none"/>
          <w:lang w:val="en-US" w:eastAsia="zh-CN" w:bidi="ar-SA"/>
        </w:rPr>
        <w:t>日常维修维护及时</w:t>
      </w:r>
      <w:r>
        <w:rPr>
          <w:rFonts w:hint="eastAsia" w:hAnsi="宋体" w:cstheme="minorBidi"/>
          <w:kern w:val="2"/>
          <w:sz w:val="32"/>
          <w:szCs w:val="32"/>
          <w:highlight w:val="none"/>
          <w:lang w:val="en-US" w:eastAsia="zh-CN" w:bidi="ar-SA"/>
        </w:rPr>
        <w:t>，</w:t>
      </w:r>
      <w:r>
        <w:rPr>
          <w:rFonts w:hint="eastAsia" w:cs="仿宋_GB2312"/>
          <w:sz w:val="32"/>
          <w:szCs w:val="32"/>
          <w:highlight w:val="none"/>
          <w:lang w:val="en-US" w:eastAsia="zh-CN"/>
        </w:rPr>
        <w:t>完成年度目标值。</w:t>
      </w:r>
      <w:r>
        <w:rPr>
          <w:rFonts w:hint="eastAsia" w:ascii="仿宋_GB2312" w:hAnsi="仿宋_GB2312" w:cs="仿宋_GB2312"/>
          <w:sz w:val="32"/>
          <w:szCs w:val="32"/>
          <w:highlight w:val="none"/>
          <w:lang w:val="en-US" w:eastAsia="zh-CN"/>
        </w:rPr>
        <w:t>指标分值4.44分，自评得分4.44分</w:t>
      </w:r>
      <w:r>
        <w:rPr>
          <w:rFonts w:hint="eastAsia" w:ascii="仿宋_GB2312" w:hAnsi="仿宋_GB2312" w:eastAsia="仿宋_GB2312" w:cs="仿宋_GB2312"/>
          <w:b w:val="0"/>
          <w:kern w:val="2"/>
          <w:sz w:val="32"/>
          <w:szCs w:val="32"/>
          <w:highlight w:val="none"/>
          <w:lang w:val="en-US" w:eastAsia="zh-CN" w:bidi="ar-SA"/>
        </w:rPr>
        <w:t>，得分率</w:t>
      </w:r>
      <w:r>
        <w:rPr>
          <w:rFonts w:hint="eastAsia" w:ascii="仿宋_GB2312" w:hAnsi="仿宋_GB2312" w:cs="仿宋_GB2312"/>
          <w:b w:val="0"/>
          <w:kern w:val="2"/>
          <w:sz w:val="32"/>
          <w:szCs w:val="32"/>
          <w:highlight w:val="none"/>
          <w:lang w:val="en-US" w:eastAsia="zh-CN" w:bidi="ar-SA"/>
        </w:rPr>
        <w:t>100%</w:t>
      </w:r>
      <w:r>
        <w:rPr>
          <w:rFonts w:hint="eastAsia" w:ascii="仿宋_GB2312" w:hAnsi="仿宋_GB2312" w:eastAsia="仿宋_GB2312" w:cs="仿宋_GB2312"/>
          <w:b w:val="0"/>
          <w:kern w:val="2"/>
          <w:sz w:val="32"/>
          <w:szCs w:val="32"/>
          <w:highlight w:val="none"/>
          <w:lang w:val="en-US" w:eastAsia="zh-CN" w:bidi="ar-SA"/>
        </w:rPr>
        <w:t>。</w:t>
      </w:r>
    </w:p>
    <w:p w14:paraId="0E153D88">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3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③</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产出时效</w:t>
      </w:r>
    </w:p>
    <w:p w14:paraId="065C28F3">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法庭运维及时性</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年度目标值=100%，</w:t>
      </w:r>
      <w:r>
        <w:rPr>
          <w:rFonts w:hint="eastAsia"/>
          <w:sz w:val="32"/>
          <w:szCs w:val="24"/>
          <w:lang w:eastAsia="zh-CN"/>
        </w:rPr>
        <w:t>达到年度指标值</w:t>
      </w:r>
      <w:r>
        <w:rPr>
          <w:rFonts w:hint="eastAsia"/>
          <w:sz w:val="32"/>
          <w:szCs w:val="24"/>
        </w:rPr>
        <w:t>。</w:t>
      </w:r>
      <w:r>
        <w:rPr>
          <w:rFonts w:hint="eastAsia" w:ascii="仿宋_GB2312" w:hAnsi="仿宋_GB2312" w:eastAsia="仿宋_GB2312" w:cs="仿宋_GB2312"/>
          <w:sz w:val="32"/>
          <w:szCs w:val="32"/>
          <w:highlight w:val="none"/>
          <w:lang w:val="en-US" w:eastAsia="zh-CN"/>
        </w:rPr>
        <w:t>实际完成100%</w:t>
      </w:r>
      <w:r>
        <w:rPr>
          <w:rFonts w:hint="eastAsia" w:ascii="仿宋_GB2312" w:hAnsi="仿宋_GB2312" w:cs="仿宋_GB2312"/>
          <w:sz w:val="32"/>
          <w:szCs w:val="32"/>
          <w:highlight w:val="none"/>
          <w:lang w:val="en-US" w:eastAsia="zh-CN"/>
        </w:rPr>
        <w:t>，指标分值4.44分，自评得分4.44分</w:t>
      </w:r>
      <w:r>
        <w:rPr>
          <w:rFonts w:hint="eastAsia" w:ascii="仿宋_GB2312" w:hAnsi="仿宋_GB2312" w:eastAsia="仿宋_GB2312" w:cs="仿宋_GB2312"/>
          <w:b w:val="0"/>
          <w:kern w:val="2"/>
          <w:sz w:val="32"/>
          <w:szCs w:val="32"/>
          <w:highlight w:val="none"/>
          <w:lang w:val="en-US" w:eastAsia="zh-CN" w:bidi="ar-SA"/>
        </w:rPr>
        <w:t>，得分率</w:t>
      </w:r>
      <w:r>
        <w:rPr>
          <w:rFonts w:hint="eastAsia" w:ascii="仿宋_GB2312" w:hAnsi="仿宋_GB2312" w:cs="仿宋_GB2312"/>
          <w:b w:val="0"/>
          <w:kern w:val="2"/>
          <w:sz w:val="32"/>
          <w:szCs w:val="32"/>
          <w:highlight w:val="none"/>
          <w:lang w:val="en-US" w:eastAsia="zh-CN" w:bidi="ar-SA"/>
        </w:rPr>
        <w:t>100%</w:t>
      </w:r>
      <w:r>
        <w:rPr>
          <w:rFonts w:hint="eastAsia" w:ascii="仿宋_GB2312" w:hAnsi="仿宋_GB2312" w:eastAsia="仿宋_GB2312" w:cs="仿宋_GB2312"/>
          <w:b w:val="0"/>
          <w:kern w:val="2"/>
          <w:sz w:val="32"/>
          <w:szCs w:val="32"/>
          <w:highlight w:val="none"/>
          <w:lang w:val="en-US" w:eastAsia="zh-CN" w:bidi="ar-SA"/>
        </w:rPr>
        <w:t>。</w:t>
      </w:r>
    </w:p>
    <w:p w14:paraId="6CF4F15C">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日常维护工作完成及时性</w:t>
      </w:r>
      <w:r>
        <w:rPr>
          <w:rFonts w:hint="eastAsia" w:ascii="仿宋_GB2312" w:hAnsi="仿宋_GB2312" w:cs="仿宋_GB2312"/>
          <w:b/>
          <w:bCs/>
          <w:sz w:val="32"/>
          <w:szCs w:val="32"/>
          <w:highlight w:val="none"/>
          <w:lang w:val="en-US" w:eastAsia="zh-CN"/>
        </w:rPr>
        <w:t>：</w:t>
      </w:r>
      <w:r>
        <w:rPr>
          <w:rFonts w:hint="eastAsia" w:hAnsi="宋体"/>
          <w:b w:val="0"/>
          <w:bCs w:val="0"/>
          <w:sz w:val="32"/>
          <w:szCs w:val="32"/>
          <w:lang w:val="en-US" w:eastAsia="zh-CN"/>
        </w:rPr>
        <w:t>我院日常维护工作完成及时，保障信息化系统正常运转，</w:t>
      </w:r>
      <w:r>
        <w:rPr>
          <w:rFonts w:hint="eastAsia"/>
          <w:sz w:val="32"/>
          <w:szCs w:val="24"/>
          <w:lang w:eastAsia="zh-CN"/>
        </w:rPr>
        <w:t>达到年度指标值</w:t>
      </w:r>
      <w:r>
        <w:rPr>
          <w:rFonts w:hint="eastAsia"/>
          <w:sz w:val="32"/>
          <w:szCs w:val="24"/>
        </w:rPr>
        <w:t>。</w:t>
      </w:r>
      <w:r>
        <w:rPr>
          <w:rFonts w:hint="eastAsia" w:ascii="仿宋_GB2312" w:hAnsi="仿宋_GB2312" w:cs="仿宋_GB2312"/>
          <w:sz w:val="32"/>
          <w:szCs w:val="32"/>
          <w:highlight w:val="none"/>
          <w:lang w:val="en-US" w:eastAsia="zh-CN"/>
        </w:rPr>
        <w:t>指标分值4.44分，自评得分4.44分</w:t>
      </w:r>
      <w:r>
        <w:rPr>
          <w:rFonts w:hint="eastAsia" w:ascii="仿宋_GB2312" w:hAnsi="仿宋_GB2312" w:eastAsia="仿宋_GB2312" w:cs="仿宋_GB2312"/>
          <w:b w:val="0"/>
          <w:kern w:val="2"/>
          <w:sz w:val="32"/>
          <w:szCs w:val="32"/>
          <w:highlight w:val="none"/>
          <w:lang w:val="en-US" w:eastAsia="zh-CN" w:bidi="ar-SA"/>
        </w:rPr>
        <w:t>，得分率</w:t>
      </w:r>
      <w:r>
        <w:rPr>
          <w:rFonts w:hint="eastAsia" w:ascii="仿宋_GB2312" w:hAnsi="仿宋_GB2312" w:cs="仿宋_GB2312"/>
          <w:b w:val="0"/>
          <w:kern w:val="2"/>
          <w:sz w:val="32"/>
          <w:szCs w:val="32"/>
          <w:highlight w:val="none"/>
          <w:lang w:val="en-US" w:eastAsia="zh-CN" w:bidi="ar-SA"/>
        </w:rPr>
        <w:t>100%</w:t>
      </w:r>
      <w:r>
        <w:rPr>
          <w:rFonts w:hint="eastAsia" w:ascii="仿宋_GB2312" w:hAnsi="仿宋_GB2312" w:eastAsia="仿宋_GB2312" w:cs="仿宋_GB2312"/>
          <w:b w:val="0"/>
          <w:kern w:val="2"/>
          <w:sz w:val="32"/>
          <w:szCs w:val="32"/>
          <w:highlight w:val="none"/>
          <w:lang w:val="en-US" w:eastAsia="zh-CN" w:bidi="ar-SA"/>
        </w:rPr>
        <w:t>。</w:t>
      </w:r>
    </w:p>
    <w:p w14:paraId="04EED0DD">
      <w:pPr>
        <w:keepNext w:val="0"/>
        <w:keepLines w:val="0"/>
        <w:pageBreakBefore w:val="0"/>
        <w:widowControl w:val="0"/>
        <w:kinsoku/>
        <w:wordWrap/>
        <w:overflowPunct/>
        <w:topLinePunct w:val="0"/>
        <w:autoSpaceDE w:val="0"/>
        <w:autoSpaceDN w:val="0"/>
        <w:bidi w:val="0"/>
        <w:adjustRightInd/>
        <w:snapToGrid/>
        <w:textAlignment w:val="auto"/>
        <w:rPr>
          <w:rFonts w:hint="eastAsia"/>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水电暖服务保障工作及时性</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年度指标值及时</w:t>
      </w:r>
      <w:r>
        <w:rPr>
          <w:rFonts w:hint="eastAsia" w:ascii="仿宋_GB2312" w:hAnsi="仿宋_GB2312" w:eastAsia="仿宋_GB2312" w:cs="仿宋_GB2312"/>
          <w:sz w:val="32"/>
          <w:szCs w:val="32"/>
          <w:highlight w:val="none"/>
          <w:lang w:val="en-US" w:eastAsia="zh-CN"/>
        </w:rPr>
        <w:t>，实际完成100%</w:t>
      </w:r>
      <w:r>
        <w:rPr>
          <w:rFonts w:hint="eastAsia" w:ascii="仿宋_GB2312" w:hAnsi="仿宋_GB2312" w:cs="仿宋_GB2312"/>
          <w:sz w:val="32"/>
          <w:szCs w:val="32"/>
          <w:highlight w:val="none"/>
          <w:lang w:val="en-US" w:eastAsia="zh-CN"/>
        </w:rPr>
        <w:t>，指标分值4.44分，自评得分4.44分</w:t>
      </w:r>
      <w:r>
        <w:rPr>
          <w:rFonts w:hint="eastAsia" w:ascii="仿宋_GB2312" w:hAnsi="仿宋_GB2312" w:eastAsia="仿宋_GB2312" w:cs="仿宋_GB2312"/>
          <w:b w:val="0"/>
          <w:kern w:val="2"/>
          <w:sz w:val="32"/>
          <w:szCs w:val="32"/>
          <w:highlight w:val="none"/>
          <w:lang w:val="en-US" w:eastAsia="zh-CN" w:bidi="ar-SA"/>
        </w:rPr>
        <w:t>，得分率</w:t>
      </w:r>
      <w:r>
        <w:rPr>
          <w:rFonts w:hint="eastAsia" w:ascii="仿宋_GB2312" w:hAnsi="仿宋_GB2312" w:cs="仿宋_GB2312"/>
          <w:b w:val="0"/>
          <w:kern w:val="2"/>
          <w:sz w:val="32"/>
          <w:szCs w:val="32"/>
          <w:highlight w:val="none"/>
          <w:lang w:val="en-US" w:eastAsia="zh-CN" w:bidi="ar-SA"/>
        </w:rPr>
        <w:t>100%</w:t>
      </w:r>
      <w:r>
        <w:rPr>
          <w:rFonts w:hint="eastAsia" w:ascii="仿宋_GB2312" w:hAnsi="仿宋_GB2312" w:eastAsia="仿宋_GB2312" w:cs="仿宋_GB2312"/>
          <w:b w:val="0"/>
          <w:kern w:val="2"/>
          <w:sz w:val="32"/>
          <w:szCs w:val="32"/>
          <w:highlight w:val="none"/>
          <w:lang w:val="en-US" w:eastAsia="zh-CN" w:bidi="ar-SA"/>
        </w:rPr>
        <w:t>。</w:t>
      </w:r>
    </w:p>
    <w:p w14:paraId="42B7D9C7">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）项目效益指标完成情况分析</w:t>
      </w:r>
    </w:p>
    <w:p w14:paraId="09A864E2">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项目效益指标包括社会效益</w:t>
      </w: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个二级指标，下设</w:t>
      </w: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个三级指标。指标分值</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0分，自评得分</w:t>
      </w:r>
      <w:r>
        <w:rPr>
          <w:rFonts w:hint="eastAsia" w:ascii="仿宋_GB2312" w:hAnsi="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分，得分率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67C70AD1">
      <w:pPr>
        <w:keepNext w:val="0"/>
        <w:keepLines w:val="0"/>
        <w:pageBreakBefore w:val="0"/>
        <w:widowControl w:val="0"/>
        <w:kinsoku/>
        <w:wordWrap/>
        <w:overflowPunct/>
        <w:topLinePunct w:val="0"/>
        <w:autoSpaceDE w:val="0"/>
        <w:autoSpaceDN w:val="0"/>
        <w:bidi w:val="0"/>
        <w:adjustRightInd/>
        <w:snapToGrid/>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有效保障审判服务：</w:t>
      </w:r>
      <w:r>
        <w:rPr>
          <w:rFonts w:hint="eastAsia"/>
          <w:b w:val="0"/>
          <w:bCs w:val="0"/>
          <w:sz w:val="32"/>
          <w:szCs w:val="32"/>
          <w:highlight w:val="none"/>
          <w:lang w:val="en-US" w:eastAsia="zh-CN"/>
        </w:rPr>
        <w:t>我院保障基层法庭的</w:t>
      </w:r>
      <w:r>
        <w:rPr>
          <w:rFonts w:hint="eastAsia" w:ascii="仿宋_GB2312" w:hAnsi="宋体" w:eastAsia="仿宋_GB2312" w:cstheme="minorBidi"/>
          <w:kern w:val="2"/>
          <w:sz w:val="32"/>
          <w:szCs w:val="32"/>
          <w:highlight w:val="none"/>
          <w:lang w:val="en-US" w:eastAsia="zh-CN" w:bidi="ar-SA"/>
        </w:rPr>
        <w:t>正常运行</w:t>
      </w:r>
      <w:r>
        <w:rPr>
          <w:rFonts w:hint="eastAsia"/>
          <w:b w:val="0"/>
          <w:bCs w:val="0"/>
          <w:sz w:val="32"/>
          <w:szCs w:val="32"/>
          <w:highlight w:val="none"/>
          <w:lang w:val="en-US" w:eastAsia="zh-CN"/>
        </w:rPr>
        <w:t>，后</w:t>
      </w:r>
      <w:r>
        <w:rPr>
          <w:rFonts w:hint="eastAsia" w:ascii="仿宋_GB2312" w:hAnsi="宋体" w:eastAsia="仿宋_GB2312" w:cstheme="minorBidi"/>
          <w:b w:val="0"/>
          <w:bCs w:val="0"/>
          <w:kern w:val="2"/>
          <w:sz w:val="32"/>
          <w:szCs w:val="32"/>
          <w:highlight w:val="none"/>
          <w:lang w:val="en-US" w:eastAsia="zh-CN" w:bidi="ar-SA"/>
        </w:rPr>
        <w:t>勤保</w:t>
      </w:r>
      <w:r>
        <w:rPr>
          <w:rFonts w:hint="eastAsia" w:ascii="仿宋_GB2312" w:hAnsi="宋体" w:eastAsia="仿宋_GB2312" w:cstheme="minorBidi"/>
          <w:kern w:val="2"/>
          <w:sz w:val="32"/>
          <w:szCs w:val="32"/>
          <w:highlight w:val="none"/>
          <w:lang w:val="en-US" w:eastAsia="zh-CN" w:bidi="ar-SA"/>
        </w:rPr>
        <w:t>障能力得到提升，水电暖运行通畅，日常维修维护及时，有效保障审判服务</w:t>
      </w:r>
      <w:r>
        <w:rPr>
          <w:rFonts w:hint="eastAsia" w:hAnsi="宋体" w:cstheme="minorBidi"/>
          <w:kern w:val="2"/>
          <w:sz w:val="32"/>
          <w:szCs w:val="32"/>
          <w:highlight w:val="none"/>
          <w:lang w:val="en-US" w:eastAsia="zh-CN" w:bidi="ar-SA"/>
        </w:rPr>
        <w:t>。</w:t>
      </w:r>
      <w:r>
        <w:rPr>
          <w:rFonts w:hint="eastAsia" w:ascii="仿宋_GB2312" w:hAnsi="仿宋_GB2312" w:cs="仿宋_GB2312"/>
          <w:sz w:val="32"/>
          <w:szCs w:val="32"/>
          <w:highlight w:val="none"/>
          <w:lang w:val="en-US" w:eastAsia="zh-CN"/>
        </w:rPr>
        <w:t>指标分值</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w:t>
      </w:r>
      <w:r>
        <w:rPr>
          <w:rFonts w:hint="eastAsia" w:ascii="仿宋_GB2312" w:hAnsi="仿宋_GB2312" w:cs="仿宋_GB2312"/>
          <w:sz w:val="32"/>
          <w:szCs w:val="32"/>
          <w:highlight w:val="none"/>
          <w:lang w:val="en-US" w:eastAsia="zh-CN"/>
        </w:rPr>
        <w:t>分，自评得分</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w:t>
      </w:r>
      <w:r>
        <w:rPr>
          <w:rFonts w:hint="eastAsia" w:ascii="仿宋_GB2312" w:hAnsi="仿宋_GB2312" w:cs="仿宋_GB2312"/>
          <w:sz w:val="32"/>
          <w:szCs w:val="32"/>
          <w:highlight w:val="none"/>
          <w:lang w:val="en-US" w:eastAsia="zh-CN"/>
        </w:rPr>
        <w:t>分</w:t>
      </w:r>
      <w:r>
        <w:rPr>
          <w:rFonts w:hint="eastAsia" w:ascii="仿宋_GB2312" w:hAnsi="仿宋_GB2312" w:eastAsia="仿宋_GB2312" w:cs="仿宋_GB2312"/>
          <w:b w:val="0"/>
          <w:kern w:val="2"/>
          <w:sz w:val="32"/>
          <w:szCs w:val="32"/>
          <w:highlight w:val="none"/>
          <w:lang w:val="en-US" w:eastAsia="zh-CN" w:bidi="ar-SA"/>
        </w:rPr>
        <w:t>，得分率</w:t>
      </w:r>
      <w:r>
        <w:rPr>
          <w:rFonts w:hint="eastAsia" w:ascii="仿宋_GB2312" w:hAnsi="仿宋_GB2312" w:cs="仿宋_GB2312"/>
          <w:b w:val="0"/>
          <w:kern w:val="2"/>
          <w:sz w:val="32"/>
          <w:szCs w:val="32"/>
          <w:highlight w:val="none"/>
          <w:lang w:val="en-US" w:eastAsia="zh-CN" w:bidi="ar-SA"/>
        </w:rPr>
        <w:t>100%</w:t>
      </w:r>
      <w:r>
        <w:rPr>
          <w:rFonts w:hint="eastAsia" w:ascii="仿宋_GB2312" w:hAnsi="仿宋_GB2312" w:eastAsia="仿宋_GB2312" w:cs="仿宋_GB2312"/>
          <w:b w:val="0"/>
          <w:kern w:val="2"/>
          <w:sz w:val="32"/>
          <w:szCs w:val="32"/>
          <w:highlight w:val="none"/>
          <w:lang w:val="en-US" w:eastAsia="zh-CN" w:bidi="ar-SA"/>
        </w:rPr>
        <w:t>。</w:t>
      </w:r>
    </w:p>
    <w:p w14:paraId="3C5C4B66">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rPr>
        <w:t>）项目满意度指标完成情况分析</w:t>
      </w:r>
    </w:p>
    <w:p w14:paraId="1F46F745">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项目服务对象满意度指标主要为</w:t>
      </w:r>
      <w:r>
        <w:rPr>
          <w:rFonts w:hint="eastAsia" w:ascii="仿宋_GB2312" w:hAnsi="仿宋_GB2312" w:cs="仿宋_GB2312"/>
          <w:sz w:val="32"/>
          <w:szCs w:val="32"/>
          <w:highlight w:val="none"/>
          <w:lang w:val="en-US" w:eastAsia="zh-CN"/>
        </w:rPr>
        <w:t>服务群众对审判工作满意度及派出法庭工作人员满意度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指标分值</w:t>
      </w: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0分，自评得分</w:t>
      </w:r>
      <w:r>
        <w:rPr>
          <w:rFonts w:hint="eastAsia" w:ascii="仿宋_GB2312" w:hAnsi="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分，得分率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7A419801">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服务群众对审批工作满意度：</w:t>
      </w:r>
      <w:r>
        <w:rPr>
          <w:rFonts w:hint="eastAsia" w:ascii="仿宋_GB2312" w:hAnsi="仿宋_GB2312" w:eastAsia="仿宋_GB2312" w:cs="仿宋_GB2312"/>
          <w:b w:val="0"/>
          <w:bCs w:val="0"/>
          <w:kern w:val="2"/>
          <w:sz w:val="32"/>
          <w:szCs w:val="32"/>
          <w:highlight w:val="none"/>
          <w:lang w:val="en-US" w:eastAsia="zh-CN" w:bidi="ar-SA"/>
        </w:rPr>
        <w:t>我院积极审判各类案件，保障人民群众合法权益，从人员配置到案件审理公正性以及案件执行力度着手，法院的一切工作最终都是为人民群众服务，只有得到人民群众认可，法院的相关工作才能得到人民群众的支持，当事人满意度达到95%。该指标分值5分，自评得分为5分，得分率为100%。</w:t>
      </w:r>
    </w:p>
    <w:p w14:paraId="06B2D63A">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派出法庭工作人员满意度：</w:t>
      </w:r>
      <w:r>
        <w:rPr>
          <w:rFonts w:hint="eastAsia" w:ascii="仿宋_GB2312" w:hAnsi="仿宋_GB2312" w:eastAsia="仿宋_GB2312" w:cs="仿宋_GB2312"/>
          <w:b w:val="0"/>
          <w:bCs w:val="0"/>
          <w:kern w:val="2"/>
          <w:sz w:val="32"/>
          <w:szCs w:val="32"/>
          <w:highlight w:val="none"/>
          <w:lang w:val="en-US" w:eastAsia="zh-CN" w:bidi="ar-SA"/>
        </w:rPr>
        <w:t>2023年我院在案件的审判上，找准短板弱项，加强分析研判，查找原因症结，围绕审判存在的问题和短板，细化工作举措，层层压实责任，确保查漏补缺工作落实到位，保障工作人员办案质量要求和业务能力水平的提升，法院工作人员满意度为98%。该指标分值5分，自评得5分，得分率为100%。</w:t>
      </w:r>
    </w:p>
    <w:p w14:paraId="5441BF70">
      <w:pPr>
        <w:pStyle w:val="5"/>
        <w:keepNext/>
        <w:keepLines/>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4.偏离绩效目标的原因及下一步改进措施</w:t>
      </w:r>
    </w:p>
    <w:p w14:paraId="51BC9586">
      <w:pPr>
        <w:keepNext/>
        <w:keepLines/>
        <w:pageBreakBefore w:val="0"/>
        <w:widowControl w:val="0"/>
        <w:kinsoku/>
        <w:wordWrap/>
        <w:overflowPunct/>
        <w:topLinePunct w:val="0"/>
        <w:autoSpaceDE w:val="0"/>
        <w:autoSpaceDN w:val="0"/>
        <w:bidi w:val="0"/>
        <w:adjustRightInd/>
        <w:snapToGrid/>
        <w:spacing w:line="560" w:lineRule="exact"/>
        <w:textAlignment w:val="auto"/>
        <w:outlineLvl w:val="9"/>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无。</w:t>
      </w:r>
    </w:p>
    <w:p w14:paraId="44205FE1">
      <w:pPr>
        <w:pStyle w:val="2"/>
        <w:keepNext w:val="0"/>
        <w:keepLines w:val="0"/>
        <w:spacing w:before="0" w:after="0"/>
      </w:pPr>
      <w:bookmarkStart w:id="68" w:name="_Toc1931"/>
      <w:r>
        <w:rPr>
          <w:rFonts w:hint="eastAsia"/>
          <w:lang w:val="en-US" w:eastAsia="zh-CN"/>
        </w:rPr>
        <w:t>五</w:t>
      </w:r>
      <w:r>
        <w:rPr>
          <w:rFonts w:hint="eastAsia"/>
        </w:rPr>
        <w:t>、绩效自评结果拟应用和公开情况</w:t>
      </w:r>
      <w:bookmarkEnd w:id="62"/>
      <w:bookmarkEnd w:id="63"/>
      <w:bookmarkEnd w:id="64"/>
      <w:bookmarkEnd w:id="65"/>
      <w:bookmarkEnd w:id="66"/>
      <w:bookmarkEnd w:id="68"/>
    </w:p>
    <w:p w14:paraId="629FC0E6">
      <w:pPr>
        <w:ind w:firstLine="560"/>
        <w:jc w:val="left"/>
        <w:rPr>
          <w:rFonts w:hAnsi="宋体"/>
          <w:sz w:val="32"/>
          <w:szCs w:val="32"/>
        </w:rPr>
      </w:pPr>
      <w:r>
        <w:rPr>
          <w:rFonts w:hint="eastAsia" w:hAnsi="宋体"/>
          <w:sz w:val="32"/>
          <w:szCs w:val="32"/>
        </w:rPr>
        <w:t>绩效自评结果的应用是部门完善政策和改进管理的重要依据，部门要加强评价结果的应用。根据政策文件规定，我院绩效自评结果将编入</w:t>
      </w:r>
      <w:r>
        <w:rPr>
          <w:rFonts w:hint="eastAsia" w:hAnsi="宋体"/>
          <w:sz w:val="32"/>
          <w:szCs w:val="32"/>
          <w:lang w:eastAsia="zh-CN"/>
        </w:rPr>
        <w:t>2023</w:t>
      </w:r>
      <w:r>
        <w:rPr>
          <w:rFonts w:hint="eastAsia" w:hAnsi="宋体"/>
          <w:sz w:val="32"/>
          <w:szCs w:val="32"/>
        </w:rPr>
        <w:t>年度决算中，随同</w:t>
      </w:r>
      <w:r>
        <w:rPr>
          <w:rFonts w:hint="eastAsia" w:hAnsi="宋体"/>
          <w:sz w:val="32"/>
          <w:szCs w:val="32"/>
          <w:lang w:eastAsia="zh-CN"/>
        </w:rPr>
        <w:t>2023</w:t>
      </w:r>
      <w:r>
        <w:rPr>
          <w:rFonts w:hint="eastAsia" w:hAnsi="宋体"/>
          <w:sz w:val="32"/>
          <w:szCs w:val="32"/>
        </w:rPr>
        <w:t>年度部门决算同步公开。</w:t>
      </w:r>
    </w:p>
    <w:p w14:paraId="509F2818">
      <w:pPr>
        <w:pStyle w:val="2"/>
        <w:spacing w:before="0" w:after="0"/>
      </w:pPr>
      <w:bookmarkStart w:id="69" w:name="_Toc17181"/>
      <w:bookmarkStart w:id="70" w:name="_Toc4491"/>
      <w:bookmarkStart w:id="71" w:name="_Toc6781"/>
      <w:bookmarkStart w:id="72" w:name="_Toc40046066"/>
      <w:bookmarkStart w:id="73" w:name="_Toc14055"/>
      <w:bookmarkStart w:id="74" w:name="_Toc21490"/>
      <w:r>
        <w:rPr>
          <w:rFonts w:hint="eastAsia"/>
          <w:lang w:val="en-US" w:eastAsia="zh-CN"/>
        </w:rPr>
        <w:t>六</w:t>
      </w:r>
      <w:bookmarkStart w:id="75" w:name="_GoBack"/>
      <w:bookmarkEnd w:id="75"/>
      <w:r>
        <w:rPr>
          <w:rFonts w:hint="eastAsia"/>
        </w:rPr>
        <w:t>、其他需要说明的问题</w:t>
      </w:r>
      <w:bookmarkEnd w:id="69"/>
      <w:bookmarkEnd w:id="70"/>
      <w:bookmarkEnd w:id="71"/>
      <w:bookmarkEnd w:id="72"/>
      <w:bookmarkEnd w:id="73"/>
      <w:bookmarkEnd w:id="74"/>
    </w:p>
    <w:p w14:paraId="0C83FB07">
      <w:pPr>
        <w:widowControl/>
        <w:ind w:firstLine="560"/>
        <w:jc w:val="left"/>
        <w:rPr>
          <w:rFonts w:hAnsi="宋体"/>
          <w:sz w:val="32"/>
          <w:szCs w:val="32"/>
        </w:rPr>
      </w:pPr>
      <w:r>
        <w:rPr>
          <w:rFonts w:hint="eastAsia" w:hAnsi="宋体"/>
          <w:sz w:val="32"/>
          <w:szCs w:val="32"/>
        </w:rPr>
        <w:t>无。</w:t>
      </w:r>
    </w:p>
    <w:p w14:paraId="3333FE36">
      <w:pPr>
        <w:pStyle w:val="34"/>
        <w:ind w:left="0" w:leftChars="0" w:firstLine="0" w:firstLineChars="0"/>
      </w:pPr>
    </w:p>
    <w:sectPr>
      <w:footerReference r:id="rId12"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0000000000000000000"/>
    <w:charset w:val="00"/>
    <w:family w:val="roman"/>
    <w:pitch w:val="default"/>
    <w:sig w:usb0="00000000" w:usb1="00000000" w:usb2="00000000" w:usb3="00000000" w:csb0="00000000"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22D16">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742DE">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6D6FA">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8ED7E">
    <w:pPr>
      <w:pStyle w:val="16"/>
      <w:ind w:firstLine="360"/>
      <w:jc w:val="center"/>
    </w:pPr>
  </w:p>
  <w:p w14:paraId="1D28346E">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4D057">
    <w:pPr>
      <w:pStyle w:val="16"/>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888059213"/>
                          </w:sdtPr>
                          <w:sdtContent>
                            <w:p w14:paraId="5B957CE1">
                              <w:pPr>
                                <w:pStyle w:val="16"/>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14:paraId="73ACBCE9">
                          <w:pPr>
                            <w:pStyle w:val="32"/>
                            <w:ind w:left="560" w:firstLine="56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sdt>
                    <w:sdtPr>
                      <w:id w:val="1888059213"/>
                    </w:sdtPr>
                    <w:sdtContent>
                      <w:p w14:paraId="5B957CE1">
                        <w:pPr>
                          <w:pStyle w:val="16"/>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14:paraId="73ACBCE9">
                    <w:pPr>
                      <w:pStyle w:val="32"/>
                      <w:ind w:left="560" w:firstLine="560"/>
                    </w:pPr>
                  </w:p>
                </w:txbxContent>
              </v:textbox>
            </v:shape>
          </w:pict>
        </mc:Fallback>
      </mc:AlternateContent>
    </w:r>
  </w:p>
  <w:p w14:paraId="72EA4552">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6F7B2">
    <w:pPr>
      <w:pStyle w:val="1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84C67">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C0FAB">
    <w:pPr>
      <w:pStyle w:val="1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MjIwY2Y5MzBlZWYwMjEyZTRkYWRmNGU1YTliN2UifQ=="/>
  </w:docVars>
  <w:rsids>
    <w:rsidRoot w:val="00172A27"/>
    <w:rsid w:val="00052A18"/>
    <w:rsid w:val="00074885"/>
    <w:rsid w:val="000823DF"/>
    <w:rsid w:val="000846DD"/>
    <w:rsid w:val="0009668A"/>
    <w:rsid w:val="000A57E0"/>
    <w:rsid w:val="000A6007"/>
    <w:rsid w:val="000B791F"/>
    <w:rsid w:val="000D228A"/>
    <w:rsid w:val="00116A7E"/>
    <w:rsid w:val="001317A2"/>
    <w:rsid w:val="00132B05"/>
    <w:rsid w:val="00136178"/>
    <w:rsid w:val="00172A27"/>
    <w:rsid w:val="001A5FBA"/>
    <w:rsid w:val="001C3244"/>
    <w:rsid w:val="001C5292"/>
    <w:rsid w:val="001F5079"/>
    <w:rsid w:val="00213991"/>
    <w:rsid w:val="0026306D"/>
    <w:rsid w:val="002A2B4C"/>
    <w:rsid w:val="002A4C84"/>
    <w:rsid w:val="002C705C"/>
    <w:rsid w:val="00354A66"/>
    <w:rsid w:val="0037297D"/>
    <w:rsid w:val="003A4775"/>
    <w:rsid w:val="003B33F8"/>
    <w:rsid w:val="003B4445"/>
    <w:rsid w:val="00411640"/>
    <w:rsid w:val="00440055"/>
    <w:rsid w:val="004555C6"/>
    <w:rsid w:val="00486086"/>
    <w:rsid w:val="004951D2"/>
    <w:rsid w:val="004A31A3"/>
    <w:rsid w:val="004A6727"/>
    <w:rsid w:val="004C4F85"/>
    <w:rsid w:val="004D56A6"/>
    <w:rsid w:val="0050326C"/>
    <w:rsid w:val="0051422B"/>
    <w:rsid w:val="00522C19"/>
    <w:rsid w:val="0052622F"/>
    <w:rsid w:val="00591A5D"/>
    <w:rsid w:val="005F4EFE"/>
    <w:rsid w:val="006903F9"/>
    <w:rsid w:val="006A4784"/>
    <w:rsid w:val="006C7775"/>
    <w:rsid w:val="006D3D71"/>
    <w:rsid w:val="006F31A0"/>
    <w:rsid w:val="007104B3"/>
    <w:rsid w:val="007320C0"/>
    <w:rsid w:val="00756C8C"/>
    <w:rsid w:val="007616B0"/>
    <w:rsid w:val="0077240E"/>
    <w:rsid w:val="007C3784"/>
    <w:rsid w:val="007C52D7"/>
    <w:rsid w:val="007C78AD"/>
    <w:rsid w:val="007D2489"/>
    <w:rsid w:val="007D7D6C"/>
    <w:rsid w:val="00804FC6"/>
    <w:rsid w:val="00814620"/>
    <w:rsid w:val="00835CA9"/>
    <w:rsid w:val="008559BB"/>
    <w:rsid w:val="00872C90"/>
    <w:rsid w:val="008901DE"/>
    <w:rsid w:val="008949AA"/>
    <w:rsid w:val="008B0628"/>
    <w:rsid w:val="008B7A39"/>
    <w:rsid w:val="008D4175"/>
    <w:rsid w:val="00911B80"/>
    <w:rsid w:val="009165DD"/>
    <w:rsid w:val="009302C0"/>
    <w:rsid w:val="00932761"/>
    <w:rsid w:val="00984072"/>
    <w:rsid w:val="009C15A4"/>
    <w:rsid w:val="009D7ABF"/>
    <w:rsid w:val="00A149C3"/>
    <w:rsid w:val="00A55CA9"/>
    <w:rsid w:val="00A959C7"/>
    <w:rsid w:val="00AE078A"/>
    <w:rsid w:val="00B42316"/>
    <w:rsid w:val="00B435CF"/>
    <w:rsid w:val="00B7772A"/>
    <w:rsid w:val="00C07477"/>
    <w:rsid w:val="00C253A6"/>
    <w:rsid w:val="00C44682"/>
    <w:rsid w:val="00C543AD"/>
    <w:rsid w:val="00C561AA"/>
    <w:rsid w:val="00C5770C"/>
    <w:rsid w:val="00C65841"/>
    <w:rsid w:val="00CA4117"/>
    <w:rsid w:val="00CA6255"/>
    <w:rsid w:val="00CD4DA0"/>
    <w:rsid w:val="00CE7F24"/>
    <w:rsid w:val="00CF4F52"/>
    <w:rsid w:val="00D0323B"/>
    <w:rsid w:val="00D62102"/>
    <w:rsid w:val="00D65327"/>
    <w:rsid w:val="00DA4915"/>
    <w:rsid w:val="00DC0D4D"/>
    <w:rsid w:val="00DC252A"/>
    <w:rsid w:val="00E2030F"/>
    <w:rsid w:val="00E343E5"/>
    <w:rsid w:val="00E63FE2"/>
    <w:rsid w:val="00E71216"/>
    <w:rsid w:val="00EC69A8"/>
    <w:rsid w:val="00F74A57"/>
    <w:rsid w:val="00F869BE"/>
    <w:rsid w:val="00FB4EB0"/>
    <w:rsid w:val="00FC28C9"/>
    <w:rsid w:val="00FF2BDA"/>
    <w:rsid w:val="01183111"/>
    <w:rsid w:val="0125204F"/>
    <w:rsid w:val="016210FD"/>
    <w:rsid w:val="01865733"/>
    <w:rsid w:val="01A06E9D"/>
    <w:rsid w:val="01B85F94"/>
    <w:rsid w:val="023A109F"/>
    <w:rsid w:val="02441F1E"/>
    <w:rsid w:val="0294218E"/>
    <w:rsid w:val="02D93C69"/>
    <w:rsid w:val="0305754E"/>
    <w:rsid w:val="03586C8C"/>
    <w:rsid w:val="03B80F4C"/>
    <w:rsid w:val="03B93EF4"/>
    <w:rsid w:val="03DE64EE"/>
    <w:rsid w:val="045D1075"/>
    <w:rsid w:val="046D109D"/>
    <w:rsid w:val="04AE1CD1"/>
    <w:rsid w:val="04AE6573"/>
    <w:rsid w:val="04C826FC"/>
    <w:rsid w:val="04D710AE"/>
    <w:rsid w:val="05431AC5"/>
    <w:rsid w:val="055B4129"/>
    <w:rsid w:val="058F525E"/>
    <w:rsid w:val="05D64F65"/>
    <w:rsid w:val="064F716B"/>
    <w:rsid w:val="068B5D38"/>
    <w:rsid w:val="06B8742D"/>
    <w:rsid w:val="06D575E9"/>
    <w:rsid w:val="06E8731C"/>
    <w:rsid w:val="06F265AD"/>
    <w:rsid w:val="06F90833"/>
    <w:rsid w:val="071E5658"/>
    <w:rsid w:val="07930250"/>
    <w:rsid w:val="07AF39D1"/>
    <w:rsid w:val="07DE28D4"/>
    <w:rsid w:val="080E4270"/>
    <w:rsid w:val="087F1930"/>
    <w:rsid w:val="088272FC"/>
    <w:rsid w:val="08A7247E"/>
    <w:rsid w:val="08A728CF"/>
    <w:rsid w:val="08A84A40"/>
    <w:rsid w:val="08F834BD"/>
    <w:rsid w:val="09077DF6"/>
    <w:rsid w:val="091241C8"/>
    <w:rsid w:val="09376339"/>
    <w:rsid w:val="09B13A45"/>
    <w:rsid w:val="09BE6112"/>
    <w:rsid w:val="0A3F4399"/>
    <w:rsid w:val="0A6C3DC0"/>
    <w:rsid w:val="0AAC7535"/>
    <w:rsid w:val="0AFD6D5D"/>
    <w:rsid w:val="0B3D575C"/>
    <w:rsid w:val="0B8D6294"/>
    <w:rsid w:val="0B987180"/>
    <w:rsid w:val="0BA35E5E"/>
    <w:rsid w:val="0BA70E60"/>
    <w:rsid w:val="0BE1433A"/>
    <w:rsid w:val="0C040E46"/>
    <w:rsid w:val="0C126BE9"/>
    <w:rsid w:val="0C601039"/>
    <w:rsid w:val="0C6032F9"/>
    <w:rsid w:val="0C6C6699"/>
    <w:rsid w:val="0C8F023A"/>
    <w:rsid w:val="0DD248FB"/>
    <w:rsid w:val="0DE74A3D"/>
    <w:rsid w:val="0DF0188C"/>
    <w:rsid w:val="0DF46805"/>
    <w:rsid w:val="0E071816"/>
    <w:rsid w:val="0E130328"/>
    <w:rsid w:val="0E14510B"/>
    <w:rsid w:val="0E5E4367"/>
    <w:rsid w:val="0E791344"/>
    <w:rsid w:val="0E975183"/>
    <w:rsid w:val="0E9E4764"/>
    <w:rsid w:val="0EB9159E"/>
    <w:rsid w:val="0ECC7523"/>
    <w:rsid w:val="0F087E2F"/>
    <w:rsid w:val="0F0E7B3C"/>
    <w:rsid w:val="0F5301E5"/>
    <w:rsid w:val="0FAD1102"/>
    <w:rsid w:val="0FBE7ED7"/>
    <w:rsid w:val="0FC91CB4"/>
    <w:rsid w:val="10311F5D"/>
    <w:rsid w:val="10953945"/>
    <w:rsid w:val="109A22B0"/>
    <w:rsid w:val="10AF6C91"/>
    <w:rsid w:val="10ED0DA6"/>
    <w:rsid w:val="11390774"/>
    <w:rsid w:val="115B7B4E"/>
    <w:rsid w:val="119368FA"/>
    <w:rsid w:val="11A11963"/>
    <w:rsid w:val="11C03DEA"/>
    <w:rsid w:val="11C20FE9"/>
    <w:rsid w:val="11CF41B2"/>
    <w:rsid w:val="11E85901"/>
    <w:rsid w:val="126D4DDF"/>
    <w:rsid w:val="12F942BB"/>
    <w:rsid w:val="14055456"/>
    <w:rsid w:val="1410241B"/>
    <w:rsid w:val="146A4AEC"/>
    <w:rsid w:val="14731175"/>
    <w:rsid w:val="14A1264A"/>
    <w:rsid w:val="14A14FAE"/>
    <w:rsid w:val="14A237DC"/>
    <w:rsid w:val="14C17805"/>
    <w:rsid w:val="14E54E9B"/>
    <w:rsid w:val="1578500A"/>
    <w:rsid w:val="15937A9B"/>
    <w:rsid w:val="15B716F5"/>
    <w:rsid w:val="160A3D95"/>
    <w:rsid w:val="16133C89"/>
    <w:rsid w:val="169A0A5A"/>
    <w:rsid w:val="16EA10E2"/>
    <w:rsid w:val="171A2DA3"/>
    <w:rsid w:val="17364B64"/>
    <w:rsid w:val="17400B06"/>
    <w:rsid w:val="17914727"/>
    <w:rsid w:val="17A22D12"/>
    <w:rsid w:val="17A41D79"/>
    <w:rsid w:val="17D45E88"/>
    <w:rsid w:val="181C4FB8"/>
    <w:rsid w:val="18657FD3"/>
    <w:rsid w:val="187F540D"/>
    <w:rsid w:val="18CA4D24"/>
    <w:rsid w:val="19167A27"/>
    <w:rsid w:val="19444033"/>
    <w:rsid w:val="194F153B"/>
    <w:rsid w:val="1980048D"/>
    <w:rsid w:val="19855E4D"/>
    <w:rsid w:val="198804EA"/>
    <w:rsid w:val="199708B4"/>
    <w:rsid w:val="19A35684"/>
    <w:rsid w:val="19A8223C"/>
    <w:rsid w:val="19C01A32"/>
    <w:rsid w:val="19C85E69"/>
    <w:rsid w:val="1A1A43C2"/>
    <w:rsid w:val="1A913C2A"/>
    <w:rsid w:val="1AB901AA"/>
    <w:rsid w:val="1ABA3711"/>
    <w:rsid w:val="1ACC2EC5"/>
    <w:rsid w:val="1B3604F2"/>
    <w:rsid w:val="1B367A94"/>
    <w:rsid w:val="1B391536"/>
    <w:rsid w:val="1B7D7F7E"/>
    <w:rsid w:val="1C1A4DFF"/>
    <w:rsid w:val="1C770035"/>
    <w:rsid w:val="1C934265"/>
    <w:rsid w:val="1CA9356C"/>
    <w:rsid w:val="1CB60D97"/>
    <w:rsid w:val="1CC41839"/>
    <w:rsid w:val="1CD540C4"/>
    <w:rsid w:val="1CE82FAE"/>
    <w:rsid w:val="1D172F01"/>
    <w:rsid w:val="1D4B7A4A"/>
    <w:rsid w:val="1D6B5FA6"/>
    <w:rsid w:val="1DE5415D"/>
    <w:rsid w:val="1E0730ED"/>
    <w:rsid w:val="1E4A23BC"/>
    <w:rsid w:val="1EC73863"/>
    <w:rsid w:val="1EFC175F"/>
    <w:rsid w:val="201C2D22"/>
    <w:rsid w:val="204131A1"/>
    <w:rsid w:val="20462111"/>
    <w:rsid w:val="205A1343"/>
    <w:rsid w:val="206A11BC"/>
    <w:rsid w:val="20B724D5"/>
    <w:rsid w:val="21132B7C"/>
    <w:rsid w:val="215313DE"/>
    <w:rsid w:val="215D5DE6"/>
    <w:rsid w:val="216E0AF3"/>
    <w:rsid w:val="21A10725"/>
    <w:rsid w:val="21B128A6"/>
    <w:rsid w:val="21D94E53"/>
    <w:rsid w:val="21E94BEF"/>
    <w:rsid w:val="22C541CF"/>
    <w:rsid w:val="22F26762"/>
    <w:rsid w:val="23A31DC3"/>
    <w:rsid w:val="23AF71DA"/>
    <w:rsid w:val="23C10B07"/>
    <w:rsid w:val="23C75000"/>
    <w:rsid w:val="24223CEC"/>
    <w:rsid w:val="247C56A2"/>
    <w:rsid w:val="248C0A40"/>
    <w:rsid w:val="24A819DF"/>
    <w:rsid w:val="24E54A43"/>
    <w:rsid w:val="25AB104A"/>
    <w:rsid w:val="25D37B28"/>
    <w:rsid w:val="25E12217"/>
    <w:rsid w:val="26323CB8"/>
    <w:rsid w:val="26555BF8"/>
    <w:rsid w:val="269A7D3C"/>
    <w:rsid w:val="270E5FB0"/>
    <w:rsid w:val="27EC5A7D"/>
    <w:rsid w:val="27F751B9"/>
    <w:rsid w:val="27FA58DE"/>
    <w:rsid w:val="281C4006"/>
    <w:rsid w:val="2841391F"/>
    <w:rsid w:val="28452D46"/>
    <w:rsid w:val="2872534E"/>
    <w:rsid w:val="289A4010"/>
    <w:rsid w:val="28A571DE"/>
    <w:rsid w:val="28BB61E6"/>
    <w:rsid w:val="28F33A63"/>
    <w:rsid w:val="29121B7F"/>
    <w:rsid w:val="29440026"/>
    <w:rsid w:val="29447DE6"/>
    <w:rsid w:val="295973BD"/>
    <w:rsid w:val="298720F0"/>
    <w:rsid w:val="29D52BB5"/>
    <w:rsid w:val="29F55728"/>
    <w:rsid w:val="29FA3933"/>
    <w:rsid w:val="2A070BEE"/>
    <w:rsid w:val="2A273408"/>
    <w:rsid w:val="2A731D21"/>
    <w:rsid w:val="2A7F3244"/>
    <w:rsid w:val="2AB949A8"/>
    <w:rsid w:val="2ACD0453"/>
    <w:rsid w:val="2ACE3A90"/>
    <w:rsid w:val="2B0A5203"/>
    <w:rsid w:val="2B252A91"/>
    <w:rsid w:val="2B4017F0"/>
    <w:rsid w:val="2B6348E0"/>
    <w:rsid w:val="2B970537"/>
    <w:rsid w:val="2BE76212"/>
    <w:rsid w:val="2C09185D"/>
    <w:rsid w:val="2C0F7531"/>
    <w:rsid w:val="2C7A0167"/>
    <w:rsid w:val="2C8F33BD"/>
    <w:rsid w:val="2C8F54B1"/>
    <w:rsid w:val="2D5662C8"/>
    <w:rsid w:val="2DF56335"/>
    <w:rsid w:val="2DF9286A"/>
    <w:rsid w:val="2ED6443A"/>
    <w:rsid w:val="2EE138F7"/>
    <w:rsid w:val="2F0C4BE3"/>
    <w:rsid w:val="2F377CAB"/>
    <w:rsid w:val="2F4D1ED1"/>
    <w:rsid w:val="2F6D5D61"/>
    <w:rsid w:val="2FCB61DD"/>
    <w:rsid w:val="30952D41"/>
    <w:rsid w:val="30DD0CC4"/>
    <w:rsid w:val="30E271B6"/>
    <w:rsid w:val="31397F4B"/>
    <w:rsid w:val="31541DBA"/>
    <w:rsid w:val="317070E4"/>
    <w:rsid w:val="31775428"/>
    <w:rsid w:val="318F7220"/>
    <w:rsid w:val="31B63FAB"/>
    <w:rsid w:val="31D65E3F"/>
    <w:rsid w:val="31EB672C"/>
    <w:rsid w:val="31F02617"/>
    <w:rsid w:val="32453783"/>
    <w:rsid w:val="329A6E6D"/>
    <w:rsid w:val="32DC4272"/>
    <w:rsid w:val="33150BE9"/>
    <w:rsid w:val="336C775A"/>
    <w:rsid w:val="33725861"/>
    <w:rsid w:val="33CF4883"/>
    <w:rsid w:val="33D62126"/>
    <w:rsid w:val="33D75E9F"/>
    <w:rsid w:val="33DE375D"/>
    <w:rsid w:val="33F71B1A"/>
    <w:rsid w:val="342E014E"/>
    <w:rsid w:val="346A0719"/>
    <w:rsid w:val="34B306BA"/>
    <w:rsid w:val="34BC46A1"/>
    <w:rsid w:val="34D36666"/>
    <w:rsid w:val="34E81F90"/>
    <w:rsid w:val="34F146C2"/>
    <w:rsid w:val="351358AA"/>
    <w:rsid w:val="35303AB8"/>
    <w:rsid w:val="35324607"/>
    <w:rsid w:val="35C92470"/>
    <w:rsid w:val="363277FD"/>
    <w:rsid w:val="365E57FF"/>
    <w:rsid w:val="366A70C8"/>
    <w:rsid w:val="36AF7935"/>
    <w:rsid w:val="36B928EF"/>
    <w:rsid w:val="36D901FE"/>
    <w:rsid w:val="37164F30"/>
    <w:rsid w:val="372B7BCD"/>
    <w:rsid w:val="376728C4"/>
    <w:rsid w:val="376E08C8"/>
    <w:rsid w:val="379067CC"/>
    <w:rsid w:val="38021539"/>
    <w:rsid w:val="380A28CA"/>
    <w:rsid w:val="38384B28"/>
    <w:rsid w:val="383A2C56"/>
    <w:rsid w:val="38514471"/>
    <w:rsid w:val="388C6E04"/>
    <w:rsid w:val="389A5030"/>
    <w:rsid w:val="38A327F3"/>
    <w:rsid w:val="38E250CA"/>
    <w:rsid w:val="39B95231"/>
    <w:rsid w:val="39E7313A"/>
    <w:rsid w:val="39EC1C54"/>
    <w:rsid w:val="3A1F19CA"/>
    <w:rsid w:val="3A8B731D"/>
    <w:rsid w:val="3A946897"/>
    <w:rsid w:val="3A9B7C32"/>
    <w:rsid w:val="3AAE4F93"/>
    <w:rsid w:val="3ACB48BB"/>
    <w:rsid w:val="3AD25272"/>
    <w:rsid w:val="3AFC6ED7"/>
    <w:rsid w:val="3B0112DE"/>
    <w:rsid w:val="3B282FD3"/>
    <w:rsid w:val="3B375346"/>
    <w:rsid w:val="3B5129DA"/>
    <w:rsid w:val="3B5B20B0"/>
    <w:rsid w:val="3BA24B5C"/>
    <w:rsid w:val="3BA33E48"/>
    <w:rsid w:val="3BA36BC1"/>
    <w:rsid w:val="3BBD0A54"/>
    <w:rsid w:val="3BBE58F0"/>
    <w:rsid w:val="3BDA41CF"/>
    <w:rsid w:val="3BE4409F"/>
    <w:rsid w:val="3C663A24"/>
    <w:rsid w:val="3C7F41CC"/>
    <w:rsid w:val="3C9F32D2"/>
    <w:rsid w:val="3CAE272D"/>
    <w:rsid w:val="3D015D3A"/>
    <w:rsid w:val="3D386234"/>
    <w:rsid w:val="3D6406AA"/>
    <w:rsid w:val="3D7B0470"/>
    <w:rsid w:val="3D9D034F"/>
    <w:rsid w:val="3DD07A03"/>
    <w:rsid w:val="3DE32F0A"/>
    <w:rsid w:val="3E23065E"/>
    <w:rsid w:val="3E585D6B"/>
    <w:rsid w:val="3EC75511"/>
    <w:rsid w:val="3F41523B"/>
    <w:rsid w:val="3F5D34CD"/>
    <w:rsid w:val="3F9B2476"/>
    <w:rsid w:val="3FC12A9B"/>
    <w:rsid w:val="40216DEB"/>
    <w:rsid w:val="40287B7C"/>
    <w:rsid w:val="403A4B1E"/>
    <w:rsid w:val="40516350"/>
    <w:rsid w:val="4081490E"/>
    <w:rsid w:val="408F79A5"/>
    <w:rsid w:val="40B17223"/>
    <w:rsid w:val="40C96B6F"/>
    <w:rsid w:val="41823CDC"/>
    <w:rsid w:val="41B62723"/>
    <w:rsid w:val="41C474D0"/>
    <w:rsid w:val="41C8474B"/>
    <w:rsid w:val="41CD47B2"/>
    <w:rsid w:val="423B584A"/>
    <w:rsid w:val="43166C1A"/>
    <w:rsid w:val="43291B47"/>
    <w:rsid w:val="432F247C"/>
    <w:rsid w:val="43625A2A"/>
    <w:rsid w:val="437F06E0"/>
    <w:rsid w:val="43C31F9B"/>
    <w:rsid w:val="43D14C90"/>
    <w:rsid w:val="44093E52"/>
    <w:rsid w:val="44475071"/>
    <w:rsid w:val="445E3AFF"/>
    <w:rsid w:val="44612E7B"/>
    <w:rsid w:val="44753B35"/>
    <w:rsid w:val="44A571E8"/>
    <w:rsid w:val="45343151"/>
    <w:rsid w:val="456F5F37"/>
    <w:rsid w:val="45BE1410"/>
    <w:rsid w:val="45CA5863"/>
    <w:rsid w:val="45E00434"/>
    <w:rsid w:val="45F047F0"/>
    <w:rsid w:val="45F4583A"/>
    <w:rsid w:val="46054912"/>
    <w:rsid w:val="46112717"/>
    <w:rsid w:val="46307B3F"/>
    <w:rsid w:val="46317690"/>
    <w:rsid w:val="469448BA"/>
    <w:rsid w:val="46DC1289"/>
    <w:rsid w:val="472655E6"/>
    <w:rsid w:val="477D2815"/>
    <w:rsid w:val="47982EAF"/>
    <w:rsid w:val="481B63B6"/>
    <w:rsid w:val="487550B7"/>
    <w:rsid w:val="48B40105"/>
    <w:rsid w:val="48C20A74"/>
    <w:rsid w:val="48D569F9"/>
    <w:rsid w:val="48D83D6A"/>
    <w:rsid w:val="48F202EF"/>
    <w:rsid w:val="49747127"/>
    <w:rsid w:val="49AB1944"/>
    <w:rsid w:val="49B35FD2"/>
    <w:rsid w:val="49B45B0A"/>
    <w:rsid w:val="49BF4D9E"/>
    <w:rsid w:val="49D337CF"/>
    <w:rsid w:val="4A642CF0"/>
    <w:rsid w:val="4AC565F9"/>
    <w:rsid w:val="4AF07AF1"/>
    <w:rsid w:val="4B4439C2"/>
    <w:rsid w:val="4BD110E2"/>
    <w:rsid w:val="4C261319"/>
    <w:rsid w:val="4C261844"/>
    <w:rsid w:val="4C3E48B5"/>
    <w:rsid w:val="4C5E4F57"/>
    <w:rsid w:val="4C6F4027"/>
    <w:rsid w:val="4C975D73"/>
    <w:rsid w:val="4CDF1128"/>
    <w:rsid w:val="4D0B54AD"/>
    <w:rsid w:val="4D16026A"/>
    <w:rsid w:val="4D2A1AB4"/>
    <w:rsid w:val="4D633045"/>
    <w:rsid w:val="4DBA72D7"/>
    <w:rsid w:val="4DBD57AB"/>
    <w:rsid w:val="4E1458CD"/>
    <w:rsid w:val="4E471E75"/>
    <w:rsid w:val="4E64507F"/>
    <w:rsid w:val="4E8D3684"/>
    <w:rsid w:val="4E957926"/>
    <w:rsid w:val="4F224D8D"/>
    <w:rsid w:val="4F974A08"/>
    <w:rsid w:val="4FB54E8E"/>
    <w:rsid w:val="4FCD667C"/>
    <w:rsid w:val="4FE237A9"/>
    <w:rsid w:val="4FF164A6"/>
    <w:rsid w:val="501D04CE"/>
    <w:rsid w:val="501D387E"/>
    <w:rsid w:val="5030251E"/>
    <w:rsid w:val="50493828"/>
    <w:rsid w:val="50591CBD"/>
    <w:rsid w:val="5076286F"/>
    <w:rsid w:val="50957359"/>
    <w:rsid w:val="509F6EC6"/>
    <w:rsid w:val="50E30834"/>
    <w:rsid w:val="510D6CCE"/>
    <w:rsid w:val="511E659C"/>
    <w:rsid w:val="512B1283"/>
    <w:rsid w:val="51493A4C"/>
    <w:rsid w:val="519F1525"/>
    <w:rsid w:val="51B7313F"/>
    <w:rsid w:val="520143BB"/>
    <w:rsid w:val="520E29DF"/>
    <w:rsid w:val="5237602E"/>
    <w:rsid w:val="52397BDB"/>
    <w:rsid w:val="5261421A"/>
    <w:rsid w:val="52874813"/>
    <w:rsid w:val="52986A2B"/>
    <w:rsid w:val="52A068B2"/>
    <w:rsid w:val="53034162"/>
    <w:rsid w:val="53182FAD"/>
    <w:rsid w:val="53283BC9"/>
    <w:rsid w:val="536F17F8"/>
    <w:rsid w:val="53874D93"/>
    <w:rsid w:val="53932FF4"/>
    <w:rsid w:val="53DC53F9"/>
    <w:rsid w:val="543071D9"/>
    <w:rsid w:val="543C16DA"/>
    <w:rsid w:val="54843081"/>
    <w:rsid w:val="54E720BB"/>
    <w:rsid w:val="551B4A12"/>
    <w:rsid w:val="5588094F"/>
    <w:rsid w:val="558A2919"/>
    <w:rsid w:val="56274DBA"/>
    <w:rsid w:val="5634588C"/>
    <w:rsid w:val="56615E0C"/>
    <w:rsid w:val="567846EC"/>
    <w:rsid w:val="56AC0B61"/>
    <w:rsid w:val="56B45E9F"/>
    <w:rsid w:val="5714693E"/>
    <w:rsid w:val="57272B15"/>
    <w:rsid w:val="575C16B2"/>
    <w:rsid w:val="57966F2A"/>
    <w:rsid w:val="57AD207D"/>
    <w:rsid w:val="5806097D"/>
    <w:rsid w:val="58134E48"/>
    <w:rsid w:val="583A6878"/>
    <w:rsid w:val="5889335C"/>
    <w:rsid w:val="58B80B09"/>
    <w:rsid w:val="58C500FD"/>
    <w:rsid w:val="58DC7930"/>
    <w:rsid w:val="590C03A2"/>
    <w:rsid w:val="596334BB"/>
    <w:rsid w:val="59727BBE"/>
    <w:rsid w:val="59964C22"/>
    <w:rsid w:val="59A97E57"/>
    <w:rsid w:val="5A112DD4"/>
    <w:rsid w:val="5A4A24F3"/>
    <w:rsid w:val="5A5B1C29"/>
    <w:rsid w:val="5A7F0572"/>
    <w:rsid w:val="5A7F2300"/>
    <w:rsid w:val="5AED49A0"/>
    <w:rsid w:val="5B92709A"/>
    <w:rsid w:val="5BDA5CF3"/>
    <w:rsid w:val="5BFE0297"/>
    <w:rsid w:val="5C161EDE"/>
    <w:rsid w:val="5C207B33"/>
    <w:rsid w:val="5C880D1C"/>
    <w:rsid w:val="5CA91A5D"/>
    <w:rsid w:val="5D04082A"/>
    <w:rsid w:val="5D2914FD"/>
    <w:rsid w:val="5D611791"/>
    <w:rsid w:val="5D755C5D"/>
    <w:rsid w:val="5DAE0264"/>
    <w:rsid w:val="5DD5494D"/>
    <w:rsid w:val="5DDE74C5"/>
    <w:rsid w:val="5E916AC6"/>
    <w:rsid w:val="5E9640DD"/>
    <w:rsid w:val="5E992621"/>
    <w:rsid w:val="5EC67DA5"/>
    <w:rsid w:val="5ED247CC"/>
    <w:rsid w:val="5F3A0F0C"/>
    <w:rsid w:val="5F58262D"/>
    <w:rsid w:val="5F6419A2"/>
    <w:rsid w:val="5F775691"/>
    <w:rsid w:val="600414DC"/>
    <w:rsid w:val="603319A6"/>
    <w:rsid w:val="605F1472"/>
    <w:rsid w:val="60A12843"/>
    <w:rsid w:val="60BA744E"/>
    <w:rsid w:val="60BB23FA"/>
    <w:rsid w:val="60FB49D2"/>
    <w:rsid w:val="61A22E69"/>
    <w:rsid w:val="61D474C9"/>
    <w:rsid w:val="62950A8E"/>
    <w:rsid w:val="629774D1"/>
    <w:rsid w:val="62BE64F4"/>
    <w:rsid w:val="62C9714A"/>
    <w:rsid w:val="635B3466"/>
    <w:rsid w:val="637B00FA"/>
    <w:rsid w:val="639037F0"/>
    <w:rsid w:val="63DC4C88"/>
    <w:rsid w:val="64234172"/>
    <w:rsid w:val="6431668F"/>
    <w:rsid w:val="64803EF5"/>
    <w:rsid w:val="64835103"/>
    <w:rsid w:val="64970BAF"/>
    <w:rsid w:val="64AA6F1D"/>
    <w:rsid w:val="64E44957"/>
    <w:rsid w:val="64F8164D"/>
    <w:rsid w:val="6502427A"/>
    <w:rsid w:val="656C3DE9"/>
    <w:rsid w:val="65715BFD"/>
    <w:rsid w:val="65732D00"/>
    <w:rsid w:val="65B34C8C"/>
    <w:rsid w:val="66050395"/>
    <w:rsid w:val="661A0932"/>
    <w:rsid w:val="66302426"/>
    <w:rsid w:val="66364452"/>
    <w:rsid w:val="6651710F"/>
    <w:rsid w:val="66624590"/>
    <w:rsid w:val="66D90189"/>
    <w:rsid w:val="66E85FB4"/>
    <w:rsid w:val="67330E86"/>
    <w:rsid w:val="674033C8"/>
    <w:rsid w:val="67614E4C"/>
    <w:rsid w:val="679C7C07"/>
    <w:rsid w:val="67B37AAD"/>
    <w:rsid w:val="67F524F3"/>
    <w:rsid w:val="67F92005"/>
    <w:rsid w:val="68025435"/>
    <w:rsid w:val="688F22C8"/>
    <w:rsid w:val="68C267B6"/>
    <w:rsid w:val="68CF738C"/>
    <w:rsid w:val="68F20812"/>
    <w:rsid w:val="69021FA8"/>
    <w:rsid w:val="69137A07"/>
    <w:rsid w:val="697415F1"/>
    <w:rsid w:val="697F3ADF"/>
    <w:rsid w:val="69DA3ABA"/>
    <w:rsid w:val="6A3762A4"/>
    <w:rsid w:val="6A631F51"/>
    <w:rsid w:val="6A682691"/>
    <w:rsid w:val="6A887F5F"/>
    <w:rsid w:val="6AAB7162"/>
    <w:rsid w:val="6AC3566F"/>
    <w:rsid w:val="6B037C3A"/>
    <w:rsid w:val="6B2B4A32"/>
    <w:rsid w:val="6B3A67D0"/>
    <w:rsid w:val="6B4B7556"/>
    <w:rsid w:val="6B6179F5"/>
    <w:rsid w:val="6B6219B9"/>
    <w:rsid w:val="6B7C13D5"/>
    <w:rsid w:val="6BD72D2C"/>
    <w:rsid w:val="6C0652F9"/>
    <w:rsid w:val="6C53512B"/>
    <w:rsid w:val="6C560EC1"/>
    <w:rsid w:val="6C8E0AE9"/>
    <w:rsid w:val="6CA04267"/>
    <w:rsid w:val="6CA63EB8"/>
    <w:rsid w:val="6CB227F2"/>
    <w:rsid w:val="6CC02984"/>
    <w:rsid w:val="6CC30793"/>
    <w:rsid w:val="6CC8224D"/>
    <w:rsid w:val="6D18328F"/>
    <w:rsid w:val="6D8C5C0C"/>
    <w:rsid w:val="6D8D7335"/>
    <w:rsid w:val="6DF95048"/>
    <w:rsid w:val="6E0472B5"/>
    <w:rsid w:val="6E09753D"/>
    <w:rsid w:val="6E7320EC"/>
    <w:rsid w:val="6EB73860"/>
    <w:rsid w:val="6EF255E1"/>
    <w:rsid w:val="6F3C1C82"/>
    <w:rsid w:val="6F4B5004"/>
    <w:rsid w:val="6F9E02F2"/>
    <w:rsid w:val="6FF00AC7"/>
    <w:rsid w:val="700F01D3"/>
    <w:rsid w:val="7015387B"/>
    <w:rsid w:val="705A41AE"/>
    <w:rsid w:val="70D07922"/>
    <w:rsid w:val="70E14841"/>
    <w:rsid w:val="7113156F"/>
    <w:rsid w:val="711E6E7F"/>
    <w:rsid w:val="718524BB"/>
    <w:rsid w:val="718631F8"/>
    <w:rsid w:val="71BC33E3"/>
    <w:rsid w:val="71CE1DE8"/>
    <w:rsid w:val="72A11576"/>
    <w:rsid w:val="72B56CCB"/>
    <w:rsid w:val="72D46929"/>
    <w:rsid w:val="72D729DB"/>
    <w:rsid w:val="72EC0317"/>
    <w:rsid w:val="73353469"/>
    <w:rsid w:val="73644117"/>
    <w:rsid w:val="736D3FC9"/>
    <w:rsid w:val="73BF6E3A"/>
    <w:rsid w:val="74035919"/>
    <w:rsid w:val="741D30BD"/>
    <w:rsid w:val="74213FF1"/>
    <w:rsid w:val="74797FD8"/>
    <w:rsid w:val="74962374"/>
    <w:rsid w:val="74FB38D2"/>
    <w:rsid w:val="750E0A19"/>
    <w:rsid w:val="75606932"/>
    <w:rsid w:val="75685790"/>
    <w:rsid w:val="756E5918"/>
    <w:rsid w:val="75712C55"/>
    <w:rsid w:val="757B7431"/>
    <w:rsid w:val="75BE630A"/>
    <w:rsid w:val="75D7226C"/>
    <w:rsid w:val="76332FB4"/>
    <w:rsid w:val="76740D50"/>
    <w:rsid w:val="769C1001"/>
    <w:rsid w:val="76EB38E3"/>
    <w:rsid w:val="770404E9"/>
    <w:rsid w:val="775547B2"/>
    <w:rsid w:val="777404D2"/>
    <w:rsid w:val="77F35CA4"/>
    <w:rsid w:val="781D7C27"/>
    <w:rsid w:val="7875145D"/>
    <w:rsid w:val="788809AD"/>
    <w:rsid w:val="78A23E67"/>
    <w:rsid w:val="78AF7473"/>
    <w:rsid w:val="78BB3CBA"/>
    <w:rsid w:val="79291DBD"/>
    <w:rsid w:val="79463D2A"/>
    <w:rsid w:val="79584959"/>
    <w:rsid w:val="796E3278"/>
    <w:rsid w:val="79B80DE0"/>
    <w:rsid w:val="7A574C10"/>
    <w:rsid w:val="7AAC0AB8"/>
    <w:rsid w:val="7AAF2356"/>
    <w:rsid w:val="7AD06AA1"/>
    <w:rsid w:val="7B011F41"/>
    <w:rsid w:val="7B101CDA"/>
    <w:rsid w:val="7B587A97"/>
    <w:rsid w:val="7B7209AE"/>
    <w:rsid w:val="7BD644A9"/>
    <w:rsid w:val="7C162517"/>
    <w:rsid w:val="7C2D3A49"/>
    <w:rsid w:val="7C5950EA"/>
    <w:rsid w:val="7D0D634A"/>
    <w:rsid w:val="7D657644"/>
    <w:rsid w:val="7D670C49"/>
    <w:rsid w:val="7D9A5540"/>
    <w:rsid w:val="7DB40352"/>
    <w:rsid w:val="7DF67493"/>
    <w:rsid w:val="7E3B4056"/>
    <w:rsid w:val="7E507BF0"/>
    <w:rsid w:val="7E8640F9"/>
    <w:rsid w:val="7E8E06E9"/>
    <w:rsid w:val="7EA31D98"/>
    <w:rsid w:val="7EC81C39"/>
    <w:rsid w:val="7EE10CDC"/>
    <w:rsid w:val="7EF700DD"/>
    <w:rsid w:val="7F951BF0"/>
    <w:rsid w:val="7FBD6760"/>
    <w:rsid w:val="EEB3F4F2"/>
    <w:rsid w:val="F97FDFF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2">
    <w:name w:val="heading 1"/>
    <w:basedOn w:val="1"/>
    <w:next w:val="1"/>
    <w:link w:val="38"/>
    <w:autoRedefine/>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3">
    <w:name w:val="heading 2"/>
    <w:basedOn w:val="1"/>
    <w:next w:val="4"/>
    <w:link w:val="39"/>
    <w:autoRedefine/>
    <w:unhideWhenUsed/>
    <w:qFormat/>
    <w:uiPriority w:val="9"/>
    <w:pPr>
      <w:keepNext/>
      <w:keepLines/>
      <w:spacing w:before="100" w:after="100"/>
      <w:outlineLvl w:val="1"/>
    </w:pPr>
    <w:rPr>
      <w:rFonts w:ascii="楷体" w:hAnsi="楷体" w:eastAsia="楷体" w:cstheme="majorBidi"/>
      <w:b/>
      <w:bCs/>
      <w:sz w:val="32"/>
      <w:szCs w:val="32"/>
    </w:rPr>
  </w:style>
  <w:style w:type="paragraph" w:styleId="5">
    <w:name w:val="heading 3"/>
    <w:basedOn w:val="1"/>
    <w:next w:val="1"/>
    <w:link w:val="40"/>
    <w:autoRedefine/>
    <w:unhideWhenUsed/>
    <w:qFormat/>
    <w:uiPriority w:val="9"/>
    <w:pPr>
      <w:keepNext/>
      <w:keepLines/>
      <w:outlineLvl w:val="2"/>
    </w:pPr>
    <w:rPr>
      <w:b/>
      <w:bCs/>
      <w:szCs w:val="32"/>
    </w:rPr>
  </w:style>
  <w:style w:type="paragraph" w:styleId="6">
    <w:name w:val="heading 4"/>
    <w:basedOn w:val="1"/>
    <w:next w:val="1"/>
    <w:autoRedefine/>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7">
    <w:name w:val="heading 6"/>
    <w:basedOn w:val="1"/>
    <w:next w:val="1"/>
    <w:autoRedefine/>
    <w:unhideWhenUsed/>
    <w:qFormat/>
    <w:uiPriority w:val="9"/>
    <w:pPr>
      <w:keepNext/>
      <w:keepLines/>
      <w:outlineLvl w:val="5"/>
    </w:pPr>
    <w:rPr>
      <w:rFonts w:ascii="Cambria" w:hAnsi="Cambria"/>
      <w:bCs/>
      <w:sz w:val="24"/>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customStyle="1" w:styleId="4">
    <w:name w:val="l正文"/>
    <w:basedOn w:val="1"/>
    <w:autoRedefine/>
    <w:qFormat/>
    <w:uiPriority w:val="0"/>
    <w:pPr>
      <w:spacing w:line="360" w:lineRule="auto"/>
      <w:ind w:firstLine="200" w:firstLineChars="200"/>
    </w:pPr>
    <w:rPr>
      <w:rFonts w:ascii="宋体" w:hAnsi="宋体"/>
      <w:sz w:val="24"/>
      <w:szCs w:val="24"/>
    </w:rPr>
  </w:style>
  <w:style w:type="paragraph" w:styleId="8">
    <w:name w:val="caption"/>
    <w:basedOn w:val="1"/>
    <w:next w:val="1"/>
    <w:autoRedefine/>
    <w:unhideWhenUsed/>
    <w:qFormat/>
    <w:uiPriority w:val="0"/>
    <w:rPr>
      <w:rFonts w:eastAsia="黑体" w:asciiTheme="majorHAnsi" w:hAnsiTheme="majorHAnsi" w:cstheme="majorBidi"/>
      <w:sz w:val="20"/>
      <w:szCs w:val="20"/>
    </w:rPr>
  </w:style>
  <w:style w:type="paragraph" w:styleId="9">
    <w:name w:val="annotation text"/>
    <w:basedOn w:val="1"/>
    <w:link w:val="42"/>
    <w:autoRedefine/>
    <w:semiHidden/>
    <w:unhideWhenUsed/>
    <w:qFormat/>
    <w:uiPriority w:val="99"/>
    <w:pPr>
      <w:jc w:val="left"/>
    </w:pPr>
  </w:style>
  <w:style w:type="paragraph" w:styleId="10">
    <w:name w:val="index 6"/>
    <w:basedOn w:val="1"/>
    <w:next w:val="1"/>
    <w:autoRedefine/>
    <w:qFormat/>
    <w:uiPriority w:val="0"/>
    <w:pPr>
      <w:spacing w:line="540" w:lineRule="exact"/>
      <w:ind w:firstLine="640"/>
    </w:pPr>
    <w:rPr>
      <w:rFonts w:ascii="FangSong_GB2312" w:hAnsi="FangSong_GB2312" w:eastAsia="FangSong_GB2312" w:cs="FangSong_GB2312"/>
      <w:sz w:val="32"/>
      <w:szCs w:val="32"/>
    </w:rPr>
  </w:style>
  <w:style w:type="paragraph" w:styleId="11">
    <w:name w:val="Body Text"/>
    <w:basedOn w:val="1"/>
    <w:next w:val="1"/>
    <w:autoRedefine/>
    <w:qFormat/>
    <w:uiPriority w:val="99"/>
    <w:rPr>
      <w:szCs w:val="21"/>
    </w:rPr>
  </w:style>
  <w:style w:type="paragraph" w:styleId="12">
    <w:name w:val="Body Text Indent"/>
    <w:basedOn w:val="1"/>
    <w:autoRedefine/>
    <w:qFormat/>
    <w:uiPriority w:val="0"/>
    <w:pPr>
      <w:ind w:left="200" w:leftChars="200"/>
    </w:pPr>
    <w:rPr>
      <w:szCs w:val="21"/>
    </w:rPr>
  </w:style>
  <w:style w:type="paragraph" w:styleId="13">
    <w:name w:val="Plain Text"/>
    <w:basedOn w:val="1"/>
    <w:autoRedefine/>
    <w:qFormat/>
    <w:uiPriority w:val="0"/>
    <w:rPr>
      <w:rFonts w:hint="eastAsia" w:ascii="宋体" w:hAnsi="Courier New" w:eastAsia="宋体" w:cs="Times New Roman"/>
      <w:szCs w:val="20"/>
    </w:rPr>
  </w:style>
  <w:style w:type="paragraph" w:styleId="14">
    <w:name w:val="Body Text Indent 2"/>
    <w:basedOn w:val="1"/>
    <w:next w:val="13"/>
    <w:autoRedefine/>
    <w:qFormat/>
    <w:uiPriority w:val="0"/>
    <w:pPr>
      <w:ind w:left="-718" w:leftChars="-342" w:firstLine="720" w:firstLineChars="225"/>
      <w:jc w:val="left"/>
    </w:pPr>
    <w:rPr>
      <w:sz w:val="32"/>
      <w:szCs w:val="32"/>
    </w:rPr>
  </w:style>
  <w:style w:type="paragraph" w:styleId="15">
    <w:name w:val="Balloon Text"/>
    <w:basedOn w:val="1"/>
    <w:link w:val="53"/>
    <w:autoRedefine/>
    <w:semiHidden/>
    <w:unhideWhenUsed/>
    <w:qFormat/>
    <w:uiPriority w:val="99"/>
    <w:pPr>
      <w:spacing w:line="240" w:lineRule="auto"/>
    </w:pPr>
    <w:rPr>
      <w:sz w:val="18"/>
      <w:szCs w:val="18"/>
    </w:rPr>
  </w:style>
  <w:style w:type="paragraph" w:styleId="16">
    <w:name w:val="footer"/>
    <w:basedOn w:val="1"/>
    <w:link w:val="36"/>
    <w:autoRedefine/>
    <w:unhideWhenUsed/>
    <w:qFormat/>
    <w:uiPriority w:val="99"/>
    <w:pPr>
      <w:tabs>
        <w:tab w:val="center" w:pos="4153"/>
        <w:tab w:val="right" w:pos="8306"/>
      </w:tabs>
      <w:snapToGrid w:val="0"/>
      <w:jc w:val="left"/>
    </w:pPr>
    <w:rPr>
      <w:sz w:val="18"/>
      <w:szCs w:val="18"/>
    </w:rPr>
  </w:style>
  <w:style w:type="paragraph" w:styleId="17">
    <w:name w:val="header"/>
    <w:basedOn w:val="1"/>
    <w:link w:val="3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tabs>
        <w:tab w:val="right" w:leader="dot" w:pos="8296"/>
      </w:tabs>
      <w:ind w:firstLine="0" w:firstLineChars="0"/>
    </w:pPr>
    <w:rPr>
      <w:rFonts w:hAnsi="宋体"/>
      <w:b/>
      <w:bCs/>
    </w:rPr>
  </w:style>
  <w:style w:type="paragraph" w:styleId="19">
    <w:name w:val="toc 2"/>
    <w:basedOn w:val="1"/>
    <w:next w:val="1"/>
    <w:autoRedefine/>
    <w:unhideWhenUsed/>
    <w:qFormat/>
    <w:uiPriority w:val="39"/>
    <w:pPr>
      <w:tabs>
        <w:tab w:val="right" w:leader="dot" w:pos="8296"/>
      </w:tabs>
      <w:ind w:left="560" w:leftChars="200" w:firstLine="0" w:firstLineChars="0"/>
    </w:pPr>
  </w:style>
  <w:style w:type="paragraph" w:styleId="20">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1">
    <w:name w:val="Normal (Web)"/>
    <w:basedOn w:val="1"/>
    <w:autoRedefine/>
    <w:semiHidden/>
    <w:unhideWhenUsed/>
    <w:qFormat/>
    <w:uiPriority w:val="99"/>
    <w:pPr>
      <w:spacing w:beforeAutospacing="1" w:afterAutospacing="1"/>
      <w:jc w:val="left"/>
    </w:pPr>
    <w:rPr>
      <w:rFonts w:cs="Times New Roman"/>
      <w:kern w:val="0"/>
      <w:sz w:val="24"/>
    </w:rPr>
  </w:style>
  <w:style w:type="paragraph" w:styleId="22">
    <w:name w:val="index 1"/>
    <w:basedOn w:val="1"/>
    <w:next w:val="1"/>
    <w:autoRedefine/>
    <w:qFormat/>
    <w:uiPriority w:val="0"/>
  </w:style>
  <w:style w:type="paragraph" w:styleId="23">
    <w:name w:val="annotation subject"/>
    <w:basedOn w:val="9"/>
    <w:next w:val="9"/>
    <w:link w:val="43"/>
    <w:autoRedefine/>
    <w:semiHidden/>
    <w:unhideWhenUsed/>
    <w:qFormat/>
    <w:uiPriority w:val="99"/>
    <w:rPr>
      <w:b/>
      <w:bCs/>
    </w:rPr>
  </w:style>
  <w:style w:type="paragraph" w:styleId="24">
    <w:name w:val="Body Text First Indent 2"/>
    <w:basedOn w:val="12"/>
    <w:autoRedefine/>
    <w:unhideWhenUsed/>
    <w:qFormat/>
    <w:uiPriority w:val="0"/>
    <w:pPr>
      <w:spacing w:after="120"/>
      <w:ind w:left="420" w:firstLine="420"/>
    </w:pPr>
    <w:rPr>
      <w:szCs w:val="22"/>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rPr>
      <w:b/>
      <w:bCs/>
    </w:rPr>
  </w:style>
  <w:style w:type="character" w:styleId="29">
    <w:name w:val="Hyperlink"/>
    <w:basedOn w:val="27"/>
    <w:autoRedefine/>
    <w:unhideWhenUsed/>
    <w:qFormat/>
    <w:uiPriority w:val="99"/>
    <w:rPr>
      <w:color w:val="0563C1" w:themeColor="hyperlink"/>
      <w:u w:val="single"/>
      <w14:textFill>
        <w14:solidFill>
          <w14:schemeClr w14:val="hlink"/>
        </w14:solidFill>
      </w14:textFill>
    </w:rPr>
  </w:style>
  <w:style w:type="character" w:styleId="30">
    <w:name w:val="annotation reference"/>
    <w:basedOn w:val="27"/>
    <w:autoRedefine/>
    <w:semiHidden/>
    <w:unhideWhenUsed/>
    <w:qFormat/>
    <w:uiPriority w:val="99"/>
    <w:rPr>
      <w:sz w:val="21"/>
      <w:szCs w:val="21"/>
    </w:rPr>
  </w:style>
  <w:style w:type="paragraph" w:customStyle="1" w:styleId="31">
    <w:name w:val="BodyTextIndent2"/>
    <w:basedOn w:val="1"/>
    <w:next w:val="1"/>
    <w:autoRedefine/>
    <w:qFormat/>
    <w:uiPriority w:val="0"/>
    <w:pPr>
      <w:spacing w:line="480" w:lineRule="auto"/>
      <w:ind w:left="420" w:leftChars="200"/>
      <w:jc w:val="both"/>
      <w:textAlignment w:val="baseline"/>
    </w:pPr>
  </w:style>
  <w:style w:type="paragraph" w:customStyle="1" w:styleId="32">
    <w:name w:val="正文首行缩进 21"/>
    <w:basedOn w:val="1"/>
    <w:autoRedefine/>
    <w:qFormat/>
    <w:uiPriority w:val="0"/>
    <w:pPr>
      <w:ind w:left="420" w:leftChars="200" w:firstLine="420"/>
    </w:pPr>
  </w:style>
  <w:style w:type="paragraph" w:customStyle="1" w:styleId="33">
    <w:name w:val="Body Text First Indent 21"/>
    <w:basedOn w:val="1"/>
    <w:autoRedefine/>
    <w:qFormat/>
    <w:uiPriority w:val="0"/>
    <w:pPr>
      <w:ind w:left="420" w:leftChars="200" w:firstLine="420"/>
    </w:pPr>
  </w:style>
  <w:style w:type="paragraph" w:customStyle="1" w:styleId="34">
    <w:name w:val="BodyTextIndent"/>
    <w:basedOn w:val="1"/>
    <w:autoRedefine/>
    <w:qFormat/>
    <w:uiPriority w:val="0"/>
    <w:pPr>
      <w:widowControl/>
      <w:ind w:left="200" w:leftChars="200"/>
      <w:textAlignment w:val="baseline"/>
    </w:pPr>
    <w:rPr>
      <w:sz w:val="21"/>
      <w:szCs w:val="21"/>
    </w:rPr>
  </w:style>
  <w:style w:type="character" w:customStyle="1" w:styleId="35">
    <w:name w:val="页眉 Char"/>
    <w:basedOn w:val="27"/>
    <w:link w:val="17"/>
    <w:autoRedefine/>
    <w:qFormat/>
    <w:uiPriority w:val="99"/>
    <w:rPr>
      <w:sz w:val="18"/>
      <w:szCs w:val="18"/>
    </w:rPr>
  </w:style>
  <w:style w:type="character" w:customStyle="1" w:styleId="36">
    <w:name w:val="页脚 Char"/>
    <w:basedOn w:val="27"/>
    <w:link w:val="16"/>
    <w:autoRedefine/>
    <w:qFormat/>
    <w:uiPriority w:val="99"/>
    <w:rPr>
      <w:sz w:val="18"/>
      <w:szCs w:val="18"/>
    </w:rPr>
  </w:style>
  <w:style w:type="paragraph" w:customStyle="1" w:styleId="37">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8">
    <w:name w:val="标题 1 Char"/>
    <w:basedOn w:val="27"/>
    <w:link w:val="2"/>
    <w:autoRedefine/>
    <w:qFormat/>
    <w:uiPriority w:val="9"/>
    <w:rPr>
      <w:rFonts w:ascii="黑体" w:hAnsi="黑体" w:eastAsia="黑体"/>
      <w:b/>
      <w:bCs/>
      <w:kern w:val="44"/>
      <w:sz w:val="32"/>
      <w:szCs w:val="44"/>
    </w:rPr>
  </w:style>
  <w:style w:type="character" w:customStyle="1" w:styleId="39">
    <w:name w:val="标题 2 Char"/>
    <w:basedOn w:val="27"/>
    <w:link w:val="3"/>
    <w:autoRedefine/>
    <w:qFormat/>
    <w:uiPriority w:val="9"/>
    <w:rPr>
      <w:rFonts w:ascii="楷体" w:hAnsi="楷体" w:eastAsia="楷体" w:cstheme="majorBidi"/>
      <w:b/>
      <w:bCs/>
      <w:sz w:val="32"/>
      <w:szCs w:val="32"/>
    </w:rPr>
  </w:style>
  <w:style w:type="character" w:customStyle="1" w:styleId="40">
    <w:name w:val="标题 3 Char"/>
    <w:basedOn w:val="27"/>
    <w:link w:val="5"/>
    <w:autoRedefine/>
    <w:qFormat/>
    <w:uiPriority w:val="9"/>
    <w:rPr>
      <w:rFonts w:ascii="仿宋_GB2312" w:hAnsi="仿宋_GB2312" w:eastAsia="仿宋_GB2312"/>
      <w:b/>
      <w:bCs/>
      <w:sz w:val="28"/>
      <w:szCs w:val="32"/>
    </w:rPr>
  </w:style>
  <w:style w:type="character" w:customStyle="1" w:styleId="41">
    <w:name w:val="font01"/>
    <w:basedOn w:val="27"/>
    <w:autoRedefine/>
    <w:qFormat/>
    <w:uiPriority w:val="0"/>
    <w:rPr>
      <w:rFonts w:hint="eastAsia" w:ascii="宋体" w:hAnsi="宋体" w:eastAsia="宋体" w:cs="宋体"/>
      <w:color w:val="000000"/>
      <w:sz w:val="21"/>
      <w:szCs w:val="21"/>
      <w:u w:val="none"/>
    </w:rPr>
  </w:style>
  <w:style w:type="character" w:customStyle="1" w:styleId="42">
    <w:name w:val="批注文字 Char"/>
    <w:basedOn w:val="27"/>
    <w:link w:val="9"/>
    <w:autoRedefine/>
    <w:semiHidden/>
    <w:qFormat/>
    <w:uiPriority w:val="99"/>
    <w:rPr>
      <w:rFonts w:ascii="仿宋_GB2312" w:hAnsi="仿宋_GB2312" w:eastAsia="仿宋_GB2312" w:cstheme="minorBidi"/>
      <w:kern w:val="2"/>
      <w:sz w:val="28"/>
      <w:szCs w:val="22"/>
    </w:rPr>
  </w:style>
  <w:style w:type="character" w:customStyle="1" w:styleId="43">
    <w:name w:val="批注主题 Char"/>
    <w:basedOn w:val="42"/>
    <w:link w:val="23"/>
    <w:autoRedefine/>
    <w:semiHidden/>
    <w:qFormat/>
    <w:uiPriority w:val="99"/>
    <w:rPr>
      <w:rFonts w:ascii="仿宋_GB2312" w:hAnsi="仿宋_GB2312" w:eastAsia="仿宋_GB2312" w:cstheme="minorBidi"/>
      <w:b/>
      <w:bCs/>
      <w:kern w:val="2"/>
      <w:sz w:val="28"/>
      <w:szCs w:val="22"/>
    </w:rPr>
  </w:style>
  <w:style w:type="paragraph" w:customStyle="1" w:styleId="44">
    <w:name w:val="NormalIndent"/>
    <w:basedOn w:val="1"/>
    <w:autoRedefine/>
    <w:qFormat/>
    <w:uiPriority w:val="99"/>
    <w:pPr>
      <w:ind w:firstLine="420"/>
      <w:textAlignment w:val="baseline"/>
    </w:pPr>
    <w:rPr>
      <w:szCs w:val="21"/>
    </w:rPr>
  </w:style>
  <w:style w:type="character" w:customStyle="1" w:styleId="45">
    <w:name w:val="content1"/>
    <w:basedOn w:val="27"/>
    <w:autoRedefine/>
    <w:qFormat/>
    <w:uiPriority w:val="0"/>
    <w:rPr>
      <w:rFonts w:hint="default"/>
      <w:sz w:val="21"/>
    </w:rPr>
  </w:style>
  <w:style w:type="paragraph" w:customStyle="1" w:styleId="46">
    <w:name w:val="Char2"/>
    <w:basedOn w:val="1"/>
    <w:autoRedefine/>
    <w:qFormat/>
    <w:uiPriority w:val="0"/>
    <w:rPr>
      <w:rFonts w:ascii="Courier" w:hAnsi="Courier" w:cs="Courier"/>
      <w:szCs w:val="21"/>
    </w:rPr>
  </w:style>
  <w:style w:type="character" w:customStyle="1" w:styleId="47">
    <w:name w:val="NormalCharacter"/>
    <w:autoRedefine/>
    <w:semiHidden/>
    <w:qFormat/>
    <w:uiPriority w:val="0"/>
  </w:style>
  <w:style w:type="paragraph" w:customStyle="1" w:styleId="48">
    <w:name w:val="Normal Indent1"/>
    <w:basedOn w:val="1"/>
    <w:autoRedefine/>
    <w:qFormat/>
    <w:uiPriority w:val="99"/>
    <w:pPr>
      <w:ind w:firstLine="420"/>
    </w:pPr>
  </w:style>
  <w:style w:type="character" w:customStyle="1" w:styleId="49">
    <w:name w:val="font41"/>
    <w:basedOn w:val="27"/>
    <w:autoRedefine/>
    <w:qFormat/>
    <w:uiPriority w:val="0"/>
    <w:rPr>
      <w:rFonts w:hint="eastAsia" w:ascii="仿宋_GB2312" w:eastAsia="仿宋_GB2312" w:cs="仿宋_GB2312"/>
      <w:b/>
      <w:bCs/>
      <w:color w:val="000000"/>
      <w:sz w:val="24"/>
      <w:szCs w:val="24"/>
      <w:u w:val="none"/>
    </w:rPr>
  </w:style>
  <w:style w:type="character" w:customStyle="1" w:styleId="50">
    <w:name w:val="font31"/>
    <w:basedOn w:val="27"/>
    <w:autoRedefine/>
    <w:qFormat/>
    <w:uiPriority w:val="0"/>
    <w:rPr>
      <w:rFonts w:hint="eastAsia" w:ascii="仿宋_GB2312" w:eastAsia="仿宋_GB2312" w:cs="仿宋_GB2312"/>
      <w:color w:val="000000"/>
      <w:sz w:val="24"/>
      <w:szCs w:val="24"/>
      <w:u w:val="none"/>
    </w:rPr>
  </w:style>
  <w:style w:type="paragraph" w:styleId="51">
    <w:name w:val="List Paragraph"/>
    <w:basedOn w:val="1"/>
    <w:autoRedefine/>
    <w:qFormat/>
    <w:uiPriority w:val="34"/>
    <w:pPr>
      <w:spacing w:line="240" w:lineRule="auto"/>
      <w:ind w:firstLine="420"/>
    </w:pPr>
    <w:rPr>
      <w:rFonts w:ascii="Calibri" w:hAnsi="Calibri" w:eastAsia="宋体" w:cs="Times New Roman"/>
      <w:sz w:val="21"/>
    </w:rPr>
  </w:style>
  <w:style w:type="character" w:customStyle="1" w:styleId="52">
    <w:name w:val="font21"/>
    <w:basedOn w:val="27"/>
    <w:autoRedefine/>
    <w:qFormat/>
    <w:uiPriority w:val="0"/>
    <w:rPr>
      <w:rFonts w:hint="eastAsia" w:ascii="仿宋_GB2312" w:eastAsia="仿宋_GB2312" w:cs="仿宋_GB2312"/>
      <w:b/>
      <w:bCs/>
      <w:color w:val="000000"/>
      <w:sz w:val="24"/>
      <w:szCs w:val="24"/>
      <w:u w:val="none"/>
    </w:rPr>
  </w:style>
  <w:style w:type="character" w:customStyle="1" w:styleId="53">
    <w:name w:val="批注框文本 Char"/>
    <w:basedOn w:val="27"/>
    <w:link w:val="15"/>
    <w:autoRedefine/>
    <w:semiHidden/>
    <w:qFormat/>
    <w:uiPriority w:val="99"/>
    <w:rPr>
      <w:rFonts w:ascii="仿宋_GB2312" w:hAnsi="仿宋_GB2312" w:eastAsia="仿宋_GB2312" w:cstheme="minorBidi"/>
      <w:kern w:val="2"/>
      <w:sz w:val="18"/>
      <w:szCs w:val="18"/>
    </w:rPr>
  </w:style>
  <w:style w:type="paragraph" w:customStyle="1" w:styleId="54">
    <w:name w:val="Body Text First Indent 2"/>
    <w:basedOn w:val="1"/>
    <w:autoRedefine/>
    <w:qFormat/>
    <w:uiPriority w:val="0"/>
    <w:pPr>
      <w:ind w:left="420" w:leftChars="200"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10280</Words>
  <Characters>11729</Characters>
  <Lines>102</Lines>
  <Paragraphs>28</Paragraphs>
  <TotalTime>16</TotalTime>
  <ScaleCrop>false</ScaleCrop>
  <LinksUpToDate>false</LinksUpToDate>
  <CharactersWithSpaces>11786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傻瓜专属我一人</cp:lastModifiedBy>
  <cp:lastPrinted>2024-08-13T07:01:00Z</cp:lastPrinted>
  <dcterms:modified xsi:type="dcterms:W3CDTF">2024-08-13T07:18:55Z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98BD8C82413046B18D022B6D84D34C3B_13</vt:lpwstr>
  </property>
</Properties>
</file>