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pStyle w:val="17"/>
      </w:pPr>
    </w:p>
    <w:p>
      <w:pPr>
        <w:spacing w:line="480" w:lineRule="auto"/>
        <w:ind w:firstLine="883"/>
        <w:jc w:val="center"/>
        <w:rPr>
          <w:rFonts w:ascii="宋体" w:hAnsi="宋体" w:eastAsia="宋体"/>
          <w:b/>
          <w:bCs/>
          <w:sz w:val="44"/>
          <w:szCs w:val="4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2023</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eastAsia="zh-CN"/>
        </w:rPr>
        <w:t>嘉峪关市中级人民法院</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bookmarkStart w:id="0" w:name="_Toc19883"/>
      <w:bookmarkStart w:id="1" w:name="_Toc15178"/>
      <w:bookmarkStart w:id="2" w:name="_Toc8480"/>
      <w:r>
        <w:rPr>
          <w:rFonts w:hint="eastAsia" w:ascii="方正小标宋简体" w:hAnsi="方正小标宋简体" w:eastAsia="方正小标宋简体" w:cs="方正小标宋简体"/>
          <w:b w:val="0"/>
          <w:bCs w:val="0"/>
          <w:sz w:val="44"/>
          <w:szCs w:val="44"/>
        </w:rPr>
        <w:t>预算执行情况</w:t>
      </w:r>
      <w:r>
        <w:rPr>
          <w:rFonts w:hint="eastAsia" w:ascii="方正小标宋简体" w:hAnsi="方正小标宋简体" w:eastAsia="方正小标宋简体" w:cs="方正小标宋简体"/>
          <w:b w:val="0"/>
          <w:bCs w:val="0"/>
          <w:sz w:val="44"/>
          <w:szCs w:val="44"/>
          <w:lang w:eastAsia="zh-CN"/>
        </w:rPr>
        <w:t>绩效</w:t>
      </w:r>
      <w:r>
        <w:rPr>
          <w:rFonts w:hint="eastAsia" w:ascii="方正小标宋简体" w:hAnsi="方正小标宋简体" w:eastAsia="方正小标宋简体" w:cs="方正小标宋简体"/>
          <w:b w:val="0"/>
          <w:bCs w:val="0"/>
          <w:sz w:val="44"/>
          <w:szCs w:val="44"/>
        </w:rPr>
        <w:t>自评报告</w:t>
      </w:r>
      <w:bookmarkEnd w:id="0"/>
      <w:bookmarkEnd w:id="1"/>
      <w:bookmarkEnd w:id="2"/>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嘉峪关市中级人民法院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w:t>
      </w:r>
      <w:r>
        <w:rPr>
          <w:rFonts w:hint="eastAsia" w:ascii="宋体" w:hAnsi="宋体" w:eastAsia="宋体"/>
          <w:b/>
          <w:bCs/>
          <w:sz w:val="32"/>
          <w:szCs w:val="32"/>
          <w:lang w:val="en-US" w:eastAsia="zh-CN"/>
        </w:rPr>
        <w:t>3</w:t>
      </w:r>
      <w:r>
        <w:rPr>
          <w:rFonts w:hint="eastAsia" w:ascii="宋体" w:hAnsi="宋体" w:eastAsia="宋体"/>
          <w:b/>
          <w:bCs/>
          <w:sz w:val="32"/>
          <w:szCs w:val="32"/>
        </w:rPr>
        <w:t>月</w:t>
      </w:r>
      <w:r>
        <w:rPr>
          <w:rFonts w:hint="eastAsia" w:ascii="宋体" w:hAnsi="宋体" w:eastAsia="宋体"/>
          <w:b/>
          <w:bCs/>
          <w:sz w:val="32"/>
          <w:szCs w:val="32"/>
          <w:lang w:val="en-US" w:eastAsia="zh-CN"/>
        </w:rPr>
        <w:t>10</w:t>
      </w:r>
      <w:r>
        <w:rPr>
          <w:rFonts w:hint="eastAsia" w:ascii="宋体" w:hAnsi="宋体" w:eastAsia="宋体"/>
          <w:b/>
          <w:bCs/>
          <w:sz w:val="32"/>
          <w:szCs w:val="32"/>
        </w:rPr>
        <w:t>日</w:t>
      </w:r>
    </w:p>
    <w:p>
      <w:pPr>
        <w:ind w:firstLine="560"/>
        <w:sectPr>
          <w:headerReference r:id="rId5" w:type="default"/>
          <w:footerReference r:id="rId6" w:type="default"/>
          <w:pgSz w:w="11906" w:h="16838"/>
          <w:pgMar w:top="1440" w:right="1519" w:bottom="1440" w:left="1633" w:header="851" w:footer="992" w:gutter="0"/>
          <w:pgNumType w:fmt="decimal" w:start="1"/>
          <w:cols w:space="425" w:num="1"/>
          <w:docGrid w:type="lines" w:linePitch="312" w:charSpace="0"/>
        </w:sectPr>
      </w:pPr>
    </w:p>
    <w:sdt>
      <w:sdtPr>
        <w:rPr>
          <w:rFonts w:ascii="宋体" w:hAnsi="宋体" w:eastAsia="宋体" w:cstheme="minorBidi"/>
          <w:b/>
          <w:bCs/>
          <w:kern w:val="2"/>
          <w:sz w:val="28"/>
          <w:szCs w:val="28"/>
          <w:lang w:val="en-US" w:eastAsia="zh-CN" w:bidi="ar-SA"/>
        </w:rPr>
        <w:id w:val="147482028"/>
        <w15:color w:val="DBDBDB"/>
        <w:docPartObj>
          <w:docPartGallery w:val="Table of Contents"/>
          <w:docPartUnique/>
        </w:docPartObj>
      </w:sdtPr>
      <w:sdtEndPr>
        <w:rPr>
          <w:rFonts w:hint="eastAsia" w:ascii="宋体" w:hAnsi="宋体" w:eastAsia="宋体" w:cs="Arial"/>
          <w:b/>
          <w:bCs/>
          <w:kern w:val="2"/>
          <w:sz w:val="28"/>
          <w:szCs w:val="44"/>
          <w:highlight w:val="none"/>
          <w:lang w:val="en-US" w:eastAsia="zh-CN" w:bidi="ar-SA"/>
        </w:rPr>
      </w:sdtEndPr>
      <w:sdtContent>
        <w:p>
          <w:pPr>
            <w:widowControl/>
            <w:spacing w:line="240" w:lineRule="auto"/>
            <w:ind w:firstLine="0" w:firstLineChars="0"/>
            <w:jc w:val="center"/>
          </w:pPr>
          <w:bookmarkStart w:id="3" w:name="_Toc13158"/>
          <w:bookmarkStart w:id="4" w:name="_Toc4040"/>
          <w:bookmarkStart w:id="5" w:name="_Toc28671"/>
          <w:bookmarkStart w:id="6" w:name="_Toc18188"/>
          <w:bookmarkStart w:id="7" w:name="_Toc22477"/>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r>
            <w:rPr>
              <w:rFonts w:hint="eastAsia" w:ascii="宋体" w:hAnsi="宋体" w:eastAsia="宋体" w:cs="Arial"/>
              <w:b/>
              <w:bCs/>
              <w:sz w:val="44"/>
              <w:szCs w:val="44"/>
              <w:highlight w:val="none"/>
              <w:lang w:val="en-US" w:eastAsia="zh-CN"/>
            </w:rPr>
            <w:fldChar w:fldCharType="begin"/>
          </w:r>
          <w:r>
            <w:rPr>
              <w:rFonts w:hint="eastAsia" w:ascii="宋体" w:hAnsi="宋体" w:eastAsia="宋体" w:cs="Arial"/>
              <w:b/>
              <w:bCs/>
              <w:sz w:val="44"/>
              <w:szCs w:val="44"/>
              <w:highlight w:val="none"/>
              <w:lang w:val="en-US" w:eastAsia="zh-CN"/>
            </w:rPr>
            <w:instrText xml:space="preserve">TOC \o "1-2" \h \u </w:instrText>
          </w:r>
          <w:r>
            <w:rPr>
              <w:rFonts w:hint="eastAsia" w:ascii="宋体" w:hAnsi="宋体" w:eastAsia="宋体" w:cs="Arial"/>
              <w:b/>
              <w:bCs/>
              <w:sz w:val="44"/>
              <w:szCs w:val="44"/>
              <w:highlight w:val="none"/>
              <w:lang w:val="en-US" w:eastAsia="zh-CN"/>
            </w:rPr>
            <w:fldChar w:fldCharType="separate"/>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_Toc345 </w:instrText>
          </w:r>
          <w:r>
            <w:rPr>
              <w:rFonts w:hint="eastAsia" w:ascii="宋体" w:hAnsi="宋体" w:eastAsia="宋体" w:cs="Arial"/>
              <w:bCs/>
              <w:szCs w:val="44"/>
              <w:highlight w:val="none"/>
              <w:lang w:val="en-US" w:eastAsia="zh-CN"/>
            </w:rPr>
            <w:fldChar w:fldCharType="separate"/>
          </w:r>
          <w:r>
            <w:rPr>
              <w:rFonts w:hint="eastAsia"/>
            </w:rPr>
            <w:t>一、基本情况</w:t>
          </w:r>
          <w:r>
            <w:tab/>
          </w:r>
          <w:r>
            <w:fldChar w:fldCharType="begin"/>
          </w:r>
          <w:r>
            <w:instrText xml:space="preserve"> PAGEREF _Toc345 \h </w:instrText>
          </w:r>
          <w:r>
            <w:fldChar w:fldCharType="separate"/>
          </w:r>
          <w:r>
            <w:t>1</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_Toc10180 </w:instrText>
          </w:r>
          <w:r>
            <w:rPr>
              <w:rFonts w:hint="eastAsia" w:ascii="宋体" w:hAnsi="宋体" w:eastAsia="宋体" w:cs="Arial"/>
              <w:bCs/>
              <w:szCs w:val="44"/>
              <w:highlight w:val="none"/>
              <w:lang w:val="en-US" w:eastAsia="zh-CN"/>
            </w:rPr>
            <w:fldChar w:fldCharType="separate"/>
          </w:r>
          <w:r>
            <w:rPr>
              <w:rFonts w:hint="eastAsia"/>
            </w:rPr>
            <w:t>（一）部门主要职能</w:t>
          </w:r>
          <w:r>
            <w:tab/>
          </w:r>
          <w:r>
            <w:fldChar w:fldCharType="begin"/>
          </w:r>
          <w:r>
            <w:instrText xml:space="preserve"> PAGEREF _Toc10180 \h </w:instrText>
          </w:r>
          <w:r>
            <w:fldChar w:fldCharType="separate"/>
          </w:r>
          <w:r>
            <w:t>1</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_Toc10859 </w:instrText>
          </w:r>
          <w:r>
            <w:rPr>
              <w:rFonts w:hint="eastAsia" w:ascii="宋体" w:hAnsi="宋体" w:eastAsia="宋体" w:cs="Arial"/>
              <w:bCs/>
              <w:szCs w:val="44"/>
              <w:highlight w:val="none"/>
              <w:lang w:val="en-US" w:eastAsia="zh-CN"/>
            </w:rPr>
            <w:fldChar w:fldCharType="separate"/>
          </w:r>
          <w:r>
            <w:rPr>
              <w:rFonts w:hint="eastAsia"/>
            </w:rPr>
            <w:t>（二）内设机构及所属</w:t>
          </w:r>
          <w:r>
            <w:rPr>
              <w:rFonts w:hint="eastAsia"/>
              <w:lang w:eastAsia="zh-CN"/>
            </w:rPr>
            <w:t>部门</w:t>
          </w:r>
          <w:r>
            <w:rPr>
              <w:rFonts w:hint="eastAsia"/>
            </w:rPr>
            <w:t>概况</w:t>
          </w:r>
          <w:r>
            <w:tab/>
          </w:r>
          <w:r>
            <w:fldChar w:fldCharType="begin"/>
          </w:r>
          <w:r>
            <w:instrText xml:space="preserve"> PAGEREF _Toc10859 \h </w:instrText>
          </w:r>
          <w:r>
            <w:fldChar w:fldCharType="separate"/>
          </w:r>
          <w:r>
            <w:t>2</w:t>
          </w:r>
          <w:r>
            <w:fldChar w:fldCharType="end"/>
          </w:r>
          <w:r>
            <w:rPr>
              <w:rFonts w:hint="eastAsia" w:ascii="宋体" w:hAnsi="宋体" w:eastAsia="宋体" w:cs="Arial"/>
              <w:bCs/>
              <w:szCs w:val="44"/>
              <w:highlight w:val="none"/>
              <w:lang w:val="en-US" w:eastAsia="zh-CN"/>
            </w:rPr>
            <w:fldChar w:fldCharType="end"/>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_Toc4716 </w:instrText>
          </w:r>
          <w:r>
            <w:rPr>
              <w:rFonts w:hint="eastAsia" w:ascii="宋体" w:hAnsi="宋体" w:eastAsia="宋体" w:cs="Arial"/>
              <w:bCs/>
              <w:szCs w:val="44"/>
              <w:highlight w:val="none"/>
              <w:lang w:val="en-US" w:eastAsia="zh-CN"/>
            </w:rPr>
            <w:fldChar w:fldCharType="separate"/>
          </w:r>
          <w:r>
            <w:rPr>
              <w:rFonts w:hint="eastAsia"/>
            </w:rPr>
            <w:t>二、绩效自评工作组织开展情况</w:t>
          </w:r>
          <w:r>
            <w:tab/>
          </w:r>
          <w:r>
            <w:fldChar w:fldCharType="begin"/>
          </w:r>
          <w:r>
            <w:instrText xml:space="preserve"> PAGEREF _Toc4716 \h </w:instrText>
          </w:r>
          <w:r>
            <w:fldChar w:fldCharType="separate"/>
          </w:r>
          <w:r>
            <w:t>2</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_Toc21881 </w:instrText>
          </w:r>
          <w:r>
            <w:rPr>
              <w:rFonts w:hint="eastAsia" w:ascii="宋体" w:hAnsi="宋体" w:eastAsia="宋体" w:cs="Arial"/>
              <w:bCs/>
              <w:szCs w:val="44"/>
              <w:highlight w:val="none"/>
              <w:lang w:val="en-US" w:eastAsia="zh-CN"/>
            </w:rPr>
            <w:fldChar w:fldCharType="separate"/>
          </w:r>
          <w:r>
            <w:rPr>
              <w:rFonts w:hint="eastAsia"/>
              <w:lang w:eastAsia="zh-CN"/>
            </w:rPr>
            <w:t>（</w:t>
          </w:r>
          <w:r>
            <w:rPr>
              <w:rFonts w:hint="eastAsia"/>
              <w:lang w:val="en-US" w:eastAsia="zh-CN"/>
            </w:rPr>
            <w:t>一</w:t>
          </w:r>
          <w:r>
            <w:rPr>
              <w:rFonts w:hint="eastAsia"/>
              <w:lang w:eastAsia="zh-CN"/>
            </w:rPr>
            <w:t>）</w:t>
          </w:r>
          <w:r>
            <w:rPr>
              <w:rFonts w:hint="eastAsia"/>
            </w:rPr>
            <w:t>自评工作组织管理情况</w:t>
          </w:r>
          <w:r>
            <w:tab/>
          </w:r>
          <w:r>
            <w:fldChar w:fldCharType="begin"/>
          </w:r>
          <w:r>
            <w:instrText xml:space="preserve"> PAGEREF _Toc21881 \h </w:instrText>
          </w:r>
          <w:r>
            <w:fldChar w:fldCharType="separate"/>
          </w:r>
          <w:r>
            <w:t>2</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_Toc31320 </w:instrText>
          </w:r>
          <w:r>
            <w:rPr>
              <w:rFonts w:hint="eastAsia" w:ascii="宋体" w:hAnsi="宋体" w:eastAsia="宋体" w:cs="Arial"/>
              <w:bCs/>
              <w:szCs w:val="44"/>
              <w:highlight w:val="none"/>
              <w:lang w:val="en-US" w:eastAsia="zh-CN"/>
            </w:rP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_Toc31320 \h </w:instrText>
          </w:r>
          <w:r>
            <w:fldChar w:fldCharType="separate"/>
          </w:r>
          <w:r>
            <w:t>3</w:t>
          </w:r>
          <w:r>
            <w:fldChar w:fldCharType="end"/>
          </w:r>
          <w:r>
            <w:rPr>
              <w:rFonts w:hint="eastAsia" w:ascii="宋体" w:hAnsi="宋体" w:eastAsia="宋体" w:cs="Arial"/>
              <w:bCs/>
              <w:szCs w:val="44"/>
              <w:highlight w:val="none"/>
              <w:lang w:val="en-US" w:eastAsia="zh-CN"/>
            </w:rPr>
            <w:fldChar w:fldCharType="end"/>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_Toc25623 </w:instrText>
          </w:r>
          <w:r>
            <w:rPr>
              <w:rFonts w:hint="eastAsia" w:ascii="宋体" w:hAnsi="宋体" w:eastAsia="宋体" w:cs="Arial"/>
              <w:bCs/>
              <w:szCs w:val="44"/>
              <w:highlight w:val="none"/>
              <w:lang w:val="en-US" w:eastAsia="zh-CN"/>
            </w:rPr>
            <w:fldChar w:fldCharType="separate"/>
          </w:r>
          <w:r>
            <w:rPr>
              <w:rFonts w:hint="eastAsia"/>
            </w:rPr>
            <w:t>三、部门整体支出绩效自评情况分析</w:t>
          </w:r>
          <w:r>
            <w:tab/>
          </w:r>
          <w:r>
            <w:fldChar w:fldCharType="begin"/>
          </w:r>
          <w:r>
            <w:instrText xml:space="preserve"> PAGEREF _Toc25623 \h </w:instrText>
          </w:r>
          <w:r>
            <w:fldChar w:fldCharType="separate"/>
          </w:r>
          <w:r>
            <w:t>4</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_Toc30319 </w:instrText>
          </w:r>
          <w:r>
            <w:rPr>
              <w:rFonts w:hint="eastAsia" w:ascii="宋体" w:hAnsi="宋体" w:eastAsia="宋体" w:cs="Arial"/>
              <w:bCs/>
              <w:szCs w:val="44"/>
              <w:highlight w:val="none"/>
              <w:lang w:val="en-US" w:eastAsia="zh-CN"/>
            </w:rPr>
            <w:fldChar w:fldCharType="separate"/>
          </w:r>
          <w:r>
            <w:rPr>
              <w:rFonts w:hint="eastAsia"/>
              <w:lang w:eastAsia="zh-CN"/>
            </w:rPr>
            <w:t>（一）部门决算情况</w:t>
          </w:r>
          <w:r>
            <w:tab/>
          </w:r>
          <w:r>
            <w:fldChar w:fldCharType="begin"/>
          </w:r>
          <w:r>
            <w:instrText xml:space="preserve"> PAGEREF _Toc30319 \h </w:instrText>
          </w:r>
          <w:r>
            <w:fldChar w:fldCharType="separate"/>
          </w:r>
          <w:r>
            <w:t>4</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_Toc1690 </w:instrText>
          </w:r>
          <w:r>
            <w:rPr>
              <w:rFonts w:hint="eastAsia" w:ascii="宋体" w:hAnsi="宋体" w:eastAsia="宋体" w:cs="Arial"/>
              <w:bCs/>
              <w:szCs w:val="44"/>
              <w:highlight w:val="none"/>
              <w:lang w:val="en-US" w:eastAsia="zh-CN"/>
            </w:rPr>
            <w:fldChar w:fldCharType="separate"/>
          </w:r>
          <w:r>
            <w:rPr>
              <w:rFonts w:hint="eastAsia"/>
              <w:lang w:eastAsia="zh-CN"/>
            </w:rPr>
            <w:t>（二）总体绩效目标完成情况分析</w:t>
          </w:r>
          <w:r>
            <w:tab/>
          </w:r>
          <w:r>
            <w:fldChar w:fldCharType="begin"/>
          </w:r>
          <w:r>
            <w:instrText xml:space="preserve"> PAGEREF _Toc1690 \h </w:instrText>
          </w:r>
          <w:r>
            <w:fldChar w:fldCharType="separate"/>
          </w:r>
          <w:r>
            <w:t>4</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_Toc7860 </w:instrText>
          </w:r>
          <w:r>
            <w:rPr>
              <w:rFonts w:hint="eastAsia" w:ascii="宋体" w:hAnsi="宋体" w:eastAsia="宋体" w:cs="Arial"/>
              <w:bCs/>
              <w:szCs w:val="44"/>
              <w:highlight w:val="none"/>
              <w:lang w:val="en-US" w:eastAsia="zh-CN"/>
            </w:rPr>
            <w:fldChar w:fldCharType="separate"/>
          </w:r>
          <w:r>
            <w:rPr>
              <w:rFonts w:hint="eastAsia"/>
            </w:rPr>
            <w:t>（三）各项指标完成情况分析</w:t>
          </w:r>
          <w:r>
            <w:tab/>
          </w:r>
          <w:r>
            <w:fldChar w:fldCharType="begin"/>
          </w:r>
          <w:r>
            <w:instrText xml:space="preserve"> PAGEREF _Toc7860 \h </w:instrText>
          </w:r>
          <w:r>
            <w:fldChar w:fldCharType="separate"/>
          </w:r>
          <w:r>
            <w:t>5</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_Toc25094 </w:instrText>
          </w:r>
          <w:r>
            <w:rPr>
              <w:rFonts w:hint="eastAsia" w:ascii="宋体" w:hAnsi="宋体" w:eastAsia="宋体" w:cs="Arial"/>
              <w:bCs/>
              <w:szCs w:val="44"/>
              <w:highlight w:val="none"/>
              <w:lang w:val="en-US" w:eastAsia="zh-CN"/>
            </w:rPr>
            <w:fldChar w:fldCharType="separate"/>
          </w:r>
          <w:r>
            <w:rPr>
              <w:rFonts w:hint="eastAsia"/>
            </w:rPr>
            <w:t>（四）偏离绩效目标的原因及下一步改进措施</w:t>
          </w:r>
          <w:r>
            <w:tab/>
          </w:r>
          <w:r>
            <w:fldChar w:fldCharType="begin"/>
          </w:r>
          <w:r>
            <w:instrText xml:space="preserve"> PAGEREF _Toc25094 \h </w:instrText>
          </w:r>
          <w:r>
            <w:fldChar w:fldCharType="separate"/>
          </w:r>
          <w:r>
            <w:t>11</w:t>
          </w:r>
          <w:r>
            <w:fldChar w:fldCharType="end"/>
          </w:r>
          <w:r>
            <w:rPr>
              <w:rFonts w:hint="eastAsia" w:ascii="宋体" w:hAnsi="宋体" w:eastAsia="宋体" w:cs="Arial"/>
              <w:bCs/>
              <w:szCs w:val="44"/>
              <w:highlight w:val="none"/>
              <w:lang w:val="en-US" w:eastAsia="zh-CN"/>
            </w:rPr>
            <w:fldChar w:fldCharType="end"/>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_Toc26322 </w:instrText>
          </w:r>
          <w:r>
            <w:rPr>
              <w:rFonts w:hint="eastAsia" w:ascii="宋体" w:hAnsi="宋体" w:eastAsia="宋体" w:cs="Arial"/>
              <w:bCs/>
              <w:szCs w:val="44"/>
              <w:highlight w:val="none"/>
              <w:lang w:val="en-US" w:eastAsia="zh-CN"/>
            </w:rPr>
            <w:fldChar w:fldCharType="separate"/>
          </w:r>
          <w:r>
            <w:rPr>
              <w:rFonts w:hint="eastAsia"/>
            </w:rPr>
            <w:t>四、部门预算项目支出绩效自评情况分析</w:t>
          </w:r>
          <w:r>
            <w:tab/>
          </w:r>
          <w:r>
            <w:fldChar w:fldCharType="begin"/>
          </w:r>
          <w:r>
            <w:instrText xml:space="preserve"> PAGEREF _Toc26322 \h </w:instrText>
          </w:r>
          <w:r>
            <w:fldChar w:fldCharType="separate"/>
          </w:r>
          <w:r>
            <w:t>11</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_Toc28329 </w:instrText>
          </w:r>
          <w:r>
            <w:rPr>
              <w:rFonts w:hint="eastAsia" w:ascii="宋体" w:hAnsi="宋体" w:eastAsia="宋体" w:cs="Arial"/>
              <w:bCs/>
              <w:szCs w:val="44"/>
              <w:highlight w:val="none"/>
              <w:lang w:val="en-US" w:eastAsia="zh-CN"/>
            </w:rPr>
            <w:fldChar w:fldCharType="separate"/>
          </w:r>
          <w:r>
            <w:rPr>
              <w:rFonts w:hint="eastAsia"/>
            </w:rPr>
            <w:t>全省法院业务费</w:t>
          </w:r>
          <w:r>
            <w:tab/>
          </w:r>
          <w:r>
            <w:fldChar w:fldCharType="begin"/>
          </w:r>
          <w:r>
            <w:instrText xml:space="preserve"> PAGEREF _Toc28329 \h </w:instrText>
          </w:r>
          <w:r>
            <w:fldChar w:fldCharType="separate"/>
          </w:r>
          <w:r>
            <w:t>11</w:t>
          </w:r>
          <w:r>
            <w:fldChar w:fldCharType="end"/>
          </w:r>
          <w:r>
            <w:rPr>
              <w:rFonts w:hint="eastAsia" w:ascii="宋体" w:hAnsi="宋体" w:eastAsia="宋体" w:cs="Arial"/>
              <w:bCs/>
              <w:szCs w:val="44"/>
              <w:highlight w:val="none"/>
              <w:lang w:val="en-US" w:eastAsia="zh-CN"/>
            </w:rPr>
            <w:fldChar w:fldCharType="end"/>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_Toc26257 </w:instrText>
          </w:r>
          <w:r>
            <w:rPr>
              <w:rFonts w:hint="eastAsia" w:ascii="宋体" w:hAnsi="宋体" w:eastAsia="宋体" w:cs="Arial"/>
              <w:bCs/>
              <w:szCs w:val="44"/>
              <w:highlight w:val="none"/>
              <w:lang w:val="en-US" w:eastAsia="zh-CN"/>
            </w:rPr>
            <w:fldChar w:fldCharType="separate"/>
          </w:r>
          <w:r>
            <w:rPr>
              <w:rFonts w:hint="eastAsia"/>
              <w:lang w:val="en-US" w:eastAsia="zh-CN"/>
            </w:rPr>
            <w:t>五、</w:t>
          </w:r>
          <w:r>
            <w:rPr>
              <w:rFonts w:hint="eastAsia"/>
            </w:rPr>
            <w:t>部门管理的省对市县转移支付绩效自评情况分析</w:t>
          </w:r>
          <w:r>
            <w:tab/>
          </w:r>
          <w:r>
            <w:fldChar w:fldCharType="begin"/>
          </w:r>
          <w:r>
            <w:instrText xml:space="preserve"> PAGEREF _Toc26257 \h </w:instrText>
          </w:r>
          <w:r>
            <w:fldChar w:fldCharType="separate"/>
          </w:r>
          <w:r>
            <w:t>16</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_Toc18239 </w:instrText>
          </w:r>
          <w:r>
            <w:rPr>
              <w:rFonts w:hint="eastAsia" w:ascii="宋体" w:hAnsi="宋体" w:eastAsia="宋体" w:cs="Arial"/>
              <w:bCs/>
              <w:szCs w:val="44"/>
              <w:highlight w:val="none"/>
              <w:lang w:val="en-US" w:eastAsia="zh-CN"/>
            </w:rPr>
            <w:fldChar w:fldCharType="separate"/>
          </w:r>
          <w:r>
            <w:rPr>
              <w:rFonts w:hint="eastAsia"/>
              <w:lang w:val="en-US" w:eastAsia="zh-CN"/>
            </w:rPr>
            <w:t>中央政法转移支付资金</w:t>
          </w:r>
          <w:r>
            <w:tab/>
          </w:r>
          <w:r>
            <w:fldChar w:fldCharType="begin"/>
          </w:r>
          <w:r>
            <w:instrText xml:space="preserve"> PAGEREF _Toc18239 \h </w:instrText>
          </w:r>
          <w:r>
            <w:fldChar w:fldCharType="separate"/>
          </w:r>
          <w:r>
            <w:t>16</w:t>
          </w:r>
          <w:r>
            <w:fldChar w:fldCharType="end"/>
          </w:r>
          <w:r>
            <w:rPr>
              <w:rFonts w:hint="eastAsia" w:ascii="宋体" w:hAnsi="宋体" w:eastAsia="宋体" w:cs="Arial"/>
              <w:bCs/>
              <w:szCs w:val="44"/>
              <w:highlight w:val="none"/>
              <w:lang w:val="en-US" w:eastAsia="zh-CN"/>
            </w:rPr>
            <w:fldChar w:fldCharType="end"/>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_Toc10226 </w:instrText>
          </w:r>
          <w:r>
            <w:rPr>
              <w:rFonts w:hint="eastAsia" w:ascii="宋体" w:hAnsi="宋体" w:eastAsia="宋体" w:cs="Arial"/>
              <w:bCs/>
              <w:szCs w:val="44"/>
              <w:highlight w:val="none"/>
              <w:lang w:val="en-US" w:eastAsia="zh-CN"/>
            </w:rPr>
            <w:fldChar w:fldCharType="separate"/>
          </w:r>
          <w:r>
            <w:rPr>
              <w:rFonts w:hint="eastAsia"/>
            </w:rPr>
            <w:t>六、绩效自评结果拟应用和公开情况</w:t>
          </w:r>
          <w:r>
            <w:tab/>
          </w:r>
          <w:r>
            <w:fldChar w:fldCharType="begin"/>
          </w:r>
          <w:r>
            <w:instrText xml:space="preserve"> PAGEREF _Toc10226 \h </w:instrText>
          </w:r>
          <w:r>
            <w:fldChar w:fldCharType="separate"/>
          </w:r>
          <w:r>
            <w:t>21</w:t>
          </w:r>
          <w:r>
            <w:fldChar w:fldCharType="end"/>
          </w:r>
          <w:r>
            <w:rPr>
              <w:rFonts w:hint="eastAsia" w:ascii="宋体" w:hAnsi="宋体" w:eastAsia="宋体" w:cs="Arial"/>
              <w:bCs/>
              <w:szCs w:val="44"/>
              <w:highlight w:val="none"/>
              <w:lang w:val="en-US" w:eastAsia="zh-CN"/>
            </w:rPr>
            <w:fldChar w:fldCharType="end"/>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_Toc10705 </w:instrText>
          </w:r>
          <w:r>
            <w:rPr>
              <w:rFonts w:hint="eastAsia" w:ascii="宋体" w:hAnsi="宋体" w:eastAsia="宋体" w:cs="Arial"/>
              <w:bCs/>
              <w:szCs w:val="44"/>
              <w:highlight w:val="none"/>
              <w:lang w:val="en-US" w:eastAsia="zh-CN"/>
            </w:rPr>
            <w:fldChar w:fldCharType="separate"/>
          </w:r>
          <w:r>
            <w:rPr>
              <w:rFonts w:hint="eastAsia"/>
              <w:lang w:val="en-US" w:eastAsia="zh-CN"/>
            </w:rPr>
            <w:t>七、</w:t>
          </w:r>
          <w:r>
            <w:rPr>
              <w:rFonts w:hint="eastAsia"/>
            </w:rPr>
            <w:t>其他需要说明的问</w:t>
          </w:r>
          <w:r>
            <w:rPr>
              <w:rFonts w:hint="eastAsia"/>
              <w:lang w:val="en-US" w:eastAsia="zh-CN"/>
            </w:rPr>
            <w:t>题</w:t>
          </w:r>
          <w:r>
            <w:tab/>
          </w:r>
          <w:r>
            <w:fldChar w:fldCharType="begin"/>
          </w:r>
          <w:r>
            <w:instrText xml:space="preserve"> PAGEREF _Toc10705 \h </w:instrText>
          </w:r>
          <w:r>
            <w:fldChar w:fldCharType="separate"/>
          </w:r>
          <w:r>
            <w:t>21</w:t>
          </w:r>
          <w:r>
            <w:fldChar w:fldCharType="end"/>
          </w:r>
          <w:r>
            <w:rPr>
              <w:rFonts w:hint="eastAsia" w:ascii="宋体" w:hAnsi="宋体" w:eastAsia="宋体" w:cs="Arial"/>
              <w:bCs/>
              <w:szCs w:val="44"/>
              <w:highlight w:val="none"/>
              <w:lang w:val="en-US" w:eastAsia="zh-CN"/>
            </w:rPr>
            <w:fldChar w:fldCharType="end"/>
          </w:r>
        </w:p>
        <w:p>
          <w:pPr>
            <w:pStyle w:val="15"/>
            <w:tabs>
              <w:tab w:val="right" w:leader="dot" w:pos="8754"/>
              <w:tab w:val="clear" w:pos="8296"/>
            </w:tabs>
          </w:pPr>
          <w:r>
            <w:rPr>
              <w:rFonts w:hint="eastAsia" w:ascii="宋体" w:hAnsi="宋体" w:eastAsia="宋体" w:cs="Arial"/>
              <w:bCs/>
              <w:szCs w:val="44"/>
              <w:highlight w:val="none"/>
              <w:lang w:val="en-US" w:eastAsia="zh-CN"/>
            </w:rPr>
            <w:fldChar w:fldCharType="begin"/>
          </w:r>
          <w:r>
            <w:rPr>
              <w:rFonts w:hint="eastAsia" w:ascii="宋体" w:hAnsi="宋体" w:eastAsia="宋体" w:cs="Arial"/>
              <w:bCs/>
              <w:szCs w:val="44"/>
              <w:highlight w:val="none"/>
              <w:lang w:val="en-US" w:eastAsia="zh-CN"/>
            </w:rPr>
            <w:instrText xml:space="preserve"> HYPERLINK \l _Toc29628 </w:instrText>
          </w:r>
          <w:r>
            <w:rPr>
              <w:rFonts w:hint="eastAsia" w:ascii="宋体" w:hAnsi="宋体" w:eastAsia="宋体" w:cs="Arial"/>
              <w:bCs/>
              <w:szCs w:val="44"/>
              <w:highlight w:val="none"/>
              <w:lang w:val="en-US" w:eastAsia="zh-CN"/>
            </w:rPr>
            <w:fldChar w:fldCharType="separate"/>
          </w:r>
          <w:r>
            <w:rPr>
              <w:rFonts w:hint="eastAsia"/>
              <w:lang w:val="en-US" w:eastAsia="zh-CN"/>
            </w:rPr>
            <w:t>附件：</w:t>
          </w:r>
          <w:r>
            <w:tab/>
          </w:r>
          <w:r>
            <w:fldChar w:fldCharType="begin"/>
          </w:r>
          <w:r>
            <w:instrText xml:space="preserve"> PAGEREF _Toc29628 \h </w:instrText>
          </w:r>
          <w:r>
            <w:fldChar w:fldCharType="separate"/>
          </w:r>
          <w:r>
            <w:t>21</w:t>
          </w:r>
          <w:r>
            <w:fldChar w:fldCharType="end"/>
          </w:r>
          <w:r>
            <w:rPr>
              <w:rFonts w:hint="eastAsia" w:ascii="宋体" w:hAnsi="宋体" w:eastAsia="宋体" w:cs="Arial"/>
              <w:bCs/>
              <w:szCs w:val="44"/>
              <w:highlight w:val="none"/>
              <w:lang w:val="en-US" w:eastAsia="zh-CN"/>
            </w:rPr>
            <w:fldChar w:fldCharType="end"/>
          </w:r>
        </w:p>
        <w:p>
          <w:pPr>
            <w:pStyle w:val="16"/>
            <w:tabs>
              <w:tab w:val="right" w:leader="dot" w:pos="8754"/>
              <w:tab w:val="clear" w:pos="8296"/>
            </w:tabs>
          </w:pPr>
        </w:p>
        <w:p>
          <w:pPr>
            <w:widowControl/>
            <w:spacing w:before="0" w:beforeLines="0" w:after="0" w:afterLines="0" w:line="240" w:lineRule="auto"/>
            <w:ind w:left="0" w:leftChars="0" w:right="0" w:rightChars="0" w:firstLine="0" w:firstLineChars="0"/>
            <w:jc w:val="center"/>
            <w:rPr>
              <w:rFonts w:hint="eastAsia" w:ascii="宋体" w:hAnsi="宋体" w:eastAsia="宋体" w:cs="Arial"/>
              <w:b/>
              <w:bCs/>
              <w:sz w:val="44"/>
              <w:szCs w:val="44"/>
              <w:highlight w:val="none"/>
              <w:lang w:val="en-US" w:eastAsia="zh-CN"/>
            </w:rPr>
            <w:sectPr>
              <w:footerReference r:id="rId7" w:type="default"/>
              <w:pgSz w:w="11906" w:h="16838"/>
              <w:pgMar w:top="1440" w:right="1519" w:bottom="1440" w:left="1633" w:header="851" w:footer="992" w:gutter="0"/>
              <w:pgNumType w:fmt="decimal" w:start="1"/>
              <w:cols w:space="425" w:num="1"/>
              <w:docGrid w:type="lines" w:linePitch="312" w:charSpace="0"/>
            </w:sectPr>
          </w:pPr>
          <w:r>
            <w:rPr>
              <w:rFonts w:hint="eastAsia" w:ascii="宋体" w:hAnsi="宋体" w:eastAsia="宋体" w:cs="Arial"/>
              <w:bCs/>
              <w:szCs w:val="44"/>
              <w:highlight w:val="none"/>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嘉峪关市中级人民法院</w:t>
      </w:r>
      <w:r>
        <w:rPr>
          <w:rFonts w:hint="eastAsia" w:ascii="方正小标宋简体" w:hAnsi="方正小标宋简体" w:eastAsia="方正小标宋简体" w:cs="方正小标宋简体"/>
          <w:b w:val="0"/>
          <w:bCs w:val="0"/>
          <w:sz w:val="44"/>
          <w:szCs w:val="44"/>
          <w:lang w:eastAsia="zh-CN"/>
        </w:rPr>
        <w:t>2023年度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sz w:val="44"/>
          <w:szCs w:val="44"/>
          <w:lang w:eastAsia="zh-CN"/>
        </w:rPr>
      </w:pPr>
      <w:bookmarkStart w:id="8" w:name="_Toc23392"/>
      <w:bookmarkStart w:id="9" w:name="_Toc31297"/>
      <w:bookmarkStart w:id="10" w:name="_Toc4718"/>
      <w:r>
        <w:rPr>
          <w:rFonts w:hint="eastAsia" w:ascii="方正小标宋简体" w:hAnsi="方正小标宋简体" w:eastAsia="方正小标宋简体" w:cs="方正小标宋简体"/>
          <w:b w:val="0"/>
          <w:bCs w:val="0"/>
          <w:sz w:val="44"/>
          <w:szCs w:val="44"/>
          <w:lang w:eastAsia="zh-CN"/>
        </w:rPr>
        <w:t>预算执行情况自评报告</w:t>
      </w:r>
      <w:bookmarkEnd w:id="3"/>
      <w:bookmarkEnd w:id="4"/>
      <w:bookmarkEnd w:id="8"/>
      <w:bookmarkEnd w:id="9"/>
      <w:bookmarkEnd w:id="10"/>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11" w:name="_Toc28802"/>
      <w:bookmarkStart w:id="12" w:name="_Toc345"/>
      <w:bookmarkStart w:id="13" w:name="_Toc2212"/>
      <w:r>
        <w:rPr>
          <w:rFonts w:hint="eastAsia"/>
          <w:sz w:val="32"/>
          <w:szCs w:val="32"/>
        </w:rPr>
        <w:t>一、基本情况</w:t>
      </w:r>
      <w:bookmarkEnd w:id="5"/>
      <w:bookmarkEnd w:id="6"/>
      <w:bookmarkEnd w:id="7"/>
      <w:bookmarkEnd w:id="11"/>
      <w:bookmarkEnd w:id="12"/>
      <w:bookmarkEnd w:id="13"/>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rPr>
      </w:pPr>
      <w:bookmarkStart w:id="14" w:name="_Toc18868"/>
      <w:bookmarkStart w:id="15" w:name="_Toc24636"/>
      <w:bookmarkStart w:id="16" w:name="_Toc15972"/>
      <w:bookmarkStart w:id="17" w:name="_Toc819"/>
      <w:bookmarkStart w:id="18" w:name="_Toc17505"/>
      <w:bookmarkStart w:id="19" w:name="_Toc10180"/>
      <w:r>
        <w:rPr>
          <w:rFonts w:hint="eastAsia"/>
          <w:sz w:val="32"/>
          <w:szCs w:val="32"/>
        </w:rPr>
        <w:t>（一）部门主要职能</w:t>
      </w:r>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bookmarkStart w:id="20" w:name="_Toc12924"/>
      <w:bookmarkStart w:id="21" w:name="_Toc20782"/>
      <w:bookmarkStart w:id="22" w:name="_Toc25335"/>
      <w:bookmarkStart w:id="23" w:name="_Toc7151"/>
      <w:bookmarkStart w:id="24" w:name="_Toc27474"/>
      <w:r>
        <w:rPr>
          <w:rFonts w:hint="eastAsia" w:ascii="仿宋_GB2312" w:eastAsia="仿宋_GB2312"/>
          <w:sz w:val="32"/>
          <w:szCs w:val="32"/>
          <w:lang w:val="en-US" w:eastAsia="zh-CN"/>
        </w:rPr>
        <w:t>嘉峪关市中级人民法院是国家审判机关，依法独立行使审判权，对嘉峪关市人民代表大会及其常务委员会负责并报告工作。主要职责是：</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1.依法审判本院管辖的第一审、第二审刑事、民商事、行政案件和上级人民法院交办的审判的案件。</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2.依法按照审判监督程序审理当事人提出的申诉、申请再审和人民检察院抗诉的刑事、民商事、行政案件，依法审理减刑、假释案件。</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3.依法受理国家赔偿案件和决定国家赔偿。</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4.依法对下级法院管辖不明的案件指定管辖和审理管辖争议的案件。</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5.执行本院已经发生法律效力的法律文书和法律规定由本院执行的其他生效法律文书及委托执行的案件。</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6.监督、指导下级人民法院的审判、执行和信访工作。</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7.调查研究审判工作中适用法律、执行政策的疑难问题，提出解决问题的办法、意见和司法建议，开展司法统计工作，参与地方立法和社会治安综合治理工作。</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8.指导全市法院的队伍建设、思想政治、教育培训和法制宣传工作；按照权限管理法官和其他工作人员；协同市机构编制主管部门管理全市法院的机构编制工作。</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9.指导全市法院的财务、装备、技术、鉴定等工作，并负责有关经费和物质装备管理工作。</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10．负责全市法院的纪检监察工作。</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11．承办其他应由市中级人民法院负责的工作。</w:t>
      </w:r>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rPr>
      </w:pPr>
      <w:bookmarkStart w:id="25" w:name="_Toc10859"/>
      <w:r>
        <w:rPr>
          <w:rFonts w:hint="eastAsia"/>
          <w:sz w:val="32"/>
          <w:szCs w:val="32"/>
        </w:rPr>
        <w:t>（二）内设机构及所属</w:t>
      </w:r>
      <w:r>
        <w:rPr>
          <w:rFonts w:hint="eastAsia"/>
          <w:sz w:val="32"/>
          <w:szCs w:val="32"/>
          <w:lang w:eastAsia="zh-CN"/>
        </w:rPr>
        <w:t>部门</w:t>
      </w:r>
      <w:r>
        <w:rPr>
          <w:rFonts w:hint="eastAsia"/>
          <w:sz w:val="32"/>
          <w:szCs w:val="32"/>
        </w:rPr>
        <w:t>概况</w:t>
      </w:r>
      <w:bookmarkEnd w:id="20"/>
      <w:bookmarkEnd w:id="21"/>
      <w:bookmarkEnd w:id="22"/>
      <w:bookmarkEnd w:id="23"/>
      <w:bookmarkEnd w:id="24"/>
      <w:bookmarkEnd w:id="25"/>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eastAsia"/>
          <w:sz w:val="32"/>
          <w:szCs w:val="32"/>
          <w:lang w:val="en-US" w:eastAsia="zh-CN"/>
        </w:rPr>
      </w:pPr>
      <w:bookmarkStart w:id="26" w:name="_Toc28217"/>
      <w:r>
        <w:rPr>
          <w:rFonts w:hint="eastAsia"/>
          <w:sz w:val="32"/>
          <w:szCs w:val="32"/>
          <w:lang w:val="en-US" w:eastAsia="zh-CN"/>
        </w:rPr>
        <w:t>1.内设机构</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仿宋_GB2312" w:eastAsia="仿宋_GB2312"/>
          <w:sz w:val="32"/>
          <w:szCs w:val="32"/>
          <w:lang w:val="en-US" w:eastAsia="zh-CN"/>
        </w:rPr>
      </w:pPr>
      <w:bookmarkStart w:id="27" w:name="_Toc5008"/>
      <w:r>
        <w:rPr>
          <w:rFonts w:hint="eastAsia" w:ascii="仿宋_GB2312" w:eastAsia="仿宋_GB2312"/>
          <w:sz w:val="32"/>
          <w:szCs w:val="32"/>
          <w:lang w:val="en-US" w:eastAsia="zh-CN"/>
        </w:rPr>
        <w:t>嘉峪关市中级人民法院内设17个机构：政治部、监察室、办公室、审判管理办公室、研究室、司法行政装备处、刑事审判第一庭、刑事审判第二庭、民事审判第一庭、民事审判第二庭、民事审判第三庭、行政审判庭（赔偿委员会办公室）、执行局、立案庭、审判监督庭、法警支队、司法技术管理处。另有派驻机构1个纪检组。</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eastAsia"/>
          <w:sz w:val="32"/>
          <w:szCs w:val="32"/>
          <w:lang w:val="en-US" w:eastAsia="zh-CN"/>
        </w:rPr>
      </w:pPr>
      <w:r>
        <w:rPr>
          <w:rFonts w:hint="eastAsia"/>
          <w:sz w:val="32"/>
          <w:szCs w:val="32"/>
          <w:lang w:val="en-US" w:eastAsia="zh-CN"/>
        </w:rPr>
        <w:t>2.所属部门概况</w:t>
      </w:r>
      <w:bookmarkEnd w:id="27"/>
    </w:p>
    <w:p>
      <w:pPr>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甘肃省高级人民法院。</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rPr>
      </w:pPr>
      <w:bookmarkStart w:id="28" w:name="_Toc13794"/>
      <w:bookmarkStart w:id="29" w:name="_Toc102"/>
      <w:bookmarkStart w:id="30" w:name="_Toc4574"/>
      <w:bookmarkStart w:id="31" w:name="_Toc4716"/>
      <w:bookmarkStart w:id="32" w:name="_Toc13057"/>
      <w:bookmarkStart w:id="33" w:name="_Toc18193"/>
      <w:r>
        <w:rPr>
          <w:rFonts w:hint="eastAsia"/>
          <w:sz w:val="32"/>
          <w:szCs w:val="32"/>
        </w:rPr>
        <w:t>二、绩效自评工作组织开展情况</w:t>
      </w:r>
      <w:bookmarkEnd w:id="28"/>
      <w:bookmarkEnd w:id="29"/>
      <w:bookmarkEnd w:id="30"/>
      <w:bookmarkEnd w:id="31"/>
      <w:bookmarkEnd w:id="32"/>
      <w:bookmarkEnd w:id="33"/>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rPr>
      </w:pPr>
      <w:bookmarkStart w:id="34" w:name="_Toc26575"/>
      <w:bookmarkStart w:id="35" w:name="_Toc6499"/>
      <w:bookmarkStart w:id="36" w:name="_Toc21881"/>
      <w:bookmarkStart w:id="37" w:name="_Toc31965"/>
      <w:bookmarkStart w:id="38" w:name="_Toc11147"/>
      <w:bookmarkStart w:id="39" w:name="_Toc4177"/>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自评工作组织管理情况</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等文件的要求，联合各相关业务部门共同完成此次自评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的分析评价。</w:t>
      </w:r>
      <w:bookmarkStart w:id="40" w:name="_Toc20149"/>
      <w:bookmarkStart w:id="41" w:name="_Toc29448"/>
      <w:bookmarkStart w:id="42" w:name="_Toc9194"/>
      <w:bookmarkStart w:id="43" w:name="_Toc26980"/>
      <w:bookmarkStart w:id="44" w:name="_Toc13356"/>
      <w:bookmarkStart w:id="45" w:name="_Toc28216"/>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73"/>
        <w:textAlignment w:val="auto"/>
        <w:rPr>
          <w:rFonts w:hint="eastAsia" w:ascii="楷体" w:hAnsi="楷体" w:eastAsia="楷体" w:cstheme="majorBidi"/>
          <w:b/>
          <w:bCs/>
          <w:kern w:val="2"/>
          <w:sz w:val="32"/>
          <w:szCs w:val="32"/>
          <w:lang w:val="en-US" w:eastAsia="zh-CN" w:bidi="ar-SA"/>
        </w:rPr>
      </w:pPr>
      <w:r>
        <w:rPr>
          <w:rFonts w:hint="eastAsia" w:ascii="楷体" w:hAnsi="楷体" w:eastAsia="楷体" w:cstheme="majorBidi"/>
          <w:b/>
          <w:bCs/>
          <w:kern w:val="2"/>
          <w:sz w:val="32"/>
          <w:szCs w:val="32"/>
          <w:lang w:val="en-US" w:eastAsia="zh-CN" w:bidi="ar-SA"/>
        </w:rPr>
        <w:t>自评范围</w:t>
      </w:r>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本次预算绩效自评，按照省级部门项目支出、省对市县转移支付、部门整体支出三类评价对象全覆盖的原则，结合我院实际情况，自评所有对象为部门整体支出自评和全省法院业务费、中央政法转移支付资金</w:t>
      </w:r>
      <w:bookmarkStart w:id="146" w:name="_GoBack"/>
      <w:bookmarkEnd w:id="146"/>
      <w:r>
        <w:rPr>
          <w:rFonts w:hint="eastAsia"/>
          <w:sz w:val="32"/>
          <w:szCs w:val="32"/>
          <w:lang w:val="en-US" w:eastAsia="zh-CN"/>
        </w:rPr>
        <w:t>两</w:t>
      </w:r>
      <w:r>
        <w:rPr>
          <w:rFonts w:hint="eastAsia" w:ascii="仿宋_GB2312" w:eastAsia="仿宋_GB2312"/>
          <w:sz w:val="32"/>
          <w:szCs w:val="32"/>
          <w:lang w:val="en-US" w:eastAsia="zh-CN"/>
        </w:rPr>
        <w:t>个项目自评。</w:t>
      </w:r>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lang w:eastAsia="zh-CN"/>
        </w:rPr>
      </w:pPr>
      <w:bookmarkStart w:id="46" w:name="_Toc25429"/>
      <w:bookmarkStart w:id="47" w:name="_Toc18694"/>
      <w:bookmarkStart w:id="48" w:name="_Toc3587"/>
      <w:bookmarkStart w:id="49" w:name="_Toc10960"/>
      <w:bookmarkStart w:id="50" w:name="_Toc25203"/>
      <w:bookmarkStart w:id="51" w:name="_Toc31320"/>
      <w:bookmarkStart w:id="52" w:name="_Toc22785"/>
      <w:r>
        <w:rPr>
          <w:rFonts w:hint="eastAsia"/>
          <w:sz w:val="32"/>
          <w:szCs w:val="32"/>
          <w:lang w:eastAsia="zh-CN"/>
        </w:rPr>
        <w:t>（</w:t>
      </w:r>
      <w:r>
        <w:rPr>
          <w:rFonts w:hint="eastAsia"/>
          <w:sz w:val="32"/>
          <w:szCs w:val="32"/>
          <w:lang w:val="en-US" w:eastAsia="zh-CN"/>
        </w:rPr>
        <w:t>三</w:t>
      </w:r>
      <w:r>
        <w:rPr>
          <w:rFonts w:hint="eastAsia"/>
          <w:sz w:val="32"/>
          <w:szCs w:val="32"/>
          <w:lang w:eastAsia="zh-CN"/>
        </w:rPr>
        <w:t>）自评工作程序</w:t>
      </w:r>
      <w:bookmarkEnd w:id="46"/>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本次绩效自评工作主要包括以下工作程序：</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1.根据我院整体支出和项目支出绩效目标的设定情况，通过各业务部门收集绩效目标实现程度、预算执行进度等绩效评价基础资料。</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2.整理分析相关资料，统计财政资金预算执行情况和各项绩效目标完成情况，对年初设定的绩效指标及各项指标完成情况进行对比分析，填写《2023年度部门预算执行情况绩效自评报表》。</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3.总结评价结论，归纳问题，分析原因，提出改进措施，完成《2023年度预算执行情况自评报告》撰写。</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4.自评表和自评报告完成之后，进行内部审核，对自评表的真实性、完整性、合理性和客观性进行初步审核，并对发现的问题及时反馈和修改，修改完善后报送审核备案。</w:t>
      </w:r>
    </w:p>
    <w:bookmarkEnd w:id="37"/>
    <w:bookmarkEnd w:id="38"/>
    <w:bookmarkEnd w:id="39"/>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rPr>
      </w:pPr>
      <w:bookmarkStart w:id="53" w:name="_Toc10313"/>
      <w:bookmarkStart w:id="54" w:name="_Toc26000"/>
      <w:bookmarkStart w:id="55" w:name="_Toc25623"/>
      <w:bookmarkStart w:id="56" w:name="_Toc17042"/>
      <w:bookmarkStart w:id="57" w:name="_Toc28130"/>
      <w:bookmarkStart w:id="58" w:name="_Toc31556"/>
      <w:r>
        <w:rPr>
          <w:rFonts w:hint="eastAsia"/>
        </w:rPr>
        <w:t>三、部门整体支出绩效自评情况分析</w:t>
      </w:r>
      <w:bookmarkEnd w:id="53"/>
      <w:bookmarkEnd w:id="54"/>
      <w:bookmarkEnd w:id="55"/>
      <w:bookmarkEnd w:id="56"/>
      <w:bookmarkEnd w:id="57"/>
      <w:bookmarkEnd w:id="58"/>
      <w:r>
        <w:rPr>
          <w:rFonts w:hint="eastAsia"/>
        </w:rPr>
        <w:tab/>
      </w:r>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lang w:eastAsia="zh-CN"/>
        </w:rPr>
      </w:pPr>
      <w:bookmarkStart w:id="59" w:name="_Toc8171"/>
      <w:bookmarkStart w:id="60" w:name="_Toc29778"/>
      <w:bookmarkStart w:id="61" w:name="_Toc30319"/>
      <w:bookmarkStart w:id="62" w:name="_Toc3483"/>
      <w:bookmarkStart w:id="63" w:name="_Toc31692"/>
      <w:bookmarkStart w:id="64" w:name="_Toc32623"/>
      <w:r>
        <w:rPr>
          <w:rFonts w:hint="eastAsia"/>
          <w:sz w:val="32"/>
          <w:szCs w:val="32"/>
          <w:lang w:eastAsia="zh-CN"/>
        </w:rPr>
        <w:t>（一）部门决算情况</w:t>
      </w:r>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2023年度，嘉峪关市中级人民法院年初预算数2</w:t>
      </w:r>
      <w:r>
        <w:rPr>
          <w:rFonts w:hint="eastAsia"/>
          <w:sz w:val="32"/>
          <w:szCs w:val="32"/>
          <w:lang w:val="en-US" w:eastAsia="zh-CN"/>
        </w:rPr>
        <w:t>,</w:t>
      </w:r>
      <w:r>
        <w:rPr>
          <w:rFonts w:hint="eastAsia" w:ascii="仿宋_GB2312" w:eastAsia="仿宋_GB2312"/>
          <w:sz w:val="32"/>
          <w:szCs w:val="32"/>
          <w:lang w:val="en-US" w:eastAsia="zh-CN"/>
        </w:rPr>
        <w:t>459.97万元，全年预算数3</w:t>
      </w:r>
      <w:r>
        <w:rPr>
          <w:rFonts w:hint="eastAsia"/>
          <w:sz w:val="32"/>
          <w:szCs w:val="32"/>
          <w:lang w:val="en-US" w:eastAsia="zh-CN"/>
        </w:rPr>
        <w:t>,</w:t>
      </w:r>
      <w:r>
        <w:rPr>
          <w:rFonts w:hint="eastAsia" w:ascii="仿宋_GB2312" w:eastAsia="仿宋_GB2312"/>
          <w:sz w:val="32"/>
          <w:szCs w:val="32"/>
          <w:lang w:val="en-US" w:eastAsia="zh-CN"/>
        </w:rPr>
        <w:t>037.44万元，实际支出数3</w:t>
      </w:r>
      <w:r>
        <w:rPr>
          <w:rFonts w:hint="eastAsia"/>
          <w:sz w:val="32"/>
          <w:szCs w:val="32"/>
          <w:lang w:val="en-US" w:eastAsia="zh-CN"/>
        </w:rPr>
        <w:t>,</w:t>
      </w:r>
      <w:r>
        <w:rPr>
          <w:rFonts w:hint="eastAsia" w:ascii="仿宋_GB2312" w:eastAsia="仿宋_GB2312"/>
          <w:sz w:val="32"/>
          <w:szCs w:val="32"/>
          <w:lang w:val="en-US" w:eastAsia="zh-CN"/>
        </w:rPr>
        <w:t>037.44万元，部门整体支出预算执行率为100%。</w:t>
      </w:r>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lang w:eastAsia="zh-CN"/>
        </w:rPr>
      </w:pPr>
      <w:bookmarkStart w:id="65" w:name="_Toc29019"/>
      <w:bookmarkStart w:id="66" w:name="_Toc21423"/>
      <w:bookmarkStart w:id="67" w:name="_Toc10769"/>
      <w:bookmarkStart w:id="68" w:name="_Toc1690"/>
      <w:bookmarkStart w:id="69" w:name="_Toc22782"/>
      <w:bookmarkStart w:id="70" w:name="_Toc5467"/>
      <w:r>
        <w:rPr>
          <w:rFonts w:hint="eastAsia"/>
          <w:sz w:val="32"/>
          <w:szCs w:val="32"/>
          <w:lang w:eastAsia="zh-CN"/>
        </w:rPr>
        <w:t>（二）总体绩效目标完成情况分析</w:t>
      </w:r>
      <w:bookmarkEnd w:id="65"/>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经综合评价与分析，嘉峪关市中级人民法院2023年度部门整体支出绩效评价最终得分为</w:t>
      </w:r>
      <w:r>
        <w:rPr>
          <w:rFonts w:hint="eastAsia"/>
          <w:sz w:val="32"/>
          <w:szCs w:val="32"/>
          <w:lang w:val="en-US" w:eastAsia="zh-CN"/>
        </w:rPr>
        <w:t>98.95</w:t>
      </w:r>
      <w:r>
        <w:rPr>
          <w:rFonts w:hint="eastAsia" w:ascii="仿宋_GB2312" w:eastAsia="仿宋_GB2312"/>
          <w:sz w:val="32"/>
          <w:szCs w:val="32"/>
          <w:lang w:val="en-US" w:eastAsia="zh-CN"/>
        </w:rPr>
        <w:t>分，评价结果为“优”。最终评分结果如下表所示：</w:t>
      </w:r>
    </w:p>
    <w:p>
      <w:pPr>
        <w:jc w:val="center"/>
        <w:rPr>
          <w:rFonts w:ascii="宋体" w:hAnsi="宋体"/>
          <w:sz w:val="32"/>
          <w:szCs w:val="24"/>
          <w:highlight w:val="none"/>
        </w:rPr>
      </w:pPr>
      <w:r>
        <w:rPr>
          <w:rFonts w:hint="eastAsia" w:ascii="宋体" w:hAnsi="宋体" w:cs="宋体"/>
          <w:b/>
          <w:bCs/>
          <w:kern w:val="0"/>
          <w:sz w:val="28"/>
          <w:szCs w:val="24"/>
          <w:highlight w:val="none"/>
          <w:lang w:eastAsia="zh-CN"/>
        </w:rPr>
        <w:t>2023</w:t>
      </w:r>
      <w:r>
        <w:rPr>
          <w:rFonts w:hint="eastAsia" w:ascii="宋体" w:hAnsi="宋体" w:cs="宋体"/>
          <w:b/>
          <w:bCs/>
          <w:kern w:val="0"/>
          <w:sz w:val="28"/>
          <w:szCs w:val="24"/>
          <w:highlight w:val="none"/>
        </w:rPr>
        <w:t>年度部门整体支出绩效评价指标得分情况</w:t>
      </w:r>
    </w:p>
    <w:tbl>
      <w:tblPr>
        <w:tblStyle w:val="22"/>
        <w:tblW w:w="4855"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42"/>
        <w:gridCol w:w="1788"/>
        <w:gridCol w:w="1790"/>
        <w:gridCol w:w="17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jc w:val="center"/>
        </w:trPr>
        <w:tc>
          <w:tcPr>
            <w:tcW w:w="1918"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02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2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8" w:type="pct"/>
            <w:vAlign w:val="center"/>
          </w:tcPr>
          <w:p>
            <w:pPr>
              <w:keepNext w:val="0"/>
              <w:keepLines w:val="0"/>
              <w:widowControl/>
              <w:suppressLineNumbers w:val="0"/>
              <w:ind w:firstLine="480" w:firstLineChars="200"/>
              <w:jc w:val="left"/>
              <w:textAlignment w:val="center"/>
              <w:rPr>
                <w:rFonts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预算执行率</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8" w:type="pct"/>
            <w:vAlign w:val="center"/>
          </w:tcPr>
          <w:p>
            <w:pPr>
              <w:keepNext w:val="0"/>
              <w:keepLines w:val="0"/>
              <w:widowControl/>
              <w:suppressLineNumbers w:val="0"/>
              <w:ind w:firstLine="480" w:firstLineChars="200"/>
              <w:jc w:val="left"/>
              <w:textAlignment w:val="center"/>
              <w:rPr>
                <w:rFonts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部门管理</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8" w:type="pct"/>
            <w:vAlign w:val="center"/>
          </w:tcPr>
          <w:p>
            <w:pPr>
              <w:keepNext w:val="0"/>
              <w:keepLines w:val="0"/>
              <w:widowControl/>
              <w:suppressLineNumbers w:val="0"/>
              <w:ind w:firstLine="480" w:firstLineChars="200"/>
              <w:jc w:val="left"/>
              <w:textAlignment w:val="center"/>
              <w:rPr>
                <w:rFonts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履职效果</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60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58.95</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98.25%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8" w:type="pct"/>
            <w:vAlign w:val="center"/>
          </w:tcPr>
          <w:p>
            <w:pPr>
              <w:keepNext w:val="0"/>
              <w:keepLines w:val="0"/>
              <w:widowControl/>
              <w:suppressLineNumbers w:val="0"/>
              <w:ind w:firstLine="480" w:firstLineChars="200"/>
              <w:jc w:val="left"/>
              <w:textAlignment w:val="center"/>
              <w:rPr>
                <w:rFonts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能力建设</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8"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合计</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100</w:t>
            </w:r>
          </w:p>
        </w:tc>
        <w:tc>
          <w:tcPr>
            <w:tcW w:w="102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98.95</w:t>
            </w:r>
          </w:p>
        </w:tc>
        <w:tc>
          <w:tcPr>
            <w:tcW w:w="102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98.95%</w:t>
            </w:r>
          </w:p>
        </w:tc>
      </w:tr>
    </w:tbl>
    <w:p>
      <w:pPr>
        <w:pStyle w:val="4"/>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lang w:eastAsia="zh-CN"/>
        </w:rPr>
      </w:pPr>
      <w:r>
        <w:rPr>
          <w:rFonts w:hint="eastAsia"/>
          <w:sz w:val="32"/>
          <w:szCs w:val="32"/>
          <w:highlight w:val="none"/>
          <w:lang w:val="en-US" w:eastAsia="zh-CN"/>
        </w:rPr>
        <w:t>2023年主要工作成果及总体绩效目标完成情况</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default"/>
          <w:sz w:val="32"/>
          <w:szCs w:val="32"/>
          <w:lang w:val="en-US" w:eastAsia="zh-CN"/>
        </w:rPr>
      </w:pPr>
      <w:r>
        <w:rPr>
          <w:rFonts w:hint="eastAsia"/>
          <w:sz w:val="32"/>
          <w:szCs w:val="32"/>
          <w:lang w:val="en-US" w:eastAsia="zh-CN"/>
        </w:rPr>
        <w:t>1.总体绩效目标</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lang w:val="en-US" w:eastAsia="zh-CN"/>
        </w:rPr>
      </w:pPr>
      <w:r>
        <w:rPr>
          <w:rFonts w:hint="eastAsia"/>
          <w:sz w:val="32"/>
          <w:szCs w:val="32"/>
          <w:lang w:val="en-US" w:eastAsia="zh-CN"/>
        </w:rPr>
        <w:t>（1）以政治建设为统领，锻造高素质法院铁军。</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lang w:val="en-US" w:eastAsia="zh-CN"/>
        </w:rPr>
      </w:pPr>
      <w:r>
        <w:rPr>
          <w:rFonts w:hint="eastAsia"/>
          <w:sz w:val="32"/>
          <w:szCs w:val="32"/>
          <w:lang w:val="en-US" w:eastAsia="zh-CN"/>
        </w:rPr>
        <w:t>（2）全面依法履职，维护社会公平正义，加强社会稳定。</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lang w:val="en-US" w:eastAsia="zh-CN"/>
        </w:rPr>
      </w:pPr>
      <w:r>
        <w:rPr>
          <w:rFonts w:hint="eastAsia"/>
          <w:sz w:val="32"/>
          <w:szCs w:val="32"/>
          <w:lang w:val="en-US" w:eastAsia="zh-CN"/>
        </w:rPr>
        <w:t>（3）加强法院信息化系统建设，护航嘉峪关现代化进程。</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eastAsia"/>
          <w:sz w:val="32"/>
          <w:szCs w:val="32"/>
        </w:rPr>
      </w:pPr>
      <w:r>
        <w:rPr>
          <w:rFonts w:hint="eastAsia"/>
          <w:sz w:val="32"/>
          <w:szCs w:val="32"/>
          <w:lang w:val="en-US" w:eastAsia="zh-CN"/>
        </w:rPr>
        <w:t>2.</w:t>
      </w:r>
      <w:r>
        <w:rPr>
          <w:rFonts w:hint="eastAsia"/>
          <w:sz w:val="32"/>
          <w:szCs w:val="32"/>
        </w:rPr>
        <w:t>实际完成情况</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lang w:val="en-US" w:eastAsia="zh-CN"/>
        </w:rPr>
      </w:pPr>
      <w:r>
        <w:rPr>
          <w:rFonts w:hint="eastAsia"/>
          <w:sz w:val="32"/>
          <w:szCs w:val="32"/>
          <w:lang w:val="en-US" w:eastAsia="zh-CN"/>
        </w:rPr>
        <w:t>（1）</w:t>
      </w:r>
      <w:r>
        <w:rPr>
          <w:rFonts w:hint="default"/>
          <w:sz w:val="32"/>
          <w:szCs w:val="32"/>
          <w:lang w:val="en-US" w:eastAsia="zh-CN"/>
        </w:rPr>
        <w:t>2023</w:t>
      </w:r>
      <w:r>
        <w:rPr>
          <w:rFonts w:hint="eastAsia"/>
          <w:sz w:val="32"/>
          <w:szCs w:val="32"/>
          <w:lang w:val="en-US" w:eastAsia="zh-CN"/>
        </w:rPr>
        <w:t>年，全市法院坚持以习近平新时代中国特色社会主义思想为指导，全面贯彻落实党的二十大和二十届二中全会精神，深入学习贯彻习近平法治思想，认真落实市十一届人大二次会议精神，高效推进“三抓三促”行动，定期专题学习和研究意识形态工作，分析研判意识形态领域问题，确保全院干警在思想和行动上同党中央和省、市、区委保持高度一致。</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lang w:val="en-US" w:eastAsia="zh-CN"/>
        </w:rPr>
      </w:pPr>
      <w:bookmarkStart w:id="71" w:name="_Toc5060"/>
      <w:bookmarkStart w:id="72" w:name="_Toc18553"/>
      <w:bookmarkStart w:id="73" w:name="_Toc17819"/>
      <w:bookmarkStart w:id="74" w:name="_Toc25030"/>
      <w:bookmarkStart w:id="75" w:name="_Toc7799"/>
      <w:r>
        <w:rPr>
          <w:rFonts w:hint="eastAsia" w:ascii="仿宋_GB2312" w:eastAsia="仿宋_GB2312"/>
          <w:sz w:val="32"/>
          <w:szCs w:val="32"/>
          <w:lang w:val="en-US" w:eastAsia="zh-CN"/>
        </w:rPr>
        <w:t>（</w:t>
      </w:r>
      <w:r>
        <w:rPr>
          <w:rFonts w:hint="eastAsia"/>
          <w:sz w:val="32"/>
          <w:szCs w:val="32"/>
          <w:lang w:val="en-US" w:eastAsia="zh-CN"/>
        </w:rPr>
        <w:t>2）贯彻落实总体国家安全观，深入推进主动创稳行动，促进平安嘉峪关、法治嘉峪关建设，</w:t>
      </w:r>
      <w:r>
        <w:rPr>
          <w:rFonts w:hint="default"/>
          <w:sz w:val="32"/>
          <w:szCs w:val="32"/>
          <w:lang w:val="en-US" w:eastAsia="zh-CN"/>
        </w:rPr>
        <w:t>依法严惩各类刑事犯罪</w:t>
      </w:r>
      <w:r>
        <w:rPr>
          <w:rFonts w:hint="eastAsia"/>
          <w:sz w:val="32"/>
          <w:szCs w:val="32"/>
          <w:lang w:val="en-US" w:eastAsia="zh-CN"/>
        </w:rPr>
        <w:t>、</w:t>
      </w:r>
      <w:r>
        <w:rPr>
          <w:rFonts w:hint="default"/>
          <w:sz w:val="32"/>
          <w:szCs w:val="32"/>
          <w:lang w:val="en-US" w:eastAsia="zh-CN"/>
        </w:rPr>
        <w:t>平等保护各类市场主体合法权益，完整、准确、全面贯彻新发展理念</w:t>
      </w:r>
      <w:r>
        <w:rPr>
          <w:rFonts w:hint="eastAsia"/>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lang w:val="en-US" w:eastAsia="zh-CN"/>
        </w:rPr>
      </w:pPr>
      <w:r>
        <w:rPr>
          <w:rFonts w:hint="eastAsia"/>
          <w:sz w:val="32"/>
          <w:szCs w:val="32"/>
          <w:lang w:val="en-US" w:eastAsia="zh-CN"/>
        </w:rPr>
        <w:t>（3）利用云上法庭、数字化调解室等信息化设备，开展远程诉讼活动，线上开庭5200场（次)，当事人“足不出户”便可全程参加，减轻了群众诉累、增添了司法温度。</w:t>
      </w:r>
      <w:bookmarkEnd w:id="71"/>
      <w:r>
        <w:rPr>
          <w:rFonts w:hint="eastAsia"/>
          <w:sz w:val="32"/>
          <w:szCs w:val="32"/>
          <w:lang w:val="en-US" w:eastAsia="zh-CN"/>
        </w:rPr>
        <w:t>建成数字化省特级档案室，电子卷宗归档率达到100%。引进智能文书纠错系统，多层次全维度进行智能化纠错，提高裁判文书质量。通过智慧法院深度应用，真正实现了“全业务网上办理、全流程依法公开、全方位智能服务”。</w:t>
      </w:r>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rPr>
      </w:pPr>
      <w:bookmarkStart w:id="76" w:name="_Toc7860"/>
      <w:bookmarkStart w:id="77" w:name="_Toc1210"/>
      <w:r>
        <w:rPr>
          <w:rFonts w:hint="eastAsia"/>
          <w:sz w:val="32"/>
          <w:szCs w:val="32"/>
        </w:rPr>
        <w:t>（三）各项指标完成情况分析</w:t>
      </w:r>
      <w:bookmarkEnd w:id="72"/>
      <w:bookmarkEnd w:id="73"/>
      <w:bookmarkEnd w:id="74"/>
      <w:bookmarkEnd w:id="75"/>
      <w:bookmarkEnd w:id="76"/>
      <w:bookmarkEnd w:id="77"/>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default"/>
          <w:sz w:val="32"/>
          <w:szCs w:val="32"/>
          <w:lang w:val="en-US" w:eastAsia="zh-CN"/>
        </w:rPr>
      </w:pPr>
      <w:r>
        <w:rPr>
          <w:rFonts w:hint="eastAsia"/>
          <w:sz w:val="32"/>
          <w:szCs w:val="32"/>
        </w:rPr>
        <w:t>1</w:t>
      </w:r>
      <w:r>
        <w:rPr>
          <w:rFonts w:hint="eastAsia"/>
          <w:sz w:val="32"/>
          <w:szCs w:val="32"/>
          <w:lang w:eastAsia="zh-CN"/>
        </w:rPr>
        <w:t>.</w:t>
      </w:r>
      <w:r>
        <w:rPr>
          <w:rFonts w:hint="eastAsia"/>
          <w:sz w:val="32"/>
          <w:szCs w:val="32"/>
          <w:lang w:val="en-US" w:eastAsia="zh-CN"/>
        </w:rPr>
        <w:t>部门整体支出</w:t>
      </w:r>
      <w:r>
        <w:rPr>
          <w:rFonts w:hint="eastAsia"/>
          <w:sz w:val="32"/>
          <w:szCs w:val="32"/>
        </w:rPr>
        <w:t>预算执行率</w:t>
      </w:r>
      <w:r>
        <w:rPr>
          <w:rFonts w:hint="eastAsia"/>
          <w:sz w:val="32"/>
          <w:szCs w:val="32"/>
          <w:lang w:val="en-US" w:eastAsia="zh-CN"/>
        </w:rPr>
        <w:t>完成情况分析</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我院2023年年初预算数2</w:t>
      </w:r>
      <w:r>
        <w:rPr>
          <w:rFonts w:hint="eastAsia"/>
          <w:sz w:val="32"/>
          <w:szCs w:val="32"/>
          <w:lang w:val="en-US" w:eastAsia="zh-CN"/>
        </w:rPr>
        <w:t>,</w:t>
      </w:r>
      <w:r>
        <w:rPr>
          <w:rFonts w:hint="eastAsia" w:ascii="仿宋_GB2312" w:eastAsia="仿宋_GB2312"/>
          <w:sz w:val="32"/>
          <w:szCs w:val="32"/>
          <w:lang w:val="en-US" w:eastAsia="zh-CN"/>
        </w:rPr>
        <w:t>459.97万元，全年预算数3</w:t>
      </w:r>
      <w:r>
        <w:rPr>
          <w:rFonts w:hint="eastAsia"/>
          <w:sz w:val="32"/>
          <w:szCs w:val="32"/>
          <w:lang w:val="en-US" w:eastAsia="zh-CN"/>
        </w:rPr>
        <w:t>,</w:t>
      </w:r>
      <w:r>
        <w:rPr>
          <w:rFonts w:hint="eastAsia" w:ascii="仿宋_GB2312" w:eastAsia="仿宋_GB2312"/>
          <w:sz w:val="32"/>
          <w:szCs w:val="32"/>
          <w:lang w:val="en-US" w:eastAsia="zh-CN"/>
        </w:rPr>
        <w:t>037.44万元，</w:t>
      </w:r>
      <w:r>
        <w:rPr>
          <w:rFonts w:hint="eastAsia"/>
          <w:sz w:val="32"/>
          <w:szCs w:val="32"/>
          <w:lang w:val="en-US" w:eastAsia="zh-CN"/>
        </w:rPr>
        <w:t>包括一般公共预算财政拨款2,267.14万元，其他收入542.81万元，上年结转结余资金227.50万元，</w:t>
      </w:r>
      <w:r>
        <w:rPr>
          <w:rFonts w:hint="eastAsia" w:ascii="仿宋_GB2312" w:eastAsia="仿宋_GB2312"/>
          <w:sz w:val="32"/>
          <w:szCs w:val="32"/>
          <w:lang w:val="en-US" w:eastAsia="zh-CN"/>
        </w:rPr>
        <w:t>实际支出数3</w:t>
      </w:r>
      <w:r>
        <w:rPr>
          <w:rFonts w:hint="eastAsia"/>
          <w:sz w:val="32"/>
          <w:szCs w:val="32"/>
          <w:lang w:val="en-US" w:eastAsia="zh-CN"/>
        </w:rPr>
        <w:t>,</w:t>
      </w:r>
      <w:r>
        <w:rPr>
          <w:rFonts w:hint="eastAsia" w:ascii="仿宋_GB2312" w:eastAsia="仿宋_GB2312"/>
          <w:sz w:val="32"/>
          <w:szCs w:val="32"/>
          <w:lang w:val="en-US" w:eastAsia="zh-CN"/>
        </w:rPr>
        <w:t>037.44万元，部门整体支出预算执行率为100%。该指标分值10分，自评得分为10分，得分率为100%。</w:t>
      </w:r>
    </w:p>
    <w:p>
      <w:pPr>
        <w:pStyle w:val="4"/>
        <w:keepNext/>
        <w:keepLines/>
        <w:pageBreakBefore w:val="0"/>
        <w:widowControl w:val="0"/>
        <w:kinsoku/>
        <w:wordWrap/>
        <w:overflowPunct/>
        <w:topLinePunct w:val="0"/>
        <w:autoSpaceDE/>
        <w:autoSpaceDN/>
        <w:bidi w:val="0"/>
        <w:adjustRightInd/>
        <w:snapToGrid/>
        <w:spacing w:line="560" w:lineRule="exact"/>
        <w:ind w:firstLine="562"/>
        <w:textAlignment w:val="auto"/>
        <w:rPr>
          <w:rFonts w:hint="default"/>
          <w:sz w:val="32"/>
          <w:szCs w:val="32"/>
          <w:lang w:val="en-US" w:eastAsia="zh-CN"/>
        </w:rPr>
      </w:pPr>
      <w:r>
        <w:rPr>
          <w:rFonts w:hint="eastAsia"/>
          <w:sz w:val="32"/>
          <w:szCs w:val="32"/>
        </w:rPr>
        <w:t>2</w:t>
      </w:r>
      <w:r>
        <w:rPr>
          <w:rFonts w:hint="eastAsia"/>
          <w:sz w:val="32"/>
          <w:szCs w:val="32"/>
          <w:lang w:eastAsia="zh-CN"/>
        </w:rPr>
        <w:t>.</w:t>
      </w:r>
      <w:r>
        <w:rPr>
          <w:rFonts w:hint="eastAsia"/>
          <w:sz w:val="32"/>
          <w:szCs w:val="32"/>
        </w:rPr>
        <w:t>部门管理</w:t>
      </w:r>
      <w:r>
        <w:rPr>
          <w:rFonts w:hint="eastAsia"/>
          <w:sz w:val="32"/>
          <w:szCs w:val="32"/>
          <w:lang w:val="en-US" w:eastAsia="zh-CN"/>
        </w:rPr>
        <w:t>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部门管理指标包括资金投入、财务管理、采购管理、资产管理、人员管理、重点工作管理六个二级指标，下设10个三级指标。指标分值20分，自评得分20分，得分率100%。具体如下表：</w:t>
      </w:r>
    </w:p>
    <w:tbl>
      <w:tblPr>
        <w:tblStyle w:val="22"/>
        <w:tblW w:w="477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86"/>
        <w:gridCol w:w="1757"/>
        <w:gridCol w:w="1757"/>
        <w:gridCol w:w="175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资金投入</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8</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4</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资产管理</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人员管理</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重点工作管理</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2</w:t>
            </w:r>
          </w:p>
        </w:tc>
        <w:tc>
          <w:tcPr>
            <w:tcW w:w="1026"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20"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合计</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lang w:val="en-US"/>
              </w:rPr>
            </w:pPr>
            <w:r>
              <w:rPr>
                <w:rFonts w:hint="eastAsia" w:ascii="宋体" w:hAnsi="宋体" w:eastAsia="宋体" w:cs="宋体"/>
                <w:b/>
                <w:bCs/>
                <w:i w:val="0"/>
                <w:iCs w:val="0"/>
                <w:color w:val="000000"/>
                <w:kern w:val="0"/>
                <w:sz w:val="24"/>
                <w:szCs w:val="24"/>
                <w:u w:val="none"/>
                <w:lang w:val="en-US" w:eastAsia="zh-CN" w:bidi="ar"/>
              </w:rPr>
              <w:t>20</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20</w:t>
            </w:r>
          </w:p>
        </w:tc>
        <w:tc>
          <w:tcPr>
            <w:tcW w:w="102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基本支出预算执行率：</w:t>
      </w:r>
      <w:r>
        <w:rPr>
          <w:rFonts w:hint="eastAsia" w:ascii="仿宋_GB2312" w:eastAsia="仿宋_GB2312"/>
          <w:sz w:val="32"/>
          <w:szCs w:val="32"/>
          <w:lang w:val="en-US" w:eastAsia="zh-CN"/>
        </w:rPr>
        <w:t>我院基本支出全年预算2,345.83万元，实际支出2,345.83万元，基本支出预算执行率为100%。该指标分值2分，自评得分为2分，得分率为100%。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项目支出预算执行率：</w:t>
      </w:r>
      <w:r>
        <w:rPr>
          <w:rFonts w:hint="eastAsia" w:ascii="仿宋_GB2312" w:eastAsia="仿宋_GB2312"/>
          <w:sz w:val="32"/>
          <w:szCs w:val="32"/>
          <w:lang w:val="en-US" w:eastAsia="zh-CN"/>
        </w:rPr>
        <w:t>我院项目支出全年预算691.61万元，实际支出691.61万元，项目支出预算执行率为100%。该指标分值2分，自评得分为2分，得分率为100%。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“三公经费”控制率：</w:t>
      </w:r>
      <w:r>
        <w:rPr>
          <w:rFonts w:hint="eastAsia" w:ascii="仿宋_GB2312" w:eastAsia="仿宋_GB2312"/>
          <w:sz w:val="32"/>
          <w:szCs w:val="32"/>
          <w:lang w:val="en-US" w:eastAsia="zh-CN"/>
        </w:rPr>
        <w:t>我院“三公经费”预算批复数15.98万元，实际支出15.98万元</w:t>
      </w:r>
      <w:r>
        <w:rPr>
          <w:rFonts w:hint="eastAsia"/>
          <w:sz w:val="32"/>
          <w:szCs w:val="32"/>
          <w:lang w:val="en-US" w:eastAsia="zh-CN"/>
        </w:rPr>
        <w:t>，</w:t>
      </w:r>
      <w:r>
        <w:rPr>
          <w:rFonts w:hint="eastAsia" w:ascii="仿宋_GB2312" w:eastAsia="仿宋_GB2312"/>
          <w:sz w:val="32"/>
          <w:szCs w:val="32"/>
          <w:lang w:val="en-US" w:eastAsia="zh-CN"/>
        </w:rPr>
        <w:t>“三公经费”控制率为100%，该指标分值2分，自评得分为2分，得分率为100%。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sz w:val="32"/>
          <w:szCs w:val="32"/>
          <w:lang w:val="en-US" w:eastAsia="zh-CN"/>
        </w:rPr>
      </w:pPr>
      <w:r>
        <w:rPr>
          <w:rFonts w:hint="eastAsia" w:ascii="仿宋_GB2312" w:hAnsi="仿宋_GB2312" w:eastAsia="仿宋_GB2312" w:cs="仿宋_GB2312"/>
          <w:b/>
          <w:bCs/>
          <w:sz w:val="32"/>
          <w:szCs w:val="32"/>
          <w:lang w:val="en-US" w:eastAsia="zh-CN"/>
        </w:rPr>
        <w:t>结转结余变动率：</w:t>
      </w:r>
      <w:r>
        <w:rPr>
          <w:rFonts w:hint="eastAsia"/>
          <w:sz w:val="32"/>
          <w:szCs w:val="32"/>
          <w:lang w:val="en-US" w:eastAsia="zh-CN"/>
        </w:rPr>
        <w:t>我</w:t>
      </w:r>
      <w:r>
        <w:rPr>
          <w:rFonts w:hint="eastAsia" w:ascii="仿宋_GB2312" w:eastAsia="仿宋_GB2312"/>
          <w:sz w:val="32"/>
          <w:szCs w:val="32"/>
          <w:lang w:val="en-US" w:eastAsia="zh-CN"/>
        </w:rPr>
        <w:t>院2022年度结转结余</w:t>
      </w:r>
      <w:r>
        <w:rPr>
          <w:rFonts w:hint="eastAsia"/>
          <w:sz w:val="32"/>
          <w:szCs w:val="32"/>
          <w:lang w:val="en-US" w:eastAsia="zh-CN"/>
        </w:rPr>
        <w:t>227.50</w:t>
      </w:r>
      <w:r>
        <w:rPr>
          <w:rFonts w:hint="eastAsia" w:ascii="仿宋_GB2312" w:eastAsia="仿宋_GB2312"/>
          <w:sz w:val="32"/>
          <w:szCs w:val="32"/>
          <w:lang w:val="en-US" w:eastAsia="zh-CN"/>
        </w:rPr>
        <w:t>万元，2023年度无结转结余，</w:t>
      </w:r>
      <w:r>
        <w:rPr>
          <w:rFonts w:hint="eastAsia"/>
          <w:sz w:val="32"/>
          <w:szCs w:val="32"/>
          <w:lang w:val="en-US" w:eastAsia="zh-CN"/>
        </w:rPr>
        <w:t>结转结余变动率-100%，</w:t>
      </w:r>
      <w:r>
        <w:rPr>
          <w:rFonts w:hint="eastAsia" w:ascii="仿宋_GB2312" w:eastAsia="仿宋_GB2312"/>
          <w:sz w:val="32"/>
          <w:szCs w:val="32"/>
          <w:lang w:val="en-US" w:eastAsia="zh-CN"/>
        </w:rPr>
        <w:t>该指标分值2分，应得分2分，得分率为100%。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sz w:val="32"/>
          <w:szCs w:val="32"/>
          <w:lang w:val="en-US" w:eastAsia="zh-CN"/>
        </w:rPr>
      </w:pPr>
      <w:r>
        <w:rPr>
          <w:rFonts w:hint="eastAsia" w:ascii="仿宋_GB2312" w:hAnsi="仿宋_GB2312" w:eastAsia="仿宋_GB2312" w:cs="仿宋_GB2312"/>
          <w:b/>
          <w:bCs/>
          <w:sz w:val="32"/>
          <w:szCs w:val="32"/>
          <w:lang w:val="en-US" w:eastAsia="zh-CN"/>
        </w:rPr>
        <w:t>财务管理制度健全性：</w:t>
      </w:r>
      <w:r>
        <w:rPr>
          <w:rFonts w:hint="eastAsia" w:ascii="仿宋_GB2312" w:eastAsia="仿宋_GB2312"/>
          <w:sz w:val="32"/>
          <w:szCs w:val="32"/>
          <w:lang w:val="en-US" w:eastAsia="zh-CN"/>
        </w:rPr>
        <w:t>我院根据《嘉峪关市中级人民法院财务管理制度》进行财务管理，经费收支管理以及票据管理等事项有完备的审批流程和管控手续，在预算执行、事项支出、会计核算以及重大事项支出程序等方面不存在不规范现象，财务管理制度内容完备，具备可操作性。该指标分值2分，自评得分为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资金使用规范性：</w:t>
      </w:r>
      <w:r>
        <w:rPr>
          <w:rFonts w:hint="eastAsia" w:ascii="仿宋_GB2312" w:eastAsia="仿宋_GB2312"/>
          <w:sz w:val="32"/>
          <w:szCs w:val="32"/>
          <w:lang w:val="en-US" w:eastAsia="zh-CN"/>
        </w:rPr>
        <w:t>我院资金支出总体上审批程序合规、手续齐全，支出内容符合省财政预算批复规定的用途，严格使用公务卡报销，有效提高了财务资金使用的合理性和规范性，防止了国有资金流失。该指标分值2分，自评得分为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ascii="仿宋_GB2312" w:hAnsi="仿宋_GB2312" w:eastAsia="仿宋_GB2312" w:cs="仿宋_GB2312"/>
          <w:b/>
          <w:bCs/>
          <w:sz w:val="32"/>
          <w:szCs w:val="32"/>
          <w:lang w:val="en-US" w:eastAsia="zh-CN"/>
        </w:rPr>
        <w:t>政府采购规范性：</w:t>
      </w:r>
      <w:r>
        <w:rPr>
          <w:rFonts w:hint="eastAsia"/>
          <w:sz w:val="32"/>
          <w:szCs w:val="32"/>
          <w:lang w:val="en-US" w:eastAsia="zh-CN"/>
        </w:rPr>
        <w:t>我院采购实际执行情况与采购计划安排无差异。采购事项严格执行相关标准，采购业务符合政府采购相关规定。指标分值2分，自评得分2分，得分率为100%。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资产管理规范性：</w:t>
      </w:r>
      <w:r>
        <w:rPr>
          <w:rFonts w:hint="eastAsia" w:ascii="仿宋_GB2312" w:eastAsia="仿宋_GB2312"/>
          <w:sz w:val="32"/>
          <w:szCs w:val="32"/>
          <w:lang w:val="en-US" w:eastAsia="zh-CN"/>
        </w:rPr>
        <w:t>2023年我院账务和资产卡片数据相符，资产卡片与实物相符，各类资产保存完整、使用合规、配置合理、处置规范，资产处置收入能够及时足额上缴财政，资产管理符合相关要求。该指标分值2分，自评得分为2分，得分率为100%。</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在职人员控制率：</w:t>
      </w:r>
      <w:r>
        <w:rPr>
          <w:rFonts w:hint="eastAsia" w:ascii="仿宋_GB2312" w:eastAsia="仿宋_GB2312"/>
          <w:sz w:val="32"/>
          <w:szCs w:val="32"/>
          <w:lang w:val="en-US" w:eastAsia="zh-CN"/>
        </w:rPr>
        <w:t>我院人员管理较为规范，部门整体的财政供养人员规模得到有效控制，截止2023年12月实有人员72人，其中：行政编制人数72人。该指标分值2分，自评得分为2分，得分率为100%。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sz w:val="32"/>
          <w:szCs w:val="32"/>
          <w:lang w:val="en-US" w:eastAsia="zh-CN"/>
        </w:rPr>
      </w:pPr>
      <w:r>
        <w:rPr>
          <w:rFonts w:hint="eastAsia" w:ascii="仿宋_GB2312" w:hAnsi="仿宋_GB2312" w:eastAsia="仿宋_GB2312" w:cs="仿宋_GB2312"/>
          <w:b/>
          <w:bCs/>
          <w:sz w:val="32"/>
          <w:szCs w:val="32"/>
          <w:lang w:val="en-US" w:eastAsia="zh-CN"/>
        </w:rPr>
        <w:t>重点工作管理制度健全性：</w:t>
      </w:r>
      <w:r>
        <w:rPr>
          <w:rFonts w:hint="eastAsia" w:ascii="仿宋_GB2312" w:eastAsia="仿宋_GB2312"/>
          <w:sz w:val="32"/>
          <w:szCs w:val="32"/>
          <w:lang w:val="en-US" w:eastAsia="zh-CN"/>
        </w:rPr>
        <w:t>我院针对重点工作，修订并完善了相关案件审判制度，制度合法、合规、完整，并且能够有效执行和指导重点工作的有效推进和实施。指标分值2分，自评得分2分，得分率为100%。</w:t>
      </w:r>
    </w:p>
    <w:p>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eastAsia="仿宋_GB2312"/>
          <w:sz w:val="32"/>
          <w:szCs w:val="32"/>
          <w:highlight w:val="none"/>
          <w:lang w:val="en-US" w:eastAsia="zh-CN"/>
        </w:rPr>
      </w:pPr>
      <w:bookmarkStart w:id="78" w:name="_Toc40046032"/>
      <w:r>
        <w:rPr>
          <w:rFonts w:hint="eastAsia"/>
          <w:sz w:val="32"/>
          <w:szCs w:val="32"/>
          <w:highlight w:val="none"/>
          <w:lang w:val="en-US" w:eastAsia="zh-CN"/>
        </w:rPr>
        <w:t>3.</w:t>
      </w:r>
      <w:r>
        <w:rPr>
          <w:rFonts w:hint="eastAsia"/>
          <w:sz w:val="32"/>
          <w:szCs w:val="32"/>
          <w:highlight w:val="none"/>
        </w:rPr>
        <w:t>履职效果</w:t>
      </w:r>
      <w:bookmarkEnd w:id="78"/>
      <w:r>
        <w:rPr>
          <w:rFonts w:hint="eastAsia"/>
          <w:sz w:val="32"/>
          <w:szCs w:val="32"/>
          <w:highlight w:val="none"/>
          <w:lang w:val="en-US" w:eastAsia="zh-CN"/>
        </w:rPr>
        <w:t>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履职效果指标包括部门履职目标、部门效果、服务对象满意度及社会影响4个二级指标，下设11个三级指标。履职效果指标分值60分，自评得分58.95分，得分率98.25%。</w:t>
      </w:r>
    </w:p>
    <w:tbl>
      <w:tblPr>
        <w:tblStyle w:val="22"/>
        <w:tblW w:w="4821"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83"/>
        <w:gridCol w:w="1789"/>
        <w:gridCol w:w="1789"/>
        <w:gridCol w:w="17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897"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二级指标</w:t>
            </w:r>
          </w:p>
        </w:tc>
        <w:tc>
          <w:tcPr>
            <w:tcW w:w="1034"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分值</w:t>
            </w:r>
          </w:p>
        </w:tc>
        <w:tc>
          <w:tcPr>
            <w:tcW w:w="1034"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自评得分</w:t>
            </w:r>
          </w:p>
        </w:tc>
        <w:tc>
          <w:tcPr>
            <w:tcW w:w="1033"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897"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部门履职</w:t>
            </w:r>
            <w:r>
              <w:rPr>
                <w:rFonts w:hint="eastAsia" w:ascii="宋体" w:hAnsi="宋体" w:eastAsia="宋体" w:cs="宋体"/>
                <w:color w:val="000000"/>
                <w:kern w:val="0"/>
                <w:sz w:val="24"/>
                <w:szCs w:val="24"/>
                <w:highlight w:val="none"/>
                <w:lang w:val="en-US" w:eastAsia="zh-CN"/>
              </w:rPr>
              <w:t>目</w:t>
            </w:r>
            <w:r>
              <w:rPr>
                <w:rFonts w:hint="eastAsia" w:ascii="宋体" w:hAnsi="宋体" w:eastAsia="宋体" w:cs="宋体"/>
                <w:color w:val="000000"/>
                <w:kern w:val="0"/>
                <w:sz w:val="24"/>
                <w:szCs w:val="24"/>
                <w:highlight w:val="none"/>
              </w:rPr>
              <w:t xml:space="preserve">标 </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22.25</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eastAsia="zh-CN"/>
              </w:rPr>
              <w:t>22.25</w:t>
            </w:r>
          </w:p>
        </w:tc>
        <w:tc>
          <w:tcPr>
            <w:tcW w:w="1033"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897"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部门效果</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16.65</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16.65</w:t>
            </w:r>
          </w:p>
        </w:tc>
        <w:tc>
          <w:tcPr>
            <w:tcW w:w="1033"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897"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服务对象满意度</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1033"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897"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社会影响</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11.1</w:t>
            </w:r>
          </w:p>
        </w:tc>
        <w:tc>
          <w:tcPr>
            <w:tcW w:w="103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10.05</w:t>
            </w:r>
          </w:p>
        </w:tc>
        <w:tc>
          <w:tcPr>
            <w:tcW w:w="1033"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90.54</w:t>
            </w:r>
            <w:r>
              <w:rPr>
                <w:rFonts w:hint="eastAsia" w:ascii="宋体" w:hAnsi="宋体" w:eastAsia="宋体" w:cs="宋体"/>
                <w:color w:val="000000"/>
                <w:kern w:val="0"/>
                <w:sz w:val="24"/>
                <w:szCs w:val="24"/>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897"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合计</w:t>
            </w:r>
          </w:p>
        </w:tc>
        <w:tc>
          <w:tcPr>
            <w:tcW w:w="1034"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60</w:t>
            </w:r>
          </w:p>
        </w:tc>
        <w:tc>
          <w:tcPr>
            <w:tcW w:w="1034"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58.95</w:t>
            </w:r>
          </w:p>
        </w:tc>
        <w:tc>
          <w:tcPr>
            <w:tcW w:w="1033"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val="en-US" w:eastAsia="zh-CN"/>
              </w:rPr>
              <w:t>98.25</w:t>
            </w:r>
            <w:r>
              <w:rPr>
                <w:rFonts w:hint="eastAsia" w:ascii="宋体" w:hAnsi="宋体" w:eastAsia="宋体" w:cs="宋体"/>
                <w:b/>
                <w:color w:val="000000"/>
                <w:kern w:val="0"/>
                <w:sz w:val="24"/>
                <w:szCs w:val="24"/>
                <w:highlight w:val="none"/>
              </w:rPr>
              <w:t>%</w:t>
            </w:r>
          </w:p>
        </w:tc>
      </w:tr>
    </w:tbl>
    <w:p>
      <w:pPr>
        <w:pageBreakBefore w:val="0"/>
        <w:widowControl w:val="0"/>
        <w:kinsoku/>
        <w:wordWrap/>
        <w:overflowPunct/>
        <w:topLinePunct w:val="0"/>
        <w:autoSpaceDE/>
        <w:autoSpaceDN/>
        <w:bidi w:val="0"/>
        <w:adjustRightInd/>
        <w:snapToGrid/>
        <w:spacing w:line="560" w:lineRule="exact"/>
        <w:ind w:firstLine="643"/>
        <w:textAlignment w:val="auto"/>
        <w:rPr>
          <w:rFonts w:hint="eastAsia"/>
          <w:b/>
          <w:bCs/>
          <w:sz w:val="32"/>
          <w:szCs w:val="32"/>
          <w:lang w:eastAsia="zh-CN"/>
        </w:rPr>
      </w:pPr>
      <w:r>
        <w:rPr>
          <w:rFonts w:hint="eastAsia"/>
          <w:b/>
          <w:bCs/>
          <w:sz w:val="32"/>
          <w:szCs w:val="32"/>
          <w:lang w:eastAsia="zh-CN"/>
        </w:rPr>
        <w:t>（1）部门履职目标</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部门履职指标分值</w:t>
      </w:r>
      <w:r>
        <w:rPr>
          <w:rFonts w:hint="eastAsia"/>
          <w:sz w:val="32"/>
          <w:szCs w:val="32"/>
          <w:lang w:val="en-US" w:eastAsia="zh-CN"/>
        </w:rPr>
        <w:t>22.25</w:t>
      </w:r>
      <w:r>
        <w:rPr>
          <w:rFonts w:hint="eastAsia" w:ascii="仿宋_GB2312" w:eastAsia="仿宋_GB2312"/>
          <w:sz w:val="32"/>
          <w:szCs w:val="32"/>
          <w:lang w:val="en-US" w:eastAsia="zh-CN"/>
        </w:rPr>
        <w:t>分，自评得分</w:t>
      </w:r>
      <w:r>
        <w:rPr>
          <w:rFonts w:hint="eastAsia"/>
          <w:sz w:val="32"/>
          <w:szCs w:val="32"/>
          <w:lang w:val="en-US" w:eastAsia="zh-CN"/>
        </w:rPr>
        <w:t>22.25</w:t>
      </w:r>
      <w:r>
        <w:rPr>
          <w:rFonts w:hint="eastAsia" w:ascii="仿宋_GB2312" w:eastAsia="仿宋_GB2312"/>
          <w:sz w:val="32"/>
          <w:szCs w:val="32"/>
          <w:lang w:val="en-US" w:eastAsia="zh-CN"/>
        </w:rPr>
        <w:t>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①产出数量指标分析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受理各项案件受理数：</w:t>
      </w:r>
      <w:r>
        <w:rPr>
          <w:rFonts w:hint="eastAsia" w:ascii="仿宋_GB2312" w:eastAsia="仿宋_GB2312"/>
          <w:sz w:val="32"/>
          <w:szCs w:val="32"/>
          <w:lang w:val="en-US" w:eastAsia="zh-CN"/>
        </w:rPr>
        <w:t>全市法院共</w:t>
      </w:r>
      <w:r>
        <w:rPr>
          <w:rFonts w:hint="default" w:ascii="仿宋_GB2312" w:eastAsia="仿宋_GB2312"/>
          <w:sz w:val="32"/>
          <w:szCs w:val="32"/>
          <w:lang w:val="en-US" w:eastAsia="zh-CN"/>
        </w:rPr>
        <w:t>受理案件</w:t>
      </w:r>
      <w:r>
        <w:rPr>
          <w:rFonts w:hint="eastAsia"/>
          <w:sz w:val="32"/>
          <w:szCs w:val="32"/>
          <w:lang w:val="en-US" w:eastAsia="zh-CN"/>
        </w:rPr>
        <w:t>1511</w:t>
      </w:r>
      <w:r>
        <w:rPr>
          <w:rFonts w:hint="default" w:ascii="仿宋_GB2312" w:eastAsia="仿宋_GB2312"/>
          <w:sz w:val="32"/>
          <w:szCs w:val="32"/>
          <w:lang w:val="en-US" w:eastAsia="zh-CN"/>
        </w:rPr>
        <w:t>件</w:t>
      </w:r>
      <w:r>
        <w:rPr>
          <w:rFonts w:hint="eastAsia" w:ascii="仿宋_GB2312" w:eastAsia="仿宋_GB2312"/>
          <w:sz w:val="32"/>
          <w:szCs w:val="32"/>
          <w:lang w:val="en-US" w:eastAsia="zh-CN"/>
        </w:rPr>
        <w:t>。该指标分值5.6分，自评得分为5.6分，得分率为100%。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②产出质量指标分析</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heme="minorBidi"/>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结案率：</w:t>
      </w:r>
      <w:r>
        <w:rPr>
          <w:rFonts w:hint="eastAsia" w:ascii="仿宋_GB2312" w:hAnsi="仿宋_GB2312" w:eastAsia="仿宋_GB2312" w:cstheme="minorBidi"/>
          <w:color w:val="auto"/>
          <w:kern w:val="2"/>
          <w:sz w:val="32"/>
          <w:szCs w:val="32"/>
          <w:lang w:val="en-US" w:eastAsia="zh-CN" w:bidi="ar-SA"/>
        </w:rPr>
        <w:t>我院2023年受理案件结案率</w:t>
      </w:r>
      <w:r>
        <w:rPr>
          <w:rFonts w:hint="eastAsia" w:cstheme="minorBidi"/>
          <w:color w:val="auto"/>
          <w:kern w:val="2"/>
          <w:sz w:val="32"/>
          <w:szCs w:val="32"/>
          <w:lang w:val="en-US" w:eastAsia="zh-CN" w:bidi="ar-SA"/>
        </w:rPr>
        <w:t>9</w:t>
      </w:r>
      <w:r>
        <w:rPr>
          <w:rFonts w:hint="eastAsia" w:ascii="仿宋_GB2312" w:hAnsi="仿宋_GB2312" w:eastAsia="仿宋_GB2312" w:cstheme="minorBidi"/>
          <w:color w:val="auto"/>
          <w:kern w:val="2"/>
          <w:sz w:val="32"/>
          <w:szCs w:val="32"/>
          <w:lang w:val="en-US" w:eastAsia="zh-CN" w:bidi="ar-SA"/>
        </w:rPr>
        <w:t>5.96%。该指标分值5.55分，自评得分为5.55分，得分率为100%。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③产出时效指标分析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案件法定期间办结率：</w:t>
      </w:r>
      <w:r>
        <w:rPr>
          <w:rFonts w:hint="eastAsia" w:ascii="仿宋_GB2312" w:eastAsia="仿宋_GB2312"/>
          <w:sz w:val="32"/>
          <w:szCs w:val="32"/>
          <w:lang w:val="en-US" w:eastAsia="zh-CN"/>
        </w:rPr>
        <w:t>我院2023年受理案件法定审限内结案率100%。该指标分值5.55分，自评得分为5.55分，得分率为100%。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④产出成本指标分析</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default" w:ascii="仿宋_GB2312" w:hAnsi="仿宋_GB2312" w:eastAsia="仿宋_GB2312" w:cs="仿宋_GB2312"/>
          <w:b/>
          <w:bCs/>
          <w:sz w:val="32"/>
          <w:szCs w:val="32"/>
          <w:lang w:val="en-US" w:eastAsia="zh-CN"/>
        </w:rPr>
        <w:t>年度预算控制率</w:t>
      </w:r>
      <w:r>
        <w:rPr>
          <w:rFonts w:hint="eastAsia" w:ascii="仿宋_GB2312" w:hAnsi="仿宋_GB2312" w:eastAsia="仿宋_GB2312" w:cs="仿宋_GB2312"/>
          <w:b/>
          <w:bCs/>
          <w:sz w:val="32"/>
          <w:szCs w:val="32"/>
          <w:lang w:val="en-US" w:eastAsia="zh-CN"/>
        </w:rPr>
        <w:t>：</w:t>
      </w:r>
      <w:r>
        <w:rPr>
          <w:rFonts w:hint="eastAsia" w:ascii="仿宋_GB2312" w:eastAsia="仿宋_GB2312"/>
          <w:sz w:val="32"/>
          <w:szCs w:val="32"/>
          <w:lang w:val="en-US" w:eastAsia="zh-CN"/>
        </w:rPr>
        <w:t>我院积极响应国家相关政策，坚持节约资金的原则，成本控制在全年预算数以内，符合年度指标值的要求。该指标分值5.55分，自评得分为5.55分，得分率为100%。</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b/>
          <w:bCs/>
          <w:sz w:val="32"/>
          <w:szCs w:val="32"/>
          <w:lang w:eastAsia="zh-CN"/>
        </w:rPr>
      </w:pPr>
      <w:r>
        <w:rPr>
          <w:rFonts w:hint="eastAsia"/>
          <w:b/>
          <w:bCs/>
          <w:sz w:val="32"/>
          <w:szCs w:val="32"/>
          <w:lang w:eastAsia="zh-CN"/>
        </w:rPr>
        <w:t>（2）部门效果目标</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部门效果指标分值16.65分，自评得分16.65分，得分率为100%。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①经济效益指标分析</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执行案件结案率：</w:t>
      </w:r>
      <w:r>
        <w:rPr>
          <w:rFonts w:hint="eastAsia" w:ascii="仿宋_GB2312" w:eastAsia="仿宋_GB2312"/>
          <w:sz w:val="32"/>
          <w:szCs w:val="32"/>
          <w:lang w:val="en-US" w:eastAsia="zh-CN"/>
        </w:rPr>
        <w:t>我院2023年执行案件结案率达到96.23%。该指标分值5.55分，自评得分为5.55分，得分率为100%。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②</w:t>
      </w:r>
      <w:r>
        <w:rPr>
          <w:rFonts w:hint="eastAsia" w:ascii="仿宋_GB2312" w:hAnsi="仿宋_GB2312" w:eastAsia="仿宋_GB2312" w:cs="仿宋_GB2312"/>
          <w:b/>
          <w:bCs/>
          <w:sz w:val="32"/>
          <w:szCs w:val="32"/>
        </w:rPr>
        <w:t>社会效益指标分析</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营商环境改变：</w:t>
      </w:r>
      <w:r>
        <w:rPr>
          <w:rFonts w:hint="eastAsia" w:ascii="仿宋_GB2312" w:eastAsia="仿宋_GB2312"/>
          <w:sz w:val="32"/>
          <w:szCs w:val="32"/>
          <w:lang w:val="en-US" w:eastAsia="zh-CN"/>
        </w:rPr>
        <w:t>我院持续优化法治化营商环境，扎实开展“优化营商环境攻坚突破年”行动，通过台账式管理、项目化推进等措施，力促法治化营商环境考评中涉及法院的解决商业纠纷、办理破产等五个指标稳步提升。该指标分值</w:t>
      </w:r>
      <w:r>
        <w:rPr>
          <w:rFonts w:hint="eastAsia"/>
          <w:sz w:val="32"/>
          <w:szCs w:val="32"/>
          <w:lang w:val="en-US" w:eastAsia="zh-CN"/>
        </w:rPr>
        <w:t>5.55</w:t>
      </w:r>
      <w:r>
        <w:rPr>
          <w:rFonts w:hint="eastAsia" w:ascii="仿宋_GB2312" w:eastAsia="仿宋_GB2312"/>
          <w:sz w:val="32"/>
          <w:szCs w:val="32"/>
          <w:lang w:val="en-US" w:eastAsia="zh-CN"/>
        </w:rPr>
        <w:t>分，自评得分为</w:t>
      </w:r>
      <w:r>
        <w:rPr>
          <w:rFonts w:hint="eastAsia"/>
          <w:sz w:val="32"/>
          <w:szCs w:val="32"/>
          <w:lang w:val="en-US" w:eastAsia="zh-CN"/>
        </w:rPr>
        <w:t>5.55</w:t>
      </w:r>
      <w:r>
        <w:rPr>
          <w:rFonts w:hint="eastAsia" w:ascii="仿宋_GB2312" w:eastAsia="仿宋_GB2312"/>
          <w:sz w:val="32"/>
          <w:szCs w:val="3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sz w:val="32"/>
          <w:szCs w:val="32"/>
          <w:lang w:val="en-US" w:eastAsia="zh-CN"/>
        </w:rPr>
      </w:pPr>
      <w:r>
        <w:rPr>
          <w:rFonts w:hint="eastAsia" w:ascii="仿宋_GB2312" w:hAnsi="仿宋_GB2312" w:eastAsia="仿宋_GB2312" w:cs="仿宋_GB2312"/>
          <w:b/>
          <w:bCs/>
          <w:sz w:val="32"/>
          <w:szCs w:val="32"/>
          <w:lang w:val="en-US" w:eastAsia="zh-CN"/>
        </w:rPr>
        <w:t>生态效益指标：</w:t>
      </w:r>
      <w:r>
        <w:rPr>
          <w:rFonts w:hint="eastAsia"/>
          <w:sz w:val="32"/>
          <w:szCs w:val="32"/>
          <w:lang w:val="en-US" w:eastAsia="zh-CN"/>
        </w:rPr>
        <w:t>我院通过联合其他部委，联合打击生态犯罪，取得了很好的成果，达到了生态效益的预期目标。该指标分值5.55分，自评得分5.55分，得分率100%。</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b/>
          <w:bCs/>
          <w:sz w:val="32"/>
          <w:szCs w:val="32"/>
          <w:lang w:val="en-US" w:eastAsia="zh-CN"/>
        </w:rPr>
      </w:pPr>
      <w:r>
        <w:rPr>
          <w:rFonts w:hint="eastAsia"/>
          <w:b/>
          <w:bCs/>
          <w:sz w:val="32"/>
          <w:szCs w:val="32"/>
          <w:lang w:val="en-US" w:eastAsia="zh-CN"/>
        </w:rPr>
        <w:t>（3）服务对象满意度</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lang w:val="en-US" w:eastAsia="zh-CN"/>
        </w:rPr>
      </w:pPr>
      <w:r>
        <w:rPr>
          <w:rFonts w:hint="eastAsia" w:ascii="仿宋_GB2312" w:eastAsia="仿宋_GB2312"/>
          <w:sz w:val="32"/>
          <w:szCs w:val="32"/>
          <w:lang w:val="en-US" w:eastAsia="zh-CN"/>
        </w:rPr>
        <w:t>服务对象满意度分值10分，自评得分10分，得分率100%。</w:t>
      </w:r>
    </w:p>
    <w:p>
      <w:pPr>
        <w:pStyle w:val="8"/>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内部干警满意度</w:t>
      </w:r>
      <w:r>
        <w:rPr>
          <w:rFonts w:hint="eastAsia" w:cstheme="minorBidi"/>
          <w:b/>
          <w:bCs/>
          <w:color w:val="auto"/>
          <w:kern w:val="2"/>
          <w:sz w:val="32"/>
          <w:szCs w:val="32"/>
          <w:lang w:val="en-US" w:eastAsia="zh-CN" w:bidi="ar-SA"/>
        </w:rPr>
        <w:t>：</w:t>
      </w:r>
      <w:r>
        <w:rPr>
          <w:rFonts w:hint="eastAsia" w:ascii="仿宋_GB2312" w:hAnsi="仿宋_GB2312" w:eastAsia="仿宋_GB2312" w:cstheme="minorBidi"/>
          <w:color w:val="auto"/>
          <w:kern w:val="2"/>
          <w:sz w:val="32"/>
          <w:szCs w:val="32"/>
          <w:lang w:val="en-US" w:eastAsia="zh-CN" w:bidi="ar-SA"/>
        </w:rPr>
        <w:t>组织开展审判执行操作规程学习班等培训42期2600人次，教育引导干警强质量、提效率、优效果。坚决全面从严治院管警，加强干警全方位管理和经常性监督，对标对表督察巡查反馈问题，全面整改落实。注重正向激励关怀，通过建设廉政文化长廊、授予天平纪念章、落实荣退制度等方式，增强干警职业尊荣感，激发干事创业内生动力。该指标分值5分，自评得分为5分，得分率为100%。</w:t>
      </w:r>
    </w:p>
    <w:p>
      <w:pPr>
        <w:pStyle w:val="8"/>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外部群众</w:t>
      </w:r>
      <w:r>
        <w:rPr>
          <w:rFonts w:hint="eastAsia" w:cstheme="minorBidi"/>
          <w:b/>
          <w:bCs/>
          <w:color w:val="auto"/>
          <w:kern w:val="2"/>
          <w:sz w:val="32"/>
          <w:szCs w:val="32"/>
          <w:lang w:val="en-US" w:eastAsia="zh-CN" w:bidi="ar-SA"/>
        </w:rPr>
        <w:t>：</w:t>
      </w:r>
      <w:r>
        <w:rPr>
          <w:rFonts w:hint="eastAsia" w:ascii="仿宋_GB2312" w:hAnsi="仿宋_GB2312" w:eastAsia="仿宋_GB2312" w:cstheme="minorBidi"/>
          <w:color w:val="auto"/>
          <w:kern w:val="2"/>
          <w:sz w:val="32"/>
          <w:szCs w:val="32"/>
          <w:lang w:val="en-US" w:eastAsia="zh-CN" w:bidi="ar-SA"/>
        </w:rPr>
        <w:t>依法打击多发易发型犯罪行为，</w:t>
      </w:r>
      <w:r>
        <w:rPr>
          <w:rFonts w:hint="default" w:ascii="仿宋_GB2312" w:hAnsi="仿宋_GB2312" w:eastAsia="仿宋_GB2312" w:cstheme="minorBidi"/>
          <w:color w:val="auto"/>
          <w:kern w:val="2"/>
          <w:sz w:val="32"/>
          <w:szCs w:val="32"/>
          <w:lang w:val="en-US" w:eastAsia="zh-CN" w:bidi="ar-SA"/>
        </w:rPr>
        <w:t>审结</w:t>
      </w:r>
      <w:r>
        <w:rPr>
          <w:rFonts w:hint="eastAsia" w:ascii="仿宋_GB2312" w:hAnsi="仿宋_GB2312" w:eastAsia="仿宋_GB2312" w:cstheme="minorBidi"/>
          <w:color w:val="auto"/>
          <w:kern w:val="2"/>
          <w:sz w:val="32"/>
          <w:szCs w:val="32"/>
          <w:lang w:val="en-US" w:eastAsia="zh-CN" w:bidi="ar-SA"/>
        </w:rPr>
        <w:t>危险驾驶罪、盗窃罪、</w:t>
      </w:r>
      <w:r>
        <w:rPr>
          <w:rFonts w:hint="default" w:ascii="仿宋_GB2312" w:hAnsi="仿宋_GB2312" w:eastAsia="仿宋_GB2312" w:cstheme="minorBidi"/>
          <w:color w:val="auto"/>
          <w:kern w:val="2"/>
          <w:sz w:val="32"/>
          <w:szCs w:val="32"/>
          <w:lang w:val="en-US" w:eastAsia="zh-CN" w:bidi="ar-SA"/>
        </w:rPr>
        <w:t>诈骗罪、帮信罪案件</w:t>
      </w:r>
      <w:r>
        <w:rPr>
          <w:rFonts w:hint="eastAsia" w:ascii="仿宋_GB2312" w:hAnsi="仿宋_GB2312" w:eastAsia="仿宋_GB2312" w:cstheme="minorBidi"/>
          <w:color w:val="auto"/>
          <w:kern w:val="2"/>
          <w:sz w:val="32"/>
          <w:szCs w:val="32"/>
          <w:lang w:val="en-US" w:eastAsia="zh-CN" w:bidi="ar-SA"/>
        </w:rPr>
        <w:t>235</w:t>
      </w:r>
      <w:r>
        <w:rPr>
          <w:rFonts w:hint="default" w:ascii="仿宋_GB2312" w:hAnsi="仿宋_GB2312" w:eastAsia="仿宋_GB2312" w:cstheme="minorBidi"/>
          <w:color w:val="auto"/>
          <w:kern w:val="2"/>
          <w:sz w:val="32"/>
          <w:szCs w:val="32"/>
          <w:lang w:val="en-US" w:eastAsia="zh-CN" w:bidi="ar-SA"/>
        </w:rPr>
        <w:t>件</w:t>
      </w:r>
      <w:r>
        <w:rPr>
          <w:rFonts w:hint="eastAsia" w:ascii="仿宋_GB2312" w:hAnsi="仿宋_GB2312" w:eastAsia="仿宋_GB2312" w:cstheme="minorBidi"/>
          <w:color w:val="auto"/>
          <w:kern w:val="2"/>
          <w:sz w:val="32"/>
          <w:szCs w:val="32"/>
          <w:lang w:val="en-US" w:eastAsia="zh-CN" w:bidi="ar-SA"/>
        </w:rPr>
        <w:t>280</w:t>
      </w:r>
      <w:r>
        <w:rPr>
          <w:rFonts w:hint="default" w:ascii="仿宋_GB2312" w:hAnsi="仿宋_GB2312" w:eastAsia="仿宋_GB2312" w:cstheme="minorBidi"/>
          <w:color w:val="auto"/>
          <w:kern w:val="2"/>
          <w:sz w:val="32"/>
          <w:szCs w:val="32"/>
          <w:lang w:val="en-US" w:eastAsia="zh-CN" w:bidi="ar-SA"/>
        </w:rPr>
        <w:t>人，</w:t>
      </w:r>
      <w:r>
        <w:rPr>
          <w:rFonts w:hint="eastAsia" w:ascii="仿宋_GB2312" w:hAnsi="仿宋_GB2312" w:eastAsia="仿宋_GB2312" w:cstheme="minorBidi"/>
          <w:color w:val="auto"/>
          <w:kern w:val="2"/>
          <w:sz w:val="32"/>
          <w:szCs w:val="32"/>
          <w:lang w:val="en-US" w:eastAsia="zh-CN" w:bidi="ar-SA"/>
        </w:rPr>
        <w:t>重点打击电信网络诈骗、养老诈骗等犯罪，</w:t>
      </w:r>
      <w:r>
        <w:rPr>
          <w:rFonts w:hint="default" w:ascii="仿宋_GB2312" w:hAnsi="仿宋_GB2312" w:eastAsia="仿宋_GB2312" w:cstheme="minorBidi"/>
          <w:color w:val="auto"/>
          <w:kern w:val="2"/>
          <w:sz w:val="32"/>
          <w:szCs w:val="32"/>
          <w:lang w:val="en-US" w:eastAsia="zh-CN" w:bidi="ar-SA"/>
        </w:rPr>
        <w:t>司法守护人民群众美好生活</w:t>
      </w:r>
      <w:r>
        <w:rPr>
          <w:rFonts w:hint="eastAsia" w:ascii="仿宋_GB2312" w:hAnsi="仿宋_GB2312" w:eastAsia="仿宋_GB2312" w:cstheme="minorBidi"/>
          <w:color w:val="auto"/>
          <w:kern w:val="2"/>
          <w:sz w:val="32"/>
          <w:szCs w:val="32"/>
          <w:lang w:val="en-US" w:eastAsia="zh-CN" w:bidi="ar-SA"/>
        </w:rPr>
        <w:t>；</w:t>
      </w:r>
      <w:r>
        <w:rPr>
          <w:rFonts w:hint="default" w:ascii="仿宋_GB2312" w:hAnsi="仿宋_GB2312" w:eastAsia="仿宋_GB2312" w:cstheme="minorBidi"/>
          <w:color w:val="auto"/>
          <w:kern w:val="2"/>
          <w:sz w:val="32"/>
          <w:szCs w:val="32"/>
          <w:lang w:val="en-US" w:eastAsia="zh-CN" w:bidi="ar-SA"/>
        </w:rPr>
        <w:t>规范民间借贷行为</w:t>
      </w:r>
      <w:r>
        <w:rPr>
          <w:rFonts w:hint="eastAsia" w:ascii="仿宋_GB2312" w:hAnsi="仿宋_GB2312" w:eastAsia="仿宋_GB2312" w:cstheme="minorBidi"/>
          <w:color w:val="auto"/>
          <w:kern w:val="2"/>
          <w:sz w:val="32"/>
          <w:szCs w:val="32"/>
          <w:lang w:val="en-US" w:eastAsia="zh-CN" w:bidi="ar-SA"/>
        </w:rPr>
        <w:t>，</w:t>
      </w:r>
      <w:r>
        <w:rPr>
          <w:rFonts w:hint="default" w:ascii="仿宋_GB2312" w:hAnsi="仿宋_GB2312" w:eastAsia="仿宋_GB2312" w:cstheme="minorBidi"/>
          <w:color w:val="auto"/>
          <w:kern w:val="2"/>
          <w:sz w:val="32"/>
          <w:szCs w:val="32"/>
          <w:lang w:val="en-US" w:eastAsia="zh-CN" w:bidi="ar-SA"/>
        </w:rPr>
        <w:t>审结民间借贷纠纷案件</w:t>
      </w:r>
      <w:r>
        <w:rPr>
          <w:rFonts w:hint="eastAsia" w:ascii="仿宋_GB2312" w:hAnsi="仿宋_GB2312" w:eastAsia="仿宋_GB2312" w:cstheme="minorBidi"/>
          <w:color w:val="auto"/>
          <w:kern w:val="2"/>
          <w:sz w:val="32"/>
          <w:szCs w:val="32"/>
          <w:lang w:val="en-US" w:eastAsia="zh-CN" w:bidi="ar-SA"/>
        </w:rPr>
        <w:t>988</w:t>
      </w:r>
      <w:r>
        <w:rPr>
          <w:rFonts w:hint="default" w:ascii="仿宋_GB2312" w:hAnsi="仿宋_GB2312" w:eastAsia="仿宋_GB2312" w:cstheme="minorBidi"/>
          <w:color w:val="auto"/>
          <w:kern w:val="2"/>
          <w:sz w:val="32"/>
          <w:szCs w:val="32"/>
          <w:lang w:val="en-US" w:eastAsia="zh-CN" w:bidi="ar-SA"/>
        </w:rPr>
        <w:t>件</w:t>
      </w:r>
      <w:r>
        <w:rPr>
          <w:rFonts w:hint="eastAsia" w:ascii="仿宋_GB2312" w:hAnsi="仿宋_GB2312" w:eastAsia="仿宋_GB2312" w:cstheme="minorBidi"/>
          <w:color w:val="auto"/>
          <w:kern w:val="2"/>
          <w:sz w:val="32"/>
          <w:szCs w:val="32"/>
          <w:lang w:val="en-US" w:eastAsia="zh-CN" w:bidi="ar-SA"/>
        </w:rPr>
        <w:t>，依法保护老百姓的“钱袋子”，取得了外部群众的满意。该指标分值5分，自评得分为5分，得分率为100%。</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b/>
          <w:bCs/>
          <w:sz w:val="32"/>
          <w:szCs w:val="32"/>
        </w:rPr>
      </w:pPr>
      <w:r>
        <w:rPr>
          <w:rFonts w:hint="eastAsia"/>
          <w:b/>
          <w:bCs/>
          <w:sz w:val="32"/>
          <w:szCs w:val="32"/>
          <w:lang w:eastAsia="zh-CN"/>
        </w:rPr>
        <w:t>（</w:t>
      </w:r>
      <w:r>
        <w:rPr>
          <w:rFonts w:hint="eastAsia"/>
          <w:b/>
          <w:bCs/>
          <w:sz w:val="32"/>
          <w:szCs w:val="32"/>
          <w:lang w:val="en-US" w:eastAsia="zh-CN"/>
        </w:rPr>
        <w:t>4</w:t>
      </w:r>
      <w:r>
        <w:rPr>
          <w:rFonts w:hint="eastAsia"/>
          <w:b/>
          <w:bCs/>
          <w:sz w:val="32"/>
          <w:szCs w:val="32"/>
          <w:lang w:eastAsia="zh-CN"/>
        </w:rPr>
        <w:t>）</w:t>
      </w:r>
      <w:r>
        <w:rPr>
          <w:rFonts w:hint="eastAsia"/>
          <w:b/>
          <w:bCs/>
          <w:sz w:val="32"/>
          <w:szCs w:val="32"/>
        </w:rPr>
        <w:t>社会影响</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社会影响指标分值11.1分，自评得分10.05分，得分率91%。</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单位获奖情况：</w:t>
      </w:r>
      <w:r>
        <w:rPr>
          <w:rFonts w:hint="eastAsia" w:ascii="仿宋_GB2312" w:hAnsi="仿宋_GB2312" w:eastAsia="仿宋_GB2312" w:cstheme="minorBidi"/>
          <w:color w:val="auto"/>
          <w:kern w:val="2"/>
          <w:sz w:val="32"/>
          <w:szCs w:val="32"/>
          <w:lang w:val="en-US" w:eastAsia="zh-CN" w:bidi="ar-SA"/>
        </w:rPr>
        <w:t>2</w:t>
      </w:r>
      <w:r>
        <w:rPr>
          <w:rFonts w:hint="eastAsia" w:ascii="仿宋_GB2312" w:eastAsia="仿宋_GB2312"/>
          <w:sz w:val="32"/>
          <w:szCs w:val="32"/>
          <w:lang w:val="en-US" w:eastAsia="zh-CN"/>
        </w:rPr>
        <w:t>023年度，我院获奖4项。该指标分值5.55分，根据评价标准自评得分4.5分，得分率</w:t>
      </w:r>
      <w:r>
        <w:rPr>
          <w:rFonts w:hint="eastAsia"/>
          <w:sz w:val="32"/>
          <w:szCs w:val="32"/>
          <w:lang w:val="en-US" w:eastAsia="zh-CN"/>
        </w:rPr>
        <w:t>81.08</w:t>
      </w:r>
      <w:r>
        <w:rPr>
          <w:rFonts w:hint="eastAsia" w:ascii="仿宋_GB2312" w:eastAsia="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违法违纪情况：</w:t>
      </w:r>
      <w:r>
        <w:rPr>
          <w:rFonts w:hint="eastAsia" w:ascii="仿宋_GB2312" w:eastAsia="仿宋_GB2312"/>
          <w:sz w:val="32"/>
          <w:szCs w:val="32"/>
          <w:lang w:val="en-US" w:eastAsia="zh-CN"/>
        </w:rPr>
        <w:t>2023年我院未出现在国家层面督查或人大审计、监察等监督监察时发现问题被问责的情况。该指标分值5.55分，得分5.55分，得分率100%。</w:t>
      </w:r>
    </w:p>
    <w:p>
      <w:pPr>
        <w:pStyle w:val="4"/>
        <w:pageBreakBefore w:val="0"/>
        <w:widowControl w:val="0"/>
        <w:kinsoku/>
        <w:wordWrap/>
        <w:overflowPunct/>
        <w:topLinePunct w:val="0"/>
        <w:autoSpaceDE/>
        <w:autoSpaceDN/>
        <w:bidi w:val="0"/>
        <w:adjustRightInd/>
        <w:snapToGrid/>
        <w:spacing w:line="560" w:lineRule="exact"/>
        <w:ind w:firstLine="562"/>
        <w:textAlignment w:val="auto"/>
        <w:rPr>
          <w:sz w:val="32"/>
          <w:szCs w:val="32"/>
        </w:rPr>
      </w:pPr>
      <w:bookmarkStart w:id="79" w:name="_Toc40046033"/>
      <w:r>
        <w:rPr>
          <w:rFonts w:hint="eastAsia"/>
          <w:sz w:val="32"/>
          <w:szCs w:val="32"/>
        </w:rPr>
        <w:t>4</w:t>
      </w:r>
      <w:r>
        <w:rPr>
          <w:rFonts w:hint="eastAsia"/>
          <w:sz w:val="32"/>
          <w:szCs w:val="32"/>
          <w:lang w:eastAsia="zh-CN"/>
        </w:rPr>
        <w:t>.</w:t>
      </w:r>
      <w:r>
        <w:rPr>
          <w:rFonts w:hint="eastAsia"/>
          <w:sz w:val="32"/>
          <w:szCs w:val="32"/>
        </w:rPr>
        <w:t>能力建设</w:t>
      </w:r>
      <w:bookmarkEnd w:id="79"/>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能力建设指标分值10分，自评得分10分，得分率100%。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hAnsi="宋体"/>
          <w:b/>
          <w:bCs/>
          <w:sz w:val="32"/>
          <w:szCs w:val="32"/>
          <w:lang w:val="en-US" w:eastAsia="zh-CN"/>
        </w:rPr>
      </w:pPr>
      <w:r>
        <w:rPr>
          <w:rFonts w:hint="eastAsia"/>
          <w:b/>
          <w:bCs/>
          <w:sz w:val="32"/>
          <w:szCs w:val="32"/>
          <w:lang w:eastAsia="zh-CN"/>
        </w:rPr>
        <w:t>（</w:t>
      </w:r>
      <w:r>
        <w:rPr>
          <w:rFonts w:hint="eastAsia"/>
          <w:b/>
          <w:bCs/>
          <w:sz w:val="32"/>
          <w:szCs w:val="32"/>
          <w:lang w:val="en-US" w:eastAsia="zh-CN"/>
        </w:rPr>
        <w:t>1</w:t>
      </w:r>
      <w:r>
        <w:rPr>
          <w:rFonts w:hint="eastAsia"/>
          <w:b/>
          <w:bCs/>
          <w:sz w:val="32"/>
          <w:szCs w:val="32"/>
          <w:lang w:eastAsia="zh-CN"/>
        </w:rPr>
        <w:t>）</w:t>
      </w:r>
      <w:r>
        <w:rPr>
          <w:rFonts w:hint="eastAsia"/>
          <w:b/>
          <w:bCs/>
          <w:sz w:val="32"/>
          <w:szCs w:val="32"/>
          <w:lang w:val="en-US" w:eastAsia="zh-CN"/>
        </w:rPr>
        <w:t>长效管理</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中期规划建设完备程度：</w:t>
      </w:r>
      <w:r>
        <w:rPr>
          <w:rFonts w:hint="eastAsia" w:ascii="仿宋_GB2312" w:eastAsia="仿宋_GB2312"/>
          <w:sz w:val="32"/>
          <w:szCs w:val="32"/>
          <w:lang w:val="en-US" w:eastAsia="zh-CN"/>
        </w:rPr>
        <w:t>我院中期规划完整清晰、内容全面可行，能够为未来的工作明确目标、方向和内容。该指标分值3.34分，自评得分为3.34分，得分率100%。</w:t>
      </w:r>
    </w:p>
    <w:p>
      <w:pPr>
        <w:pageBreakBefore w:val="0"/>
        <w:widowControl w:val="0"/>
        <w:kinsoku/>
        <w:wordWrap/>
        <w:overflowPunct/>
        <w:topLinePunct w:val="0"/>
        <w:autoSpaceDE/>
        <w:autoSpaceDN/>
        <w:bidi w:val="0"/>
        <w:adjustRightInd/>
        <w:snapToGrid/>
        <w:spacing w:line="560" w:lineRule="exact"/>
        <w:ind w:firstLine="643"/>
        <w:textAlignment w:val="auto"/>
        <w:rPr>
          <w:rFonts w:hint="default"/>
          <w:b/>
          <w:bCs/>
          <w:sz w:val="32"/>
          <w:szCs w:val="32"/>
          <w:lang w:val="en-US" w:eastAsia="zh-CN"/>
        </w:rPr>
      </w:pPr>
      <w:r>
        <w:rPr>
          <w:rFonts w:hint="eastAsia"/>
          <w:b/>
          <w:bCs/>
          <w:sz w:val="32"/>
          <w:szCs w:val="32"/>
          <w:lang w:eastAsia="zh-CN"/>
        </w:rPr>
        <w:t>（</w:t>
      </w:r>
      <w:r>
        <w:rPr>
          <w:rFonts w:hint="eastAsia"/>
          <w:b/>
          <w:bCs/>
          <w:sz w:val="32"/>
          <w:szCs w:val="32"/>
          <w:lang w:val="en-US" w:eastAsia="zh-CN"/>
        </w:rPr>
        <w:t>2</w:t>
      </w:r>
      <w:r>
        <w:rPr>
          <w:rFonts w:hint="eastAsia"/>
          <w:b/>
          <w:bCs/>
          <w:sz w:val="32"/>
          <w:szCs w:val="32"/>
          <w:lang w:eastAsia="zh-CN"/>
        </w:rPr>
        <w:t>）</w:t>
      </w:r>
      <w:r>
        <w:rPr>
          <w:rFonts w:hint="eastAsia"/>
          <w:b/>
          <w:bCs/>
          <w:sz w:val="32"/>
          <w:szCs w:val="32"/>
          <w:lang w:val="en-US" w:eastAsia="zh-CN"/>
        </w:rPr>
        <w:t>人力资源建设</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人员培训机制完备性：</w:t>
      </w:r>
      <w:r>
        <w:rPr>
          <w:rFonts w:hint="default" w:ascii="仿宋_GB2312" w:eastAsia="仿宋_GB2312"/>
          <w:sz w:val="32"/>
          <w:szCs w:val="32"/>
          <w:lang w:val="en-US" w:eastAsia="zh-CN"/>
        </w:rPr>
        <w:t>市中级人民法院党建活动室被评为全省法院文化建设特色项目、全市党员教育培训现场教学点</w:t>
      </w:r>
      <w:r>
        <w:rPr>
          <w:rFonts w:hint="eastAsia" w:ascii="仿宋_GB2312" w:eastAsia="仿宋_GB2312"/>
          <w:sz w:val="32"/>
          <w:szCs w:val="32"/>
          <w:lang w:val="en-US" w:eastAsia="zh-CN"/>
        </w:rPr>
        <w:t>；组织开展审判执行操作规程学习班等培训42期2600人次，教育引导干警强质量、提效率、优效果，人员培训机制完备。该指标分值3.33分，自评得分为3.33分，得分率为100%。</w:t>
      </w:r>
    </w:p>
    <w:p>
      <w:pPr>
        <w:pageBreakBefore w:val="0"/>
        <w:widowControl w:val="0"/>
        <w:kinsoku/>
        <w:wordWrap/>
        <w:overflowPunct/>
        <w:topLinePunct w:val="0"/>
        <w:autoSpaceDE/>
        <w:autoSpaceDN/>
        <w:bidi w:val="0"/>
        <w:adjustRightInd/>
        <w:snapToGrid/>
        <w:spacing w:line="560" w:lineRule="exact"/>
        <w:ind w:firstLine="643"/>
        <w:textAlignment w:val="auto"/>
        <w:rPr>
          <w:rFonts w:hint="default"/>
          <w:b/>
          <w:bCs/>
          <w:sz w:val="32"/>
          <w:szCs w:val="32"/>
          <w:lang w:val="en-US" w:eastAsia="zh-CN"/>
        </w:rPr>
      </w:pPr>
      <w:r>
        <w:rPr>
          <w:rFonts w:hint="eastAsia"/>
          <w:b/>
          <w:bCs/>
          <w:sz w:val="32"/>
          <w:szCs w:val="32"/>
          <w:lang w:val="en-US" w:eastAsia="zh-CN"/>
        </w:rPr>
        <w:t>（3）档案管理</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档案管理完备性：</w:t>
      </w:r>
      <w:r>
        <w:rPr>
          <w:rFonts w:hint="eastAsia" w:ascii="仿宋_GB2312" w:eastAsia="仿宋_GB2312"/>
          <w:sz w:val="32"/>
          <w:szCs w:val="32"/>
          <w:lang w:val="en-US" w:eastAsia="zh-CN"/>
        </w:rPr>
        <w:t>我院严格规范和完善各项档案管理工作，在档案收集、保管方面管理到位，有效执行，并设有档案管理的专职人员，取得了良好的成效。该指标分值3.33分，自评得分为</w:t>
      </w:r>
      <w:r>
        <w:rPr>
          <w:rFonts w:hint="eastAsia"/>
          <w:sz w:val="32"/>
          <w:szCs w:val="32"/>
          <w:lang w:val="en-US" w:eastAsia="zh-CN"/>
        </w:rPr>
        <w:t>3</w:t>
      </w:r>
      <w:r>
        <w:rPr>
          <w:rFonts w:hint="eastAsia" w:ascii="仿宋_GB2312" w:eastAsia="仿宋_GB2312"/>
          <w:sz w:val="32"/>
          <w:szCs w:val="32"/>
          <w:lang w:val="en-US" w:eastAsia="zh-CN"/>
        </w:rPr>
        <w:t>.33分，得分率100%。</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textAlignment w:val="auto"/>
        <w:rPr>
          <w:rFonts w:hint="eastAsia"/>
          <w:sz w:val="32"/>
          <w:szCs w:val="32"/>
        </w:rPr>
      </w:pPr>
      <w:bookmarkStart w:id="80" w:name="_Toc25094"/>
      <w:bookmarkStart w:id="81" w:name="_Toc16731"/>
      <w:bookmarkStart w:id="82" w:name="_Toc28959"/>
      <w:bookmarkStart w:id="83" w:name="_Toc3174"/>
      <w:bookmarkStart w:id="84" w:name="_Toc40046035"/>
      <w:bookmarkStart w:id="85" w:name="_Toc14502"/>
      <w:bookmarkStart w:id="86" w:name="_Toc16525"/>
      <w:bookmarkStart w:id="87" w:name="_Toc12558"/>
      <w:r>
        <w:rPr>
          <w:rFonts w:hint="eastAsia"/>
          <w:sz w:val="32"/>
          <w:szCs w:val="32"/>
        </w:rPr>
        <w:t>偏离绩效目标的原因及下一步改进措施</w:t>
      </w:r>
      <w:bookmarkEnd w:id="80"/>
      <w:bookmarkEnd w:id="81"/>
      <w:bookmarkEnd w:id="82"/>
      <w:bookmarkEnd w:id="83"/>
      <w:bookmarkEnd w:id="84"/>
      <w:bookmarkEnd w:id="85"/>
      <w:bookmarkEnd w:id="86"/>
      <w:bookmarkEnd w:id="87"/>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bookmarkStart w:id="88" w:name="_Toc1248"/>
      <w:bookmarkStart w:id="89" w:name="_Toc7092"/>
      <w:bookmarkStart w:id="90" w:name="_Toc16890"/>
      <w:bookmarkStart w:id="91" w:name="_Toc8740"/>
      <w:bookmarkStart w:id="92" w:name="_Toc2045"/>
      <w:bookmarkStart w:id="93" w:name="_Toc13367"/>
      <w:r>
        <w:rPr>
          <w:rFonts w:hint="eastAsia" w:ascii="仿宋_GB2312" w:hAnsi="仿宋_GB2312" w:eastAsia="仿宋_GB2312" w:cstheme="minorBidi"/>
          <w:b w:val="0"/>
          <w:bCs w:val="0"/>
          <w:kern w:val="2"/>
          <w:sz w:val="32"/>
          <w:szCs w:val="32"/>
          <w:lang w:val="en-US" w:eastAsia="zh-CN" w:bidi="ar-SA"/>
        </w:rPr>
        <w:t>单位获奖情况指标值5.55分，指标得分4.5分，偏差原因：我院单位获奖情况指标值为2项，2023年获奖4项，造成反向扣分，改进措施：下年度将根据历年获奖情况，结合单位表现突出点合理预计获奖情况。</w:t>
      </w:r>
      <w:bookmarkEnd w:id="88"/>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rPr>
      </w:pPr>
      <w:bookmarkStart w:id="94" w:name="_Toc26322"/>
      <w:r>
        <w:rPr>
          <w:rFonts w:hint="eastAsia"/>
        </w:rPr>
        <w:t>四、部门预算项目支出绩效自评情况分析</w:t>
      </w:r>
      <w:bookmarkEnd w:id="89"/>
      <w:bookmarkEnd w:id="90"/>
      <w:bookmarkEnd w:id="91"/>
      <w:bookmarkEnd w:id="92"/>
      <w:bookmarkEnd w:id="93"/>
      <w:bookmarkEnd w:id="94"/>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2023年，我院部门预算支出项目为1个，通过自评，1个项目为“优”。分项目自评情况分析如下：</w:t>
      </w:r>
    </w:p>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rPr>
      </w:pPr>
      <w:bookmarkStart w:id="95" w:name="_Toc28329"/>
      <w:bookmarkStart w:id="96" w:name="_Toc5947"/>
      <w:bookmarkStart w:id="97" w:name="_Toc9991"/>
      <w:bookmarkStart w:id="98" w:name="_Toc28429"/>
      <w:bookmarkStart w:id="99" w:name="_Toc513"/>
      <w:bookmarkStart w:id="100" w:name="_Toc7812"/>
      <w:r>
        <w:rPr>
          <w:rFonts w:hint="eastAsia"/>
          <w:sz w:val="32"/>
          <w:szCs w:val="32"/>
        </w:rPr>
        <w:t>全省法院业务费</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_GB2312" w:eastAsia="仿宋_GB2312"/>
          <w:sz w:val="32"/>
          <w:szCs w:val="32"/>
          <w:lang w:val="en-US" w:eastAsia="zh-CN"/>
        </w:rPr>
      </w:pPr>
      <w:bookmarkStart w:id="101" w:name="_Toc22570"/>
      <w:bookmarkStart w:id="102" w:name="_Toc18806"/>
      <w:bookmarkStart w:id="103" w:name="_Toc1889"/>
      <w:bookmarkStart w:id="104" w:name="_Toc3777"/>
      <w:bookmarkStart w:id="105" w:name="_Toc40046064"/>
      <w:bookmarkStart w:id="106" w:name="_Toc40046065"/>
      <w:bookmarkStart w:id="107" w:name="_Toc7144"/>
      <w:r>
        <w:rPr>
          <w:rFonts w:hint="eastAsia" w:ascii="仿宋_GB2312" w:eastAsia="仿宋_GB2312"/>
          <w:sz w:val="32"/>
          <w:szCs w:val="32"/>
          <w:lang w:val="en-US" w:eastAsia="zh-CN"/>
        </w:rPr>
        <w:t>本次绩效自评综合评定2023年全省法院业务费项目支出绩效得分为100分，绩效等级为“优”。项目支出绩效评价包括项目资金预算执行率、成本、产出、效益、满意度五个一级指标，下设8个二级指标和23个三级指标。项目资金预算执行率100%，一级指标得分情况详见下表：</w:t>
      </w:r>
    </w:p>
    <w:tbl>
      <w:tblPr>
        <w:tblStyle w:val="22"/>
        <w:tblW w:w="4852"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41"/>
        <w:gridCol w:w="1785"/>
        <w:gridCol w:w="1788"/>
        <w:gridCol w:w="17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9"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bCs/>
                <w:i w:val="0"/>
                <w:iCs w:val="0"/>
                <w:color w:val="000000"/>
                <w:kern w:val="0"/>
                <w:sz w:val="24"/>
                <w:szCs w:val="24"/>
                <w:u w:val="none"/>
                <w:lang w:val="en-US" w:eastAsia="zh-CN" w:bidi="ar"/>
              </w:rPr>
              <w:t>一级指标</w:t>
            </w:r>
          </w:p>
        </w:tc>
        <w:tc>
          <w:tcPr>
            <w:tcW w:w="1025"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bCs/>
                <w:i w:val="0"/>
                <w:iCs w:val="0"/>
                <w:color w:val="000000"/>
                <w:kern w:val="0"/>
                <w:sz w:val="24"/>
                <w:szCs w:val="24"/>
                <w:u w:val="none"/>
                <w:lang w:val="en-US" w:eastAsia="zh-CN" w:bidi="ar"/>
              </w:rPr>
              <w:t>分值</w:t>
            </w:r>
          </w:p>
        </w:tc>
        <w:tc>
          <w:tcPr>
            <w:tcW w:w="102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bCs/>
                <w:i w:val="0"/>
                <w:iCs w:val="0"/>
                <w:color w:val="000000"/>
                <w:kern w:val="0"/>
                <w:sz w:val="24"/>
                <w:szCs w:val="24"/>
                <w:u w:val="none"/>
                <w:lang w:val="en-US" w:eastAsia="zh-CN" w:bidi="ar"/>
              </w:rPr>
              <w:t>自评得分</w:t>
            </w:r>
          </w:p>
        </w:tc>
        <w:tc>
          <w:tcPr>
            <w:tcW w:w="1028"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1919"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预算执行率</w:t>
            </w:r>
          </w:p>
        </w:tc>
        <w:tc>
          <w:tcPr>
            <w:tcW w:w="1025"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28"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1919" w:type="pct"/>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成本指标</w:t>
            </w:r>
          </w:p>
        </w:tc>
        <w:tc>
          <w:tcPr>
            <w:tcW w:w="1025"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28"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9"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产出指标</w:t>
            </w:r>
          </w:p>
        </w:tc>
        <w:tc>
          <w:tcPr>
            <w:tcW w:w="1025"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40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38.69</w:t>
            </w:r>
          </w:p>
        </w:tc>
        <w:tc>
          <w:tcPr>
            <w:tcW w:w="1028"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96.73%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9"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效益指标</w:t>
            </w:r>
          </w:p>
        </w:tc>
        <w:tc>
          <w:tcPr>
            <w:tcW w:w="1025"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028"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19" w:type="pct"/>
            <w:vAlign w:val="center"/>
          </w:tcPr>
          <w:p>
            <w:pPr>
              <w:keepNext w:val="0"/>
              <w:keepLines w:val="0"/>
              <w:widowControl/>
              <w:suppressLineNumbers w:val="0"/>
              <w:ind w:firstLine="480" w:firstLineChars="20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满意度指标</w:t>
            </w:r>
          </w:p>
        </w:tc>
        <w:tc>
          <w:tcPr>
            <w:tcW w:w="1025"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w:t>
            </w:r>
          </w:p>
        </w:tc>
        <w:tc>
          <w:tcPr>
            <w:tcW w:w="102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w:t>
            </w:r>
          </w:p>
        </w:tc>
        <w:tc>
          <w:tcPr>
            <w:tcW w:w="1028"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8" w:hRule="atLeast"/>
          <w:jc w:val="center"/>
        </w:trPr>
        <w:tc>
          <w:tcPr>
            <w:tcW w:w="1919"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bCs/>
                <w:i w:val="0"/>
                <w:iCs w:val="0"/>
                <w:color w:val="000000"/>
                <w:kern w:val="0"/>
                <w:sz w:val="24"/>
                <w:szCs w:val="24"/>
                <w:u w:val="none"/>
                <w:lang w:val="en-US" w:eastAsia="zh-CN" w:bidi="ar"/>
              </w:rPr>
              <w:t>合计</w:t>
            </w:r>
          </w:p>
        </w:tc>
        <w:tc>
          <w:tcPr>
            <w:tcW w:w="1025"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100</w:t>
            </w:r>
          </w:p>
        </w:tc>
        <w:tc>
          <w:tcPr>
            <w:tcW w:w="102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98.69</w:t>
            </w:r>
          </w:p>
        </w:tc>
        <w:tc>
          <w:tcPr>
            <w:tcW w:w="1028"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98.69%</w:t>
            </w:r>
          </w:p>
        </w:tc>
      </w:tr>
    </w:tbl>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eastAsia"/>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全省法院业务费项目年初预算数为210</w:t>
      </w:r>
      <w:r>
        <w:rPr>
          <w:rFonts w:hint="eastAsia"/>
          <w:sz w:val="32"/>
          <w:szCs w:val="32"/>
          <w:lang w:val="en-US" w:eastAsia="zh-CN"/>
        </w:rPr>
        <w:t>.00</w:t>
      </w:r>
      <w:r>
        <w:rPr>
          <w:rFonts w:hint="eastAsia" w:ascii="仿宋_GB2312" w:eastAsia="仿宋_GB2312"/>
          <w:sz w:val="32"/>
          <w:szCs w:val="32"/>
          <w:lang w:val="en-US" w:eastAsia="zh-CN"/>
        </w:rPr>
        <w:t>万元，全年预算数为290</w:t>
      </w:r>
      <w:r>
        <w:rPr>
          <w:rFonts w:hint="eastAsia"/>
          <w:sz w:val="32"/>
          <w:szCs w:val="32"/>
          <w:lang w:val="en-US" w:eastAsia="zh-CN"/>
        </w:rPr>
        <w:t>.00</w:t>
      </w:r>
      <w:r>
        <w:rPr>
          <w:rFonts w:hint="eastAsia" w:ascii="仿宋_GB2312" w:eastAsia="仿宋_GB2312"/>
          <w:sz w:val="32"/>
          <w:szCs w:val="32"/>
          <w:lang w:val="en-US" w:eastAsia="zh-CN"/>
        </w:rPr>
        <w:t>万元，全年执行数为290</w:t>
      </w:r>
      <w:r>
        <w:rPr>
          <w:rFonts w:hint="eastAsia"/>
          <w:sz w:val="32"/>
          <w:szCs w:val="32"/>
          <w:lang w:val="en-US" w:eastAsia="zh-CN"/>
        </w:rPr>
        <w:t>.00</w:t>
      </w:r>
      <w:r>
        <w:rPr>
          <w:rFonts w:hint="eastAsia" w:ascii="仿宋_GB2312" w:eastAsia="仿宋_GB2312"/>
          <w:sz w:val="32"/>
          <w:szCs w:val="32"/>
          <w:lang w:val="en-US" w:eastAsia="zh-CN"/>
        </w:rPr>
        <w:t>万元，预算执行率100%，满分10分，得分10分。</w:t>
      </w:r>
    </w:p>
    <w:p>
      <w:pPr>
        <w:pStyle w:val="4"/>
        <w:keepNext/>
        <w:keepLines/>
        <w:pageBreakBefore w:val="0"/>
        <w:widowControl w:val="0"/>
        <w:kinsoku/>
        <w:wordWrap/>
        <w:overflowPunct/>
        <w:topLinePunct w:val="0"/>
        <w:autoSpaceDE/>
        <w:autoSpaceDN/>
        <w:bidi w:val="0"/>
        <w:adjustRightInd/>
        <w:snapToGrid/>
        <w:spacing w:line="560" w:lineRule="exact"/>
        <w:ind w:firstLine="643"/>
        <w:textAlignment w:val="auto"/>
        <w:rPr>
          <w:rFonts w:hint="eastAsia"/>
          <w:sz w:val="32"/>
          <w:szCs w:val="32"/>
        </w:rPr>
      </w:pPr>
      <w:r>
        <w:rPr>
          <w:rFonts w:hint="eastAsia"/>
          <w:sz w:val="32"/>
          <w:szCs w:val="32"/>
        </w:rPr>
        <w:t>2</w:t>
      </w:r>
      <w:r>
        <w:rPr>
          <w:rFonts w:hint="eastAsia"/>
          <w:sz w:val="32"/>
          <w:szCs w:val="32"/>
          <w:lang w:eastAsia="zh-CN"/>
        </w:rPr>
        <w:t>.</w:t>
      </w:r>
      <w:r>
        <w:rPr>
          <w:rFonts w:hint="eastAsia"/>
          <w:sz w:val="32"/>
          <w:szCs w:val="32"/>
        </w:rPr>
        <w:t>总体绩效目标完成情况分析</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院严格按照年初预算批复，全省法院业务费支出范围，财务管理制度等规定支付业务费，确保了我院各类资金高效使用，进一步提高了财政资金使用效率，保障我院审判执行工作顺利开展，对加强队伍建设，教育培训，准备保障等方面起到了保障作用。</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eastAsia"/>
          <w:sz w:val="32"/>
          <w:szCs w:val="32"/>
          <w:lang w:eastAsia="zh-CN"/>
        </w:rPr>
      </w:pPr>
      <w:r>
        <w:rPr>
          <w:rFonts w:hint="eastAsia"/>
          <w:sz w:val="32"/>
          <w:szCs w:val="32"/>
          <w:lang w:eastAsia="zh-CN"/>
        </w:rPr>
        <w:t>3.各项指标完成情况分析</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b/>
          <w:bCs/>
          <w:sz w:val="32"/>
          <w:szCs w:val="32"/>
          <w:lang w:eastAsia="zh-CN"/>
        </w:rPr>
      </w:pPr>
      <w:r>
        <w:rPr>
          <w:rFonts w:hint="eastAsia"/>
          <w:b/>
          <w:bCs/>
          <w:sz w:val="32"/>
          <w:szCs w:val="32"/>
          <w:lang w:eastAsia="zh-CN"/>
        </w:rPr>
        <w:t>（</w:t>
      </w:r>
      <w:r>
        <w:rPr>
          <w:rFonts w:hint="eastAsia"/>
          <w:b/>
          <w:bCs/>
          <w:sz w:val="32"/>
          <w:szCs w:val="32"/>
          <w:lang w:val="en-US" w:eastAsia="zh-CN"/>
        </w:rPr>
        <w:t>1</w:t>
      </w:r>
      <w:r>
        <w:rPr>
          <w:rFonts w:hint="eastAsia"/>
          <w:b/>
          <w:bCs/>
          <w:sz w:val="32"/>
          <w:szCs w:val="32"/>
          <w:lang w:eastAsia="zh-CN"/>
        </w:rPr>
        <w:t>）成本指标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成本指标即经济成本指标。总分值20分，得分20分，得分率100%。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经济成本指标下设成本控制情况、业务费总额控制率两个三级指标，我院遵循厉行节约的原则，各项成本、费用均控制在预算范围内，指标分值20分，自评得分20分，得分率为100%。</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b/>
          <w:bCs/>
          <w:sz w:val="32"/>
          <w:szCs w:val="32"/>
          <w:lang w:val="en-US" w:eastAsia="zh-CN"/>
        </w:rPr>
      </w:pPr>
      <w:r>
        <w:rPr>
          <w:rFonts w:hint="eastAsia"/>
          <w:b/>
          <w:bCs/>
          <w:sz w:val="32"/>
          <w:szCs w:val="32"/>
          <w:lang w:val="en-US" w:eastAsia="zh-CN"/>
        </w:rPr>
        <w:t>（2）产出指标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产出指标下设数量、质量和时效3个二级指标。总分值40分，得分</w:t>
      </w:r>
      <w:r>
        <w:rPr>
          <w:rFonts w:hint="eastAsia"/>
          <w:sz w:val="32"/>
          <w:szCs w:val="32"/>
          <w:lang w:val="en-US" w:eastAsia="zh-CN"/>
        </w:rPr>
        <w:t>38.69</w:t>
      </w:r>
      <w:r>
        <w:rPr>
          <w:rFonts w:hint="eastAsia" w:ascii="仿宋_GB2312" w:eastAsia="仿宋_GB2312"/>
          <w:sz w:val="32"/>
          <w:szCs w:val="32"/>
          <w:lang w:val="en-US" w:eastAsia="zh-CN"/>
        </w:rPr>
        <w:t>分，得分率</w:t>
      </w:r>
      <w:r>
        <w:rPr>
          <w:rFonts w:hint="eastAsia"/>
          <w:sz w:val="32"/>
          <w:szCs w:val="32"/>
          <w:lang w:val="en-US" w:eastAsia="zh-CN"/>
        </w:rPr>
        <w:t>96.73</w:t>
      </w:r>
      <w:r>
        <w:rPr>
          <w:rFonts w:hint="eastAsia" w:ascii="仿宋_GB2312" w:eastAsia="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①数量指标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数量指标下设5个三级指标，指标分值13.4分，自评得分13.4分，得分率为100%。</w:t>
      </w:r>
    </w:p>
    <w:p>
      <w:pPr>
        <w:pStyle w:val="1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采购装备数量：</w:t>
      </w:r>
      <w:r>
        <w:rPr>
          <w:rFonts w:hint="eastAsia" w:ascii="仿宋_GB2312" w:hAnsi="仿宋_GB2312" w:eastAsia="仿宋_GB2312" w:cstheme="minorBidi"/>
          <w:kern w:val="2"/>
          <w:sz w:val="32"/>
          <w:szCs w:val="32"/>
          <w:lang w:val="en-US" w:eastAsia="zh-CN" w:bidi="ar-SA"/>
        </w:rPr>
        <w:t>我院采购装备10套，达到预定预算指标，该指标分值2.66分，自评得分为2.66分，得分率为100%。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theme="minorBidi"/>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结案率（%）：</w:t>
      </w:r>
      <w:r>
        <w:rPr>
          <w:rFonts w:hint="eastAsia" w:ascii="仿宋_GB2312" w:eastAsia="仿宋_GB2312"/>
          <w:sz w:val="32"/>
          <w:szCs w:val="32"/>
          <w:lang w:val="en-US" w:eastAsia="zh-CN"/>
        </w:rPr>
        <w:t>我院2023年</w:t>
      </w:r>
      <w:r>
        <w:rPr>
          <w:rFonts w:hint="default" w:ascii="仿宋_GB2312" w:eastAsia="仿宋_GB2312"/>
          <w:sz w:val="32"/>
          <w:szCs w:val="32"/>
          <w:lang w:val="en-US" w:eastAsia="zh-CN"/>
        </w:rPr>
        <w:t>受理</w:t>
      </w:r>
      <w:r>
        <w:rPr>
          <w:rFonts w:hint="eastAsia"/>
          <w:sz w:val="32"/>
          <w:szCs w:val="32"/>
          <w:lang w:val="en-US" w:eastAsia="zh-CN"/>
        </w:rPr>
        <w:t>案件中</w:t>
      </w:r>
      <w:r>
        <w:rPr>
          <w:rFonts w:hint="eastAsia" w:ascii="仿宋_GB2312" w:eastAsia="仿宋_GB2312"/>
          <w:sz w:val="32"/>
          <w:szCs w:val="32"/>
          <w:lang w:val="en-US" w:eastAsia="zh-CN"/>
        </w:rPr>
        <w:t>，结案率达到95.96%。该指标分值2.76分，自评得分为2.76分，得分率为100%。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维修维护项目数：</w:t>
      </w:r>
      <w:r>
        <w:rPr>
          <w:rFonts w:hint="eastAsia" w:ascii="仿宋_GB2312" w:eastAsia="仿宋_GB2312"/>
          <w:sz w:val="32"/>
          <w:szCs w:val="32"/>
          <w:lang w:val="en-US" w:eastAsia="zh-CN"/>
        </w:rPr>
        <w:t>我院定期维修维护相关软、硬件设施，突发故障不定期及时维修，维修项目达到6次。该指标分值2.66分，自评得分为2.66分，得分率为100%。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物业管理面积</w:t>
      </w:r>
      <w:r>
        <w:rPr>
          <w:rFonts w:hint="eastAsia" w:ascii="方正仿宋_GB2312" w:hAnsi="方正仿宋_GB2312" w:eastAsia="方正仿宋_GB2312" w:cs="方正仿宋_GB2312"/>
          <w:b/>
          <w:bCs/>
          <w:sz w:val="32"/>
          <w:szCs w:val="32"/>
          <w:lang w:val="en-US" w:eastAsia="zh-CN"/>
        </w:rPr>
        <w:t>：</w:t>
      </w:r>
      <w:r>
        <w:rPr>
          <w:rFonts w:hint="eastAsia" w:ascii="仿宋_GB2312" w:eastAsia="仿宋_GB2312"/>
          <w:sz w:val="32"/>
          <w:szCs w:val="32"/>
          <w:lang w:val="en-US" w:eastAsia="zh-CN"/>
        </w:rPr>
        <w:t>我院所辖面积</w:t>
      </w:r>
      <w:r>
        <w:rPr>
          <w:rFonts w:hint="eastAsia"/>
          <w:sz w:val="32"/>
          <w:szCs w:val="32"/>
          <w:lang w:val="en-US" w:eastAsia="zh-CN"/>
        </w:rPr>
        <w:t>14320</w:t>
      </w:r>
      <w:r>
        <w:rPr>
          <w:rFonts w:hint="eastAsia" w:ascii="仿宋_GB2312" w:eastAsia="仿宋_GB2312"/>
          <w:sz w:val="32"/>
          <w:szCs w:val="32"/>
          <w:lang w:val="en-US" w:eastAsia="zh-CN"/>
        </w:rPr>
        <w:t>平方米，物业管理全覆盖。该指标分值2.66分，自评得分为2.66分，得分率为100%。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信息化运维服务完成率</w:t>
      </w:r>
      <w:r>
        <w:rPr>
          <w:rFonts w:hint="eastAsia" w:ascii="方正仿宋_GB2312" w:hAnsi="方正仿宋_GB2312" w:eastAsia="方正仿宋_GB2312" w:cs="方正仿宋_GB2312"/>
          <w:b/>
          <w:bCs/>
          <w:sz w:val="32"/>
          <w:szCs w:val="32"/>
          <w:lang w:val="en-US" w:eastAsia="zh-CN"/>
        </w:rPr>
        <w:t>：</w:t>
      </w:r>
      <w:r>
        <w:rPr>
          <w:rFonts w:hint="eastAsia" w:ascii="仿宋_GB2312" w:eastAsia="仿宋_GB2312"/>
          <w:sz w:val="32"/>
          <w:szCs w:val="32"/>
          <w:lang w:val="en-US" w:eastAsia="zh-CN"/>
        </w:rPr>
        <w:t>为了保障信息化系统的正常运转，我院及时维修、保养、维护信息化设施，信息化运维服务完成率达到100%。该指标分值2.66分，自评得分为2.66分，得分率为100%。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②</w:t>
      </w:r>
      <w:r>
        <w:rPr>
          <w:rFonts w:hint="eastAsia" w:ascii="仿宋_GB2312" w:hAnsi="仿宋_GB2312" w:eastAsia="仿宋_GB2312" w:cs="仿宋_GB2312"/>
          <w:b/>
          <w:bCs/>
          <w:sz w:val="32"/>
          <w:szCs w:val="32"/>
        </w:rPr>
        <w:t>质量指标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质量指标下设5个三级指标，指标分值13.3分，自评得分11.99分，得分率为</w:t>
      </w:r>
      <w:r>
        <w:rPr>
          <w:rFonts w:hint="eastAsia"/>
          <w:sz w:val="32"/>
          <w:szCs w:val="32"/>
          <w:lang w:val="en-US" w:eastAsia="zh-CN"/>
        </w:rPr>
        <w:t>90.15</w:t>
      </w:r>
      <w:r>
        <w:rPr>
          <w:rFonts w:hint="eastAsia" w:ascii="仿宋_GB2312" w:eastAsia="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购置装备验收合格率</w:t>
      </w:r>
      <w:r>
        <w:rPr>
          <w:rFonts w:hint="eastAsia" w:ascii="方正仿宋_GB2312" w:hAnsi="方正仿宋_GB2312" w:eastAsia="方正仿宋_GB2312" w:cs="方正仿宋_GB2312"/>
          <w:b/>
          <w:bCs/>
          <w:sz w:val="32"/>
          <w:szCs w:val="32"/>
          <w:lang w:val="en-US" w:eastAsia="zh-CN"/>
        </w:rPr>
        <w:t>：</w:t>
      </w:r>
      <w:r>
        <w:rPr>
          <w:rFonts w:hint="eastAsia" w:ascii="仿宋_GB2312" w:eastAsia="仿宋_GB2312"/>
          <w:sz w:val="32"/>
          <w:szCs w:val="32"/>
          <w:lang w:val="en-US" w:eastAsia="zh-CN"/>
        </w:rPr>
        <w:t>我院购置的装备通过严格的验收程序，所购装备均验收合格。该指标分值2.66分，自评得分为2.66分，得分率为100%。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default"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维修维护项目验收合格率</w:t>
      </w:r>
      <w:r>
        <w:rPr>
          <w:rFonts w:hint="eastAsia" w:ascii="方正仿宋_GB2312" w:hAnsi="方正仿宋_GB2312" w:eastAsia="方正仿宋_GB2312" w:cs="方正仿宋_GB2312"/>
          <w:b/>
          <w:bCs/>
          <w:sz w:val="32"/>
          <w:szCs w:val="32"/>
          <w:lang w:val="en-US" w:eastAsia="zh-CN"/>
        </w:rPr>
        <w:t>：</w:t>
      </w:r>
      <w:r>
        <w:rPr>
          <w:rFonts w:hint="eastAsia" w:ascii="仿宋_GB2312" w:eastAsia="仿宋_GB2312"/>
          <w:sz w:val="32"/>
          <w:szCs w:val="32"/>
          <w:lang w:val="en-US" w:eastAsia="zh-CN"/>
        </w:rPr>
        <w:t>我院软、硬件设施定期维护，不定期维</w:t>
      </w:r>
      <w:r>
        <w:rPr>
          <w:rFonts w:hint="eastAsia"/>
          <w:sz w:val="32"/>
          <w:szCs w:val="32"/>
          <w:lang w:val="en-US" w:eastAsia="zh-CN"/>
        </w:rPr>
        <w:t>维修</w:t>
      </w:r>
      <w:r>
        <w:rPr>
          <w:rFonts w:hint="eastAsia" w:ascii="仿宋_GB2312" w:eastAsia="仿宋_GB2312"/>
          <w:sz w:val="32"/>
          <w:szCs w:val="32"/>
          <w:lang w:val="en-US" w:eastAsia="zh-CN"/>
        </w:rPr>
        <w:t>，所有维修维护通过验收，验收合格率为100%。该指标分值2.66分，自评得分为2.66分，得分率为100%。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default" w:ascii="仿宋_GB2312" w:hAnsi="仿宋_GB2312" w:eastAsia="仿宋_GB2312" w:cs="仿宋_GB2312"/>
          <w:b/>
          <w:bCs/>
          <w:sz w:val="32"/>
          <w:szCs w:val="32"/>
          <w:lang w:val="en-US" w:eastAsia="zh-CN"/>
        </w:rPr>
        <w:t>物业管理合格率</w:t>
      </w:r>
      <w:r>
        <w:rPr>
          <w:rFonts w:hint="eastAsia" w:ascii="方正仿宋_GB2312" w:hAnsi="方正仿宋_GB2312" w:eastAsia="方正仿宋_GB2312" w:cs="方正仿宋_GB2312"/>
          <w:b/>
          <w:bCs/>
          <w:sz w:val="32"/>
          <w:szCs w:val="32"/>
          <w:lang w:val="en-US" w:eastAsia="zh-CN"/>
        </w:rPr>
        <w:t>：</w:t>
      </w:r>
      <w:r>
        <w:rPr>
          <w:rFonts w:hint="eastAsia" w:ascii="仿宋_GB2312" w:eastAsia="仿宋_GB2312"/>
          <w:sz w:val="32"/>
          <w:szCs w:val="32"/>
          <w:lang w:val="en-US" w:eastAsia="zh-CN"/>
        </w:rPr>
        <w:t>我院物业管理服务符合相关的规定，物业管理合格率达到100%，该指标分值2.66分，自评得分为2.66分，得分率为100%。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信息化运维服务验收合格率</w:t>
      </w:r>
      <w:r>
        <w:rPr>
          <w:rFonts w:hint="eastAsia" w:ascii="方正仿宋_GB2312" w:hAnsi="方正仿宋_GB2312" w:eastAsia="方正仿宋_GB2312" w:cs="方正仿宋_GB2312"/>
          <w:b/>
          <w:bCs/>
          <w:sz w:val="32"/>
          <w:szCs w:val="32"/>
          <w:lang w:val="en-US" w:eastAsia="zh-CN"/>
        </w:rPr>
        <w:t>：</w:t>
      </w:r>
      <w:r>
        <w:rPr>
          <w:rFonts w:hint="eastAsia" w:ascii="仿宋_GB2312" w:eastAsia="仿宋_GB2312"/>
          <w:sz w:val="32"/>
          <w:szCs w:val="32"/>
          <w:lang w:val="en-US" w:eastAsia="zh-CN"/>
        </w:rPr>
        <w:t>我院信息化运维服务合格率为100%，达到年度目标值。该指标分值2.66分，自评得分为2.66分，得分率为100%。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一审服判息诉率：</w:t>
      </w:r>
      <w:r>
        <w:rPr>
          <w:rFonts w:hint="eastAsia" w:ascii="仿宋_GB2312" w:eastAsia="仿宋_GB2312"/>
          <w:sz w:val="32"/>
          <w:szCs w:val="32"/>
          <w:lang w:val="en-US" w:eastAsia="zh-CN"/>
        </w:rPr>
        <w:t>我院一审服判息诉率达到45.58%。该指标分值2.66分，自评得分为1.35分，得分率为</w:t>
      </w:r>
      <w:r>
        <w:rPr>
          <w:rFonts w:hint="eastAsia"/>
          <w:sz w:val="32"/>
          <w:szCs w:val="32"/>
          <w:lang w:val="en-US" w:eastAsia="zh-CN"/>
        </w:rPr>
        <w:t>50.75</w:t>
      </w:r>
      <w:r>
        <w:rPr>
          <w:rFonts w:hint="eastAsia" w:ascii="仿宋_GB2312" w:eastAsia="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③时效指标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时效指标下设5个三级指标，指标分值13.3分，自评得分13.3分，得分率为100%。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办案经费支付及时率：</w:t>
      </w:r>
      <w:r>
        <w:rPr>
          <w:rFonts w:hint="eastAsia" w:ascii="仿宋_GB2312" w:eastAsia="仿宋_GB2312"/>
          <w:sz w:val="32"/>
          <w:szCs w:val="32"/>
          <w:lang w:val="en-US" w:eastAsia="zh-CN"/>
        </w:rPr>
        <w:t>为了保障办案的及时性、准确性，我院各项办案经费及时支付，达到年度指标值。该指标分值2.66分，自评得分为2.66分，得分率为100%。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法定审限内结案率：</w:t>
      </w:r>
      <w:r>
        <w:rPr>
          <w:rFonts w:hint="eastAsia" w:ascii="仿宋_GB2312" w:eastAsia="仿宋_GB2312"/>
          <w:sz w:val="32"/>
          <w:szCs w:val="32"/>
          <w:lang w:val="en-US" w:eastAsia="zh-CN"/>
        </w:rPr>
        <w:t>我院2023年受理案件法定审限内结案率100%。该指标分值2.66分，自评得分为2.66分，得分率为100%。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维修修护及时性：</w:t>
      </w:r>
      <w:r>
        <w:rPr>
          <w:rFonts w:hint="eastAsia" w:ascii="仿宋_GB2312" w:eastAsia="仿宋_GB2312"/>
          <w:sz w:val="32"/>
          <w:szCs w:val="32"/>
          <w:lang w:val="en-US" w:eastAsia="zh-CN"/>
        </w:rPr>
        <w:t>为了保证法院办案的效率、效果，我院及时维修修护软、硬件设施。该指标分值2.66分，自评得分为2.66分，得分率为100%。</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信息化运维工作及时性：</w:t>
      </w:r>
      <w:r>
        <w:rPr>
          <w:rFonts w:hint="eastAsia" w:ascii="仿宋_GB2312" w:eastAsia="仿宋_GB2312"/>
          <w:sz w:val="32"/>
          <w:szCs w:val="32"/>
          <w:lang w:val="en-US" w:eastAsia="zh-CN"/>
        </w:rPr>
        <w:t>为了保证信息化系统的正常使用，运维工作及时开展，通过升级维护提高信息化系统的利用程度。该指标分值2.66分，自评得分为2.66分，得分率为100%。</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heme="minorBidi"/>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装备购置及时性：</w:t>
      </w:r>
      <w:r>
        <w:rPr>
          <w:rFonts w:hint="eastAsia" w:ascii="仿宋_GB2312" w:hAnsi="仿宋_GB2312" w:eastAsia="仿宋_GB2312" w:cstheme="minorBidi"/>
          <w:color w:val="auto"/>
          <w:kern w:val="2"/>
          <w:sz w:val="32"/>
          <w:szCs w:val="32"/>
          <w:lang w:val="en-US" w:eastAsia="zh-CN" w:bidi="ar-SA"/>
        </w:rPr>
        <w:t>为了保障法院工作的正常运转，提高法院的办案能力，我院及时购置补充了办案装备。该指标分值2.66分，自评得分为2.66分，得分率为100%。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b/>
          <w:bCs/>
          <w:sz w:val="32"/>
          <w:szCs w:val="32"/>
        </w:rPr>
      </w:pPr>
      <w:r>
        <w:rPr>
          <w:rFonts w:hint="eastAsia"/>
          <w:b/>
          <w:bCs/>
          <w:sz w:val="32"/>
          <w:szCs w:val="32"/>
        </w:rPr>
        <w:t>（</w:t>
      </w:r>
      <w:r>
        <w:rPr>
          <w:rFonts w:hint="eastAsia"/>
          <w:b/>
          <w:bCs/>
          <w:sz w:val="32"/>
          <w:szCs w:val="32"/>
          <w:lang w:val="en-US" w:eastAsia="zh-CN"/>
        </w:rPr>
        <w:t>3</w:t>
      </w:r>
      <w:r>
        <w:rPr>
          <w:rFonts w:hint="eastAsia"/>
          <w:b/>
          <w:bCs/>
          <w:sz w:val="32"/>
          <w:szCs w:val="32"/>
        </w:rPr>
        <w:t>）效益指标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本项目效益指标主要考虑经济效益、社会效益和生态</w:t>
      </w:r>
      <w:r>
        <w:rPr>
          <w:rFonts w:hint="eastAsia"/>
          <w:sz w:val="32"/>
          <w:szCs w:val="32"/>
          <w:lang w:val="en-US" w:eastAsia="zh-CN"/>
        </w:rPr>
        <w:t>效益</w:t>
      </w:r>
      <w:r>
        <w:rPr>
          <w:rFonts w:hint="eastAsia" w:ascii="仿宋_GB2312" w:eastAsia="仿宋_GB2312"/>
          <w:sz w:val="32"/>
          <w:szCs w:val="32"/>
          <w:lang w:val="en-US" w:eastAsia="zh-CN"/>
        </w:rPr>
        <w:t>指标。总分值20分，得分20分，得分率100%。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①经济效益指标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经济效益指标下设1个三级指标，指标分值5分，自评得分5分，得分率100%。</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挽回经济损失效果：</w:t>
      </w:r>
      <w:r>
        <w:rPr>
          <w:rFonts w:hint="eastAsia" w:ascii="仿宋_GB2312" w:hAnsi="仿宋_GB2312" w:eastAsia="仿宋_GB2312" w:cstheme="minorBidi"/>
          <w:kern w:val="2"/>
          <w:sz w:val="32"/>
          <w:szCs w:val="32"/>
          <w:lang w:val="en-US" w:eastAsia="zh-CN" w:bidi="ar-SA"/>
        </w:rPr>
        <w:t>我院</w:t>
      </w:r>
      <w:r>
        <w:rPr>
          <w:rFonts w:hint="default" w:ascii="仿宋_GB2312" w:hAnsi="仿宋_GB2312" w:eastAsia="仿宋_GB2312" w:cstheme="minorBidi"/>
          <w:kern w:val="2"/>
          <w:sz w:val="32"/>
          <w:szCs w:val="32"/>
          <w:lang w:val="en-US" w:eastAsia="zh-CN" w:bidi="ar-SA"/>
        </w:rPr>
        <w:t>规范民间借贷行为</w:t>
      </w:r>
      <w:r>
        <w:rPr>
          <w:rFonts w:hint="eastAsia" w:ascii="仿宋_GB2312" w:hAnsi="仿宋_GB2312" w:eastAsia="仿宋_GB2312" w:cstheme="minorBidi"/>
          <w:kern w:val="2"/>
          <w:sz w:val="32"/>
          <w:szCs w:val="32"/>
          <w:lang w:val="en-US" w:eastAsia="zh-CN" w:bidi="ar-SA"/>
        </w:rPr>
        <w:t>，</w:t>
      </w:r>
      <w:r>
        <w:rPr>
          <w:rFonts w:hint="default" w:ascii="仿宋_GB2312" w:hAnsi="仿宋_GB2312" w:eastAsia="仿宋_GB2312" w:cstheme="minorBidi"/>
          <w:kern w:val="2"/>
          <w:sz w:val="32"/>
          <w:szCs w:val="32"/>
          <w:lang w:val="en-US" w:eastAsia="zh-CN" w:bidi="ar-SA"/>
        </w:rPr>
        <w:t>审结民间借贷纠纷案件</w:t>
      </w:r>
      <w:r>
        <w:rPr>
          <w:rFonts w:hint="eastAsia" w:ascii="仿宋_GB2312" w:hAnsi="仿宋_GB2312" w:eastAsia="仿宋_GB2312" w:cstheme="minorBidi"/>
          <w:kern w:val="2"/>
          <w:sz w:val="32"/>
          <w:szCs w:val="32"/>
          <w:lang w:val="en-US" w:eastAsia="zh-CN" w:bidi="ar-SA"/>
        </w:rPr>
        <w:t>988</w:t>
      </w:r>
      <w:r>
        <w:rPr>
          <w:rFonts w:hint="default" w:ascii="仿宋_GB2312" w:hAnsi="仿宋_GB2312" w:eastAsia="仿宋_GB2312" w:cstheme="minorBidi"/>
          <w:kern w:val="2"/>
          <w:sz w:val="32"/>
          <w:szCs w:val="32"/>
          <w:lang w:val="en-US" w:eastAsia="zh-CN" w:bidi="ar-SA"/>
        </w:rPr>
        <w:t>件</w:t>
      </w:r>
      <w:r>
        <w:rPr>
          <w:rFonts w:hint="eastAsia" w:ascii="仿宋_GB2312" w:hAnsi="仿宋_GB2312" w:eastAsia="仿宋_GB2312" w:cstheme="minorBidi"/>
          <w:kern w:val="2"/>
          <w:sz w:val="32"/>
          <w:szCs w:val="32"/>
          <w:lang w:val="en-US" w:eastAsia="zh-CN" w:bidi="ar-SA"/>
        </w:rPr>
        <w:t>，依法保护老百姓的“钱袋子”；依法打击多发易发型犯罪行为，</w:t>
      </w:r>
      <w:r>
        <w:rPr>
          <w:rFonts w:hint="default" w:ascii="仿宋_GB2312" w:hAnsi="仿宋_GB2312" w:eastAsia="仿宋_GB2312" w:cstheme="minorBidi"/>
          <w:kern w:val="2"/>
          <w:sz w:val="32"/>
          <w:szCs w:val="32"/>
          <w:lang w:val="en-US" w:eastAsia="zh-CN" w:bidi="ar-SA"/>
        </w:rPr>
        <w:t>审结</w:t>
      </w:r>
      <w:r>
        <w:rPr>
          <w:rFonts w:hint="eastAsia" w:ascii="仿宋_GB2312" w:hAnsi="仿宋_GB2312" w:eastAsia="仿宋_GB2312" w:cstheme="minorBidi"/>
          <w:kern w:val="2"/>
          <w:sz w:val="32"/>
          <w:szCs w:val="32"/>
          <w:lang w:val="en-US" w:eastAsia="zh-CN" w:bidi="ar-SA"/>
        </w:rPr>
        <w:t>危险驾驶罪、盗窃罪、</w:t>
      </w:r>
      <w:r>
        <w:rPr>
          <w:rFonts w:hint="default" w:ascii="仿宋_GB2312" w:hAnsi="仿宋_GB2312" w:eastAsia="仿宋_GB2312" w:cstheme="minorBidi"/>
          <w:kern w:val="2"/>
          <w:sz w:val="32"/>
          <w:szCs w:val="32"/>
          <w:lang w:val="en-US" w:eastAsia="zh-CN" w:bidi="ar-SA"/>
        </w:rPr>
        <w:t>诈骗罪、帮信罪案件</w:t>
      </w:r>
      <w:r>
        <w:rPr>
          <w:rFonts w:hint="eastAsia" w:ascii="仿宋_GB2312" w:hAnsi="仿宋_GB2312" w:eastAsia="仿宋_GB2312" w:cstheme="minorBidi"/>
          <w:kern w:val="2"/>
          <w:sz w:val="32"/>
          <w:szCs w:val="32"/>
          <w:lang w:val="en-US" w:eastAsia="zh-CN" w:bidi="ar-SA"/>
        </w:rPr>
        <w:t>235</w:t>
      </w:r>
      <w:r>
        <w:rPr>
          <w:rFonts w:hint="default" w:ascii="仿宋_GB2312" w:hAnsi="仿宋_GB2312" w:eastAsia="仿宋_GB2312" w:cstheme="minorBidi"/>
          <w:kern w:val="2"/>
          <w:sz w:val="32"/>
          <w:szCs w:val="32"/>
          <w:lang w:val="en-US" w:eastAsia="zh-CN" w:bidi="ar-SA"/>
        </w:rPr>
        <w:t>件</w:t>
      </w:r>
      <w:r>
        <w:rPr>
          <w:rFonts w:hint="eastAsia" w:ascii="仿宋_GB2312" w:hAnsi="仿宋_GB2312" w:eastAsia="仿宋_GB2312" w:cstheme="minorBidi"/>
          <w:kern w:val="2"/>
          <w:sz w:val="32"/>
          <w:szCs w:val="32"/>
          <w:lang w:val="en-US" w:eastAsia="zh-CN" w:bidi="ar-SA"/>
        </w:rPr>
        <w:t>280</w:t>
      </w:r>
      <w:r>
        <w:rPr>
          <w:rFonts w:hint="default" w:ascii="仿宋_GB2312" w:hAnsi="仿宋_GB2312" w:eastAsia="仿宋_GB2312" w:cstheme="minorBidi"/>
          <w:kern w:val="2"/>
          <w:sz w:val="32"/>
          <w:szCs w:val="32"/>
          <w:lang w:val="en-US" w:eastAsia="zh-CN" w:bidi="ar-SA"/>
        </w:rPr>
        <w:t>人，</w:t>
      </w:r>
      <w:r>
        <w:rPr>
          <w:rFonts w:hint="eastAsia" w:ascii="仿宋_GB2312" w:hAnsi="仿宋_GB2312" w:eastAsia="仿宋_GB2312" w:cstheme="minorBidi"/>
          <w:kern w:val="2"/>
          <w:sz w:val="32"/>
          <w:szCs w:val="32"/>
          <w:lang w:val="en-US" w:eastAsia="zh-CN" w:bidi="ar-SA"/>
        </w:rPr>
        <w:t>重点打击电信网络诈骗、养老诈骗等犯罪，</w:t>
      </w:r>
      <w:r>
        <w:rPr>
          <w:rFonts w:hint="default" w:ascii="仿宋_GB2312" w:hAnsi="仿宋_GB2312" w:eastAsia="仿宋_GB2312" w:cstheme="minorBidi"/>
          <w:kern w:val="2"/>
          <w:sz w:val="32"/>
          <w:szCs w:val="32"/>
          <w:lang w:val="en-US" w:eastAsia="zh-CN" w:bidi="ar-SA"/>
        </w:rPr>
        <w:t>司法守护人民群众美好生活</w:t>
      </w:r>
      <w:r>
        <w:rPr>
          <w:rFonts w:hint="eastAsia" w:ascii="仿宋_GB2312" w:hAnsi="仿宋_GB2312" w:eastAsia="仿宋_GB2312" w:cstheme="minorBidi"/>
          <w:kern w:val="2"/>
          <w:sz w:val="32"/>
          <w:szCs w:val="32"/>
          <w:lang w:val="en-US" w:eastAsia="zh-CN" w:bidi="ar-SA"/>
        </w:rPr>
        <w:t>。该指标分值5分，自评得分为5分，得分率为100%。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②社会效益指标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社会效益指标下设2个三级指标，指标分值10分，自评得分10分，得分率为100%。</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维护社会稳定：</w:t>
      </w:r>
      <w:r>
        <w:rPr>
          <w:rFonts w:hint="eastAsia" w:ascii="仿宋_GB2312" w:hAnsi="仿宋_GB2312" w:eastAsia="仿宋_GB2312" w:cstheme="minorBidi"/>
          <w:kern w:val="2"/>
          <w:sz w:val="32"/>
          <w:szCs w:val="32"/>
          <w:lang w:val="en-US" w:eastAsia="zh-CN" w:bidi="ar-SA"/>
        </w:rPr>
        <w:t>我院通过将相关的法律法规落实到具体的案例中，用实际行动促进社会公平正义，守护人民安居乐业，维护了社会的稳定。该指标分值5分，自评得分为5分，得分率为100%。</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有效保障审判服务：</w:t>
      </w:r>
      <w:r>
        <w:rPr>
          <w:rFonts w:hint="eastAsia" w:ascii="仿宋_GB2312" w:eastAsia="仿宋_GB2312"/>
          <w:sz w:val="32"/>
          <w:szCs w:val="32"/>
          <w:lang w:val="en-US" w:eastAsia="zh-CN"/>
        </w:rPr>
        <w:t>我院通过业务费的支付，保障了法院的正常运行，有效保障了审判服务。该指标分值5分，自评得分为5分，得分率为100%。</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③</w:t>
      </w:r>
      <w:r>
        <w:rPr>
          <w:rFonts w:hint="eastAsia" w:cs="仿宋_GB2312"/>
          <w:b/>
          <w:bCs/>
          <w:sz w:val="32"/>
          <w:szCs w:val="32"/>
          <w:lang w:val="en-US" w:eastAsia="zh-CN"/>
        </w:rPr>
        <w:t>生态</w:t>
      </w:r>
      <w:r>
        <w:rPr>
          <w:rFonts w:hint="eastAsia" w:ascii="仿宋_GB2312" w:hAnsi="仿宋_GB2312" w:eastAsia="仿宋_GB2312" w:cs="仿宋_GB2312"/>
          <w:b/>
          <w:bCs/>
          <w:sz w:val="32"/>
          <w:szCs w:val="32"/>
          <w:lang w:val="en-US" w:eastAsia="zh-CN"/>
        </w:rPr>
        <w:t>效益指标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打击生态犯罪，维护生态秩序：</w:t>
      </w:r>
      <w:r>
        <w:rPr>
          <w:rFonts w:hint="eastAsia" w:ascii="仿宋_GB2312" w:eastAsia="仿宋_GB2312"/>
          <w:sz w:val="32"/>
          <w:szCs w:val="32"/>
          <w:lang w:val="en-US" w:eastAsia="zh-CN"/>
        </w:rPr>
        <w:t>严厉打击非法收集、利用、处置危险废物，守护绿水青山。该指标分值5分，自评得分为5分，得分率为100%。</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服务对象满意度主要为当事人满意度和干警满意度，该指标分值合计10分，自评得分10分，得分率为100%。</w:t>
      </w:r>
    </w:p>
    <w:p>
      <w:pPr>
        <w:pStyle w:val="7"/>
        <w:rPr>
          <w:rFonts w:hint="eastAsia" w:ascii="仿宋_GB2312" w:eastAsia="仿宋_GB2312"/>
          <w:sz w:val="32"/>
          <w:szCs w:val="32"/>
          <w:lang w:val="en-US" w:eastAsia="zh-CN"/>
        </w:rPr>
      </w:pPr>
      <w:r>
        <w:rPr>
          <w:rFonts w:hint="eastAsia" w:ascii="仿宋_GB2312" w:eastAsia="仿宋_GB2312"/>
          <w:sz w:val="32"/>
          <w:szCs w:val="32"/>
          <w:lang w:val="en-US" w:eastAsia="zh-CN"/>
        </w:rPr>
        <w:t>通过该项目的实施，提升了审判执行软硬件设施，为审判工作提供了保障，确保审判质量高效运行，获得了</w:t>
      </w:r>
      <w:r>
        <w:rPr>
          <w:rFonts w:hint="eastAsia"/>
          <w:lang w:val="en-US" w:eastAsia="zh-CN"/>
        </w:rPr>
        <w:t>当事人及法院干警</w:t>
      </w:r>
      <w:r>
        <w:rPr>
          <w:rFonts w:hint="eastAsia" w:ascii="仿宋_GB2312" w:eastAsia="仿宋_GB2312"/>
          <w:sz w:val="32"/>
          <w:szCs w:val="32"/>
          <w:lang w:val="en-US" w:eastAsia="zh-CN"/>
        </w:rPr>
        <w:t>的一致好评，满意指标均达到目标值。该指标分值合计10分，自评得分10分，得分率为100%。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sz w:val="32"/>
          <w:szCs w:val="32"/>
        </w:rPr>
      </w:pPr>
      <w:r>
        <w:rPr>
          <w:rFonts w:hint="eastAsia"/>
          <w:b/>
          <w:bCs/>
          <w:sz w:val="32"/>
          <w:szCs w:val="32"/>
          <w:lang w:val="en-US" w:eastAsia="zh-CN"/>
        </w:rPr>
        <w:t>4.</w:t>
      </w:r>
      <w:r>
        <w:rPr>
          <w:rFonts w:hint="eastAsia"/>
          <w:b/>
          <w:bCs/>
          <w:sz w:val="32"/>
          <w:szCs w:val="32"/>
        </w:rPr>
        <w:t>偏离绩效目标的原因及下一步改进措施</w:t>
      </w:r>
      <w:bookmarkEnd w:id="101"/>
      <w:bookmarkEnd w:id="102"/>
      <w:bookmarkEnd w:id="103"/>
      <w:bookmarkEnd w:id="104"/>
      <w:bookmarkEnd w:id="105"/>
      <w:bookmarkStart w:id="108" w:name="_Toc18312"/>
      <w:bookmarkStart w:id="109" w:name="_Toc11458"/>
      <w:bookmarkStart w:id="110" w:name="_Toc26665"/>
      <w:bookmarkStart w:id="111" w:name="_Toc6252"/>
      <w:bookmarkStart w:id="112" w:name="_Toc32543"/>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 w:val="0"/>
          <w:bCs w:val="0"/>
          <w:kern w:val="2"/>
          <w:sz w:val="32"/>
          <w:szCs w:val="32"/>
          <w:lang w:val="en-US" w:eastAsia="zh-CN" w:bidi="ar-SA"/>
        </w:rPr>
      </w:pPr>
      <w:r>
        <w:rPr>
          <w:rFonts w:hint="eastAsia" w:ascii="仿宋_GB2312" w:eastAsia="仿宋_GB2312"/>
          <w:sz w:val="32"/>
          <w:szCs w:val="32"/>
          <w:lang w:val="en-US" w:eastAsia="zh-CN"/>
        </w:rPr>
        <w:t>一</w:t>
      </w:r>
      <w:r>
        <w:rPr>
          <w:rFonts w:hint="eastAsia" w:ascii="仿宋_GB2312" w:hAnsi="仿宋_GB2312" w:eastAsia="仿宋_GB2312" w:cstheme="minorBidi"/>
          <w:b w:val="0"/>
          <w:bCs w:val="0"/>
          <w:kern w:val="2"/>
          <w:sz w:val="32"/>
          <w:szCs w:val="32"/>
          <w:lang w:val="en-US" w:eastAsia="zh-CN" w:bidi="ar-SA"/>
        </w:rPr>
        <w:t>审服判息诉率指标分值2.66分，指标得分1.35分</w:t>
      </w:r>
      <w:r>
        <w:rPr>
          <w:rFonts w:hint="eastAsia" w:cstheme="minorBidi"/>
          <w:b w:val="0"/>
          <w:bCs w:val="0"/>
          <w:kern w:val="2"/>
          <w:sz w:val="32"/>
          <w:szCs w:val="32"/>
          <w:lang w:val="en-US" w:eastAsia="zh-CN" w:bidi="ar-SA"/>
        </w:rPr>
        <w:t>。</w:t>
      </w:r>
      <w:r>
        <w:rPr>
          <w:rFonts w:hint="eastAsia" w:ascii="仿宋_GB2312" w:hAnsi="仿宋_GB2312" w:eastAsia="仿宋_GB2312" w:cstheme="minorBidi"/>
          <w:b w:val="0"/>
          <w:bCs w:val="0"/>
          <w:kern w:val="2"/>
          <w:sz w:val="32"/>
          <w:szCs w:val="32"/>
          <w:lang w:val="en-US" w:eastAsia="zh-CN" w:bidi="ar-SA"/>
        </w:rPr>
        <w:t>偏差原因：年度指标值设置不合理。改进</w:t>
      </w:r>
      <w:r>
        <w:rPr>
          <w:rFonts w:hint="eastAsia" w:cstheme="minorBidi"/>
          <w:b w:val="0"/>
          <w:bCs w:val="0"/>
          <w:kern w:val="2"/>
          <w:sz w:val="32"/>
          <w:szCs w:val="32"/>
          <w:lang w:val="en-US" w:eastAsia="zh-CN" w:bidi="ar-SA"/>
        </w:rPr>
        <w:t>措</w:t>
      </w:r>
      <w:r>
        <w:rPr>
          <w:rFonts w:hint="eastAsia" w:ascii="仿宋_GB2312" w:hAnsi="仿宋_GB2312" w:eastAsia="仿宋_GB2312" w:cstheme="minorBidi"/>
          <w:b w:val="0"/>
          <w:bCs w:val="0"/>
          <w:kern w:val="2"/>
          <w:sz w:val="32"/>
          <w:szCs w:val="32"/>
          <w:lang w:val="en-US" w:eastAsia="zh-CN" w:bidi="ar-SA"/>
        </w:rPr>
        <w:t>施：下一年度将综合考虑各方面因素，科学、合理的设置年度目标值。</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rPr>
      </w:pPr>
      <w:bookmarkStart w:id="113" w:name="_Toc26257"/>
      <w:r>
        <w:rPr>
          <w:rFonts w:hint="eastAsia"/>
          <w:lang w:val="en-US" w:eastAsia="zh-CN"/>
        </w:rPr>
        <w:t>五、</w:t>
      </w:r>
      <w:r>
        <w:rPr>
          <w:rFonts w:hint="eastAsia"/>
        </w:rPr>
        <w:t>部门管理的省对市县转移支付绩效自评情况分析</w:t>
      </w:r>
      <w:bookmarkEnd w:id="108"/>
      <w:bookmarkEnd w:id="113"/>
      <w:r>
        <w:rPr>
          <w:rFonts w:hint="eastAsia"/>
        </w:rPr>
        <w:tab/>
      </w:r>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2023年，我院转移支付自评项目为1个，通过自评，结果为“优”，自评情况分析如下：</w:t>
      </w:r>
      <w:bookmarkStart w:id="114" w:name="_Toc40046039"/>
      <w:bookmarkStart w:id="115" w:name="_Toc22792"/>
      <w:bookmarkStart w:id="116" w:name="_Toc4248"/>
      <w:bookmarkStart w:id="117" w:name="_Toc16262"/>
      <w:bookmarkStart w:id="118" w:name="_Toc11976"/>
    </w:p>
    <w:bookmarkEnd w:id="114"/>
    <w:bookmarkEnd w:id="115"/>
    <w:bookmarkEnd w:id="116"/>
    <w:bookmarkEnd w:id="117"/>
    <w:bookmarkEnd w:id="118"/>
    <w:p>
      <w:pPr>
        <w:pStyle w:val="3"/>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sz w:val="32"/>
          <w:szCs w:val="32"/>
          <w:lang w:val="en-US" w:eastAsia="zh-CN"/>
        </w:rPr>
      </w:pPr>
      <w:bookmarkStart w:id="119" w:name="_Toc18239"/>
      <w:bookmarkStart w:id="120" w:name="_Toc12783"/>
      <w:r>
        <w:rPr>
          <w:rFonts w:hint="eastAsia"/>
          <w:sz w:val="32"/>
          <w:szCs w:val="32"/>
          <w:lang w:val="en-US" w:eastAsia="zh-CN"/>
        </w:rPr>
        <w:t>中央政法转移支付资金</w:t>
      </w:r>
      <w:bookmarkEnd w:id="119"/>
      <w:bookmarkEnd w:id="120"/>
    </w:p>
    <w:p>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eastAsia="仿宋_GB2312"/>
          <w:sz w:val="32"/>
          <w:szCs w:val="32"/>
          <w:lang w:val="en-US" w:eastAsia="zh-CN"/>
        </w:rPr>
      </w:pPr>
      <w:bookmarkStart w:id="121" w:name="_Toc10698"/>
      <w:bookmarkStart w:id="122" w:name="_Toc40046040"/>
      <w:r>
        <w:rPr>
          <w:rFonts w:hint="eastAsia" w:ascii="仿宋_GB2312" w:eastAsia="仿宋_GB2312"/>
          <w:sz w:val="32"/>
          <w:szCs w:val="32"/>
          <w:lang w:val="en-US" w:eastAsia="zh-CN"/>
        </w:rPr>
        <w:t>本次绩效自评综合评定2023年中央政法转移支付资金绩效得分为100分，绩效等级为“优”。项目支出绩效评价包括项目资金预算执行率、成本、产出、效益、满意度五个一级指标，下设7个二级指标和18个三级指标。项目资金预算执行率100%，一级指标得分情况详见下表：</w:t>
      </w:r>
      <w:bookmarkEnd w:id="121"/>
    </w:p>
    <w:tbl>
      <w:tblPr>
        <w:tblStyle w:val="22"/>
        <w:tblW w:w="4947"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05"/>
        <w:gridCol w:w="1790"/>
        <w:gridCol w:w="1790"/>
        <w:gridCol w:w="17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74" w:type="pct"/>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color w:val="000000"/>
                <w:kern w:val="0"/>
                <w:sz w:val="24"/>
                <w:szCs w:val="24"/>
                <w:highlight w:val="none"/>
                <w:shd w:val="clear" w:color="auto" w:fill="BDD6EE"/>
              </w:rPr>
              <w:t>一级指标</w:t>
            </w:r>
          </w:p>
        </w:tc>
        <w:tc>
          <w:tcPr>
            <w:tcW w:w="1008"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color w:val="000000"/>
                <w:kern w:val="0"/>
                <w:sz w:val="24"/>
                <w:szCs w:val="24"/>
                <w:highlight w:val="none"/>
                <w:shd w:val="clear" w:color="auto" w:fill="BDD6EE"/>
              </w:rPr>
              <w:t>分值</w:t>
            </w:r>
          </w:p>
        </w:tc>
        <w:tc>
          <w:tcPr>
            <w:tcW w:w="1008"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color w:val="000000"/>
                <w:kern w:val="0"/>
                <w:sz w:val="24"/>
                <w:szCs w:val="24"/>
                <w:highlight w:val="none"/>
                <w:shd w:val="clear" w:color="auto" w:fill="BDD6EE"/>
              </w:rPr>
              <w:t>自评得分</w:t>
            </w:r>
          </w:p>
        </w:tc>
        <w:tc>
          <w:tcPr>
            <w:tcW w:w="1008"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color w:val="000000"/>
                <w:kern w:val="0"/>
                <w:sz w:val="24"/>
                <w:szCs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74"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预算执行率</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74"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成本指标</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74"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产出</w:t>
            </w:r>
            <w:r>
              <w:rPr>
                <w:rFonts w:hint="eastAsia" w:ascii="宋体" w:hAnsi="宋体" w:eastAsia="宋体" w:cs="宋体"/>
                <w:color w:val="000000"/>
                <w:kern w:val="0"/>
                <w:sz w:val="24"/>
                <w:szCs w:val="24"/>
                <w:highlight w:val="none"/>
                <w:lang w:val="en-US" w:eastAsia="zh-CN"/>
              </w:rPr>
              <w:t>指标</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37.81</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94.53</w:t>
            </w:r>
            <w:r>
              <w:rPr>
                <w:rFonts w:hint="eastAsia" w:ascii="宋体" w:hAnsi="宋体" w:eastAsia="宋体" w:cs="宋体"/>
                <w:color w:val="000000"/>
                <w:kern w:val="0"/>
                <w:sz w:val="24"/>
                <w:szCs w:val="24"/>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74"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效益</w:t>
            </w:r>
            <w:r>
              <w:rPr>
                <w:rFonts w:hint="eastAsia" w:ascii="宋体" w:hAnsi="宋体" w:eastAsia="宋体" w:cs="宋体"/>
                <w:color w:val="000000"/>
                <w:kern w:val="0"/>
                <w:sz w:val="24"/>
                <w:szCs w:val="24"/>
                <w:highlight w:val="none"/>
                <w:lang w:val="en-US" w:eastAsia="zh-CN"/>
              </w:rPr>
              <w:t>指标</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17.38</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86.9</w:t>
            </w:r>
            <w:r>
              <w:rPr>
                <w:rFonts w:hint="eastAsia" w:ascii="宋体" w:hAnsi="宋体" w:eastAsia="宋体" w:cs="宋体"/>
                <w:color w:val="000000"/>
                <w:kern w:val="0"/>
                <w:sz w:val="24"/>
                <w:szCs w:val="24"/>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74" w:type="pct"/>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满意度</w:t>
            </w:r>
            <w:r>
              <w:rPr>
                <w:rFonts w:hint="eastAsia" w:ascii="宋体" w:hAnsi="宋体" w:eastAsia="宋体" w:cs="宋体"/>
                <w:color w:val="000000"/>
                <w:kern w:val="0"/>
                <w:sz w:val="24"/>
                <w:szCs w:val="24"/>
                <w:highlight w:val="none"/>
                <w:lang w:val="en-US" w:eastAsia="zh-CN"/>
              </w:rPr>
              <w:t>指标</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008"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74" w:type="pct"/>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4"/>
                <w:szCs w:val="24"/>
                <w:highlight w:val="none"/>
                <w:shd w:val="clear" w:color="auto" w:fill="BDD6EE"/>
              </w:rPr>
            </w:pPr>
            <w:r>
              <w:rPr>
                <w:rFonts w:hint="eastAsia" w:ascii="宋体" w:hAnsi="宋体" w:eastAsia="宋体" w:cs="宋体"/>
                <w:b/>
                <w:color w:val="000000"/>
                <w:kern w:val="0"/>
                <w:sz w:val="24"/>
                <w:szCs w:val="24"/>
                <w:highlight w:val="none"/>
                <w:shd w:val="clear" w:color="auto" w:fill="BDD6EE"/>
              </w:rPr>
              <w:t>合计</w:t>
            </w:r>
          </w:p>
        </w:tc>
        <w:tc>
          <w:tcPr>
            <w:tcW w:w="1008"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100</w:t>
            </w:r>
          </w:p>
        </w:tc>
        <w:tc>
          <w:tcPr>
            <w:tcW w:w="1008"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95.19</w:t>
            </w:r>
          </w:p>
        </w:tc>
        <w:tc>
          <w:tcPr>
            <w:tcW w:w="1008" w:type="pct"/>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val="en-US" w:eastAsia="zh-CN"/>
              </w:rPr>
              <w:t>95.19</w:t>
            </w:r>
            <w:r>
              <w:rPr>
                <w:rFonts w:hint="eastAsia" w:ascii="宋体" w:hAnsi="宋体" w:eastAsia="宋体" w:cs="宋体"/>
                <w:b/>
                <w:color w:val="000000"/>
                <w:kern w:val="0"/>
                <w:sz w:val="24"/>
                <w:szCs w:val="24"/>
                <w:highlight w:val="none"/>
              </w:rPr>
              <w:t>%</w:t>
            </w:r>
          </w:p>
        </w:tc>
      </w:tr>
    </w:tbl>
    <w:p>
      <w:pPr>
        <w:pStyle w:val="4"/>
        <w:pageBreakBefore w:val="0"/>
        <w:kinsoku/>
        <w:wordWrap/>
        <w:overflowPunct/>
        <w:topLinePunct w:val="0"/>
        <w:autoSpaceDE/>
        <w:autoSpaceDN/>
        <w:bidi w:val="0"/>
        <w:adjustRightInd/>
        <w:snapToGrid/>
        <w:spacing w:line="560" w:lineRule="exact"/>
        <w:ind w:firstLine="643"/>
        <w:jc w:val="both"/>
        <w:textAlignment w:val="auto"/>
        <w:rPr>
          <w:rFonts w:hint="eastAsia"/>
          <w:sz w:val="32"/>
          <w:szCs w:val="32"/>
          <w:lang w:val="en-US" w:eastAsia="zh-CN"/>
        </w:rPr>
      </w:pPr>
      <w:r>
        <w:rPr>
          <w:rFonts w:hint="eastAsia"/>
          <w:sz w:val="32"/>
          <w:szCs w:val="32"/>
          <w:lang w:val="en-US" w:eastAsia="zh-CN"/>
        </w:rPr>
        <w:t>1.项目支出预算执行情况</w:t>
      </w:r>
      <w:bookmarkEnd w:id="122"/>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中央政法转移支付资金（本级）年初预算数247</w:t>
      </w:r>
      <w:r>
        <w:rPr>
          <w:rFonts w:hint="eastAsia"/>
          <w:sz w:val="32"/>
          <w:szCs w:val="32"/>
          <w:lang w:val="en-US" w:eastAsia="zh-CN"/>
        </w:rPr>
        <w:t>.00</w:t>
      </w:r>
      <w:r>
        <w:rPr>
          <w:rFonts w:hint="eastAsia" w:ascii="仿宋_GB2312" w:eastAsia="仿宋_GB2312"/>
          <w:sz w:val="32"/>
          <w:szCs w:val="32"/>
          <w:lang w:val="en-US" w:eastAsia="zh-CN"/>
        </w:rPr>
        <w:t>万元、全年预算数以及全年执行数均为40</w:t>
      </w:r>
      <w:r>
        <w:rPr>
          <w:rFonts w:hint="eastAsia"/>
          <w:sz w:val="32"/>
          <w:szCs w:val="32"/>
          <w:lang w:val="en-US" w:eastAsia="zh-CN"/>
        </w:rPr>
        <w:t>0.00</w:t>
      </w:r>
      <w:r>
        <w:rPr>
          <w:rFonts w:hint="eastAsia" w:ascii="仿宋_GB2312" w:eastAsia="仿宋_GB2312"/>
          <w:sz w:val="32"/>
          <w:szCs w:val="32"/>
          <w:lang w:val="en-US" w:eastAsia="zh-CN"/>
        </w:rPr>
        <w:t>万元，预算执行率100%，满分10分，得分10分。</w:t>
      </w:r>
    </w:p>
    <w:p>
      <w:pPr>
        <w:pStyle w:val="4"/>
        <w:pageBreakBefore w:val="0"/>
        <w:kinsoku/>
        <w:wordWrap/>
        <w:overflowPunct/>
        <w:topLinePunct w:val="0"/>
        <w:autoSpaceDE/>
        <w:autoSpaceDN/>
        <w:bidi w:val="0"/>
        <w:adjustRightInd/>
        <w:snapToGrid/>
        <w:spacing w:line="560" w:lineRule="exact"/>
        <w:ind w:firstLine="643"/>
        <w:jc w:val="both"/>
        <w:textAlignment w:val="auto"/>
        <w:rPr>
          <w:rFonts w:hint="eastAsia"/>
          <w:sz w:val="32"/>
          <w:szCs w:val="32"/>
          <w:lang w:val="en-US" w:eastAsia="zh-CN"/>
        </w:rPr>
      </w:pPr>
      <w:bookmarkStart w:id="123" w:name="_Toc40046041"/>
      <w:r>
        <w:rPr>
          <w:rFonts w:hint="eastAsia"/>
          <w:sz w:val="32"/>
          <w:szCs w:val="32"/>
          <w:lang w:val="en-US" w:eastAsia="zh-CN"/>
        </w:rPr>
        <w:t>2.总体绩效目标完成情况分析</w:t>
      </w:r>
      <w:bookmarkEnd w:id="123"/>
    </w:p>
    <w:p>
      <w:pPr>
        <w:pageBreakBefore w:val="0"/>
        <w:kinsoku/>
        <w:wordWrap/>
        <w:overflowPunct/>
        <w:topLinePunct w:val="0"/>
        <w:autoSpaceDE/>
        <w:autoSpaceDN/>
        <w:bidi w:val="0"/>
        <w:adjustRightInd/>
        <w:snapToGrid/>
        <w:spacing w:line="560" w:lineRule="exact"/>
        <w:ind w:firstLine="560"/>
        <w:jc w:val="both"/>
        <w:textAlignment w:val="auto"/>
        <w:rPr>
          <w:rFonts w:hint="eastAsia" w:cs="仿宋_GB2312"/>
          <w:sz w:val="32"/>
          <w:szCs w:val="32"/>
        </w:rPr>
      </w:pPr>
      <w:bookmarkStart w:id="124" w:name="_Toc40046042"/>
      <w:r>
        <w:rPr>
          <w:rFonts w:hint="eastAsia" w:ascii="仿宋_GB2312" w:eastAsia="仿宋_GB2312"/>
          <w:sz w:val="32"/>
          <w:szCs w:val="32"/>
          <w:lang w:val="en-US" w:eastAsia="zh-CN"/>
        </w:rPr>
        <w:t>我院严格按照年初预算批复，转移支付资金支出范围，财务管理制度等规定支付，通过该项目的有效实施，完成计划的采购工作，弥补了办案经费不足，推动破解难题、补齐短板，坚持惩治犯罪与保障人权并重、实体公正与程序公正并重，提升法院公信力</w:t>
      </w:r>
      <w:r>
        <w:rPr>
          <w:rFonts w:hint="eastAsia" w:cs="仿宋_GB2312"/>
          <w:sz w:val="32"/>
          <w:szCs w:val="32"/>
        </w:rPr>
        <w:t>。</w:t>
      </w:r>
    </w:p>
    <w:p>
      <w:pPr>
        <w:pStyle w:val="4"/>
        <w:pageBreakBefore w:val="0"/>
        <w:kinsoku/>
        <w:wordWrap/>
        <w:overflowPunct/>
        <w:topLinePunct w:val="0"/>
        <w:autoSpaceDE/>
        <w:autoSpaceDN/>
        <w:bidi w:val="0"/>
        <w:adjustRightInd/>
        <w:snapToGrid/>
        <w:spacing w:line="560" w:lineRule="exact"/>
        <w:ind w:firstLine="643"/>
        <w:jc w:val="both"/>
        <w:textAlignment w:val="auto"/>
        <w:rPr>
          <w:rFonts w:hint="eastAsia"/>
          <w:sz w:val="32"/>
          <w:szCs w:val="32"/>
          <w:lang w:val="en-US" w:eastAsia="zh-CN"/>
        </w:rPr>
      </w:pPr>
      <w:r>
        <w:rPr>
          <w:rFonts w:hint="eastAsia"/>
          <w:sz w:val="32"/>
          <w:szCs w:val="32"/>
          <w:lang w:val="en-US" w:eastAsia="zh-CN"/>
        </w:rPr>
        <w:t>3.各项指标完成情况分析</w:t>
      </w:r>
      <w:bookmarkEnd w:id="124"/>
    </w:p>
    <w:p>
      <w:pPr>
        <w:pageBreakBefore w:val="0"/>
        <w:kinsoku/>
        <w:wordWrap/>
        <w:overflowPunct/>
        <w:topLinePunct w:val="0"/>
        <w:autoSpaceDE/>
        <w:autoSpaceDN/>
        <w:bidi w:val="0"/>
        <w:adjustRightInd/>
        <w:snapToGrid/>
        <w:spacing w:line="560" w:lineRule="exact"/>
        <w:ind w:firstLine="643"/>
        <w:jc w:val="both"/>
        <w:textAlignment w:val="auto"/>
        <w:rPr>
          <w:rFonts w:hint="eastAsia"/>
          <w:b/>
          <w:bCs/>
          <w:sz w:val="32"/>
          <w:szCs w:val="32"/>
          <w:lang w:val="en-US" w:eastAsia="zh-CN"/>
        </w:rPr>
      </w:pPr>
      <w:r>
        <w:rPr>
          <w:rFonts w:hint="eastAsia"/>
          <w:b/>
          <w:bCs/>
          <w:sz w:val="32"/>
          <w:szCs w:val="32"/>
        </w:rPr>
        <w:t>（1）</w:t>
      </w:r>
      <w:r>
        <w:rPr>
          <w:rFonts w:hint="eastAsia"/>
          <w:b/>
          <w:bCs/>
          <w:sz w:val="32"/>
          <w:szCs w:val="32"/>
          <w:lang w:val="en-US" w:eastAsia="zh-CN"/>
        </w:rPr>
        <w:t>成本指标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成本指标下设经济成本指标二级指标，指标分值20分，自评得分20分，得分率100%。</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default" w:ascii="仿宋_GB2312" w:hAnsi="仿宋_GB2312" w:eastAsia="仿宋_GB2312" w:cstheme="minorBidi"/>
          <w:b w:val="0"/>
          <w:bCs w:val="0"/>
          <w:color w:val="auto"/>
          <w:kern w:val="2"/>
          <w:sz w:val="32"/>
          <w:szCs w:val="32"/>
          <w:lang w:val="en-US" w:eastAsia="zh-CN" w:bidi="ar-SA"/>
        </w:rPr>
      </w:pPr>
      <w:r>
        <w:rPr>
          <w:rFonts w:hint="eastAsia" w:ascii="仿宋_GB2312" w:eastAsia="仿宋_GB2312"/>
          <w:sz w:val="32"/>
          <w:szCs w:val="32"/>
          <w:lang w:val="en-US" w:eastAsia="zh-CN"/>
        </w:rPr>
        <w:t>经济成本指标下设1个三级指标，指标权重合计20分，自评得分20分。</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成本控制率：</w:t>
      </w:r>
      <w:r>
        <w:rPr>
          <w:rFonts w:hint="eastAsia" w:ascii="仿宋_GB2312" w:eastAsia="仿宋_GB2312"/>
          <w:sz w:val="32"/>
          <w:szCs w:val="32"/>
          <w:lang w:val="en-US" w:eastAsia="zh-CN"/>
        </w:rPr>
        <w:t>2023年我院费用严格遵守厉行节约，勒紧裤带过日子的宗旨，各项费用均控制在预算指标范围内，指标分值20分，自评得分20分，得分率100%。</w:t>
      </w:r>
    </w:p>
    <w:p>
      <w:pPr>
        <w:pageBreakBefore w:val="0"/>
        <w:kinsoku/>
        <w:wordWrap/>
        <w:overflowPunct/>
        <w:topLinePunct w:val="0"/>
        <w:autoSpaceDE/>
        <w:autoSpaceDN/>
        <w:bidi w:val="0"/>
        <w:adjustRightInd/>
        <w:snapToGrid/>
        <w:spacing w:line="560" w:lineRule="exact"/>
        <w:ind w:firstLine="643"/>
        <w:jc w:val="both"/>
        <w:textAlignment w:val="auto"/>
        <w:rPr>
          <w:rFonts w:hint="eastAsia"/>
          <w:b/>
          <w:bCs/>
          <w:sz w:val="32"/>
          <w:szCs w:val="32"/>
        </w:rPr>
      </w:pPr>
      <w:r>
        <w:rPr>
          <w:rFonts w:hint="eastAsia"/>
          <w:b/>
          <w:bCs/>
          <w:sz w:val="32"/>
          <w:szCs w:val="32"/>
          <w:lang w:eastAsia="zh-CN"/>
        </w:rPr>
        <w:t>（</w:t>
      </w:r>
      <w:r>
        <w:rPr>
          <w:rFonts w:hint="eastAsia"/>
          <w:b/>
          <w:bCs/>
          <w:sz w:val="32"/>
          <w:szCs w:val="32"/>
          <w:lang w:val="en-US" w:eastAsia="zh-CN"/>
        </w:rPr>
        <w:t>2</w:t>
      </w:r>
      <w:r>
        <w:rPr>
          <w:rFonts w:hint="eastAsia"/>
          <w:b/>
          <w:bCs/>
          <w:sz w:val="32"/>
          <w:szCs w:val="32"/>
          <w:lang w:eastAsia="zh-CN"/>
        </w:rPr>
        <w:t>）</w:t>
      </w:r>
      <w:r>
        <w:rPr>
          <w:rFonts w:hint="eastAsia"/>
          <w:b/>
          <w:bCs/>
          <w:sz w:val="32"/>
          <w:szCs w:val="32"/>
        </w:rPr>
        <w:t>产出指标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产出指标下设数量、质量和时效3个二级指标。指标分值40分，自评得分</w:t>
      </w:r>
      <w:r>
        <w:rPr>
          <w:rFonts w:hint="eastAsia"/>
          <w:sz w:val="32"/>
          <w:szCs w:val="32"/>
          <w:lang w:val="en-US" w:eastAsia="zh-CN"/>
        </w:rPr>
        <w:t>37.81</w:t>
      </w:r>
      <w:r>
        <w:rPr>
          <w:rFonts w:hint="eastAsia" w:ascii="仿宋_GB2312" w:eastAsia="仿宋_GB2312"/>
          <w:sz w:val="32"/>
          <w:szCs w:val="32"/>
          <w:lang w:val="en-US" w:eastAsia="zh-CN"/>
        </w:rPr>
        <w:t>分，得分率</w:t>
      </w:r>
      <w:r>
        <w:rPr>
          <w:rFonts w:hint="eastAsia"/>
          <w:sz w:val="32"/>
          <w:szCs w:val="32"/>
          <w:lang w:val="en-US" w:eastAsia="zh-CN"/>
        </w:rPr>
        <w:t>94.53</w:t>
      </w:r>
      <w:r>
        <w:rPr>
          <w:rFonts w:hint="eastAsia" w:ascii="仿宋_GB2312" w:eastAsia="仿宋_GB2312"/>
          <w:sz w:val="32"/>
          <w:szCs w:val="32"/>
          <w:lang w:val="en-US" w:eastAsia="zh-CN"/>
        </w:rPr>
        <w:t>%。</w:t>
      </w:r>
    </w:p>
    <w:p>
      <w:pPr>
        <w:pageBreakBefore w:val="0"/>
        <w:kinsoku/>
        <w:wordWrap/>
        <w:overflowPunct/>
        <w:topLinePunct w:val="0"/>
        <w:autoSpaceDE/>
        <w:autoSpaceDN/>
        <w:bidi w:val="0"/>
        <w:adjustRightInd/>
        <w:snapToGrid/>
        <w:spacing w:line="560" w:lineRule="exact"/>
        <w:ind w:firstLine="562"/>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①数量指标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数量指标下设4个三级指标，指标权重合计17.8分，自评得分17.8分，得分率为100%。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全省法院民商事案件结案率：</w:t>
      </w:r>
      <w:r>
        <w:rPr>
          <w:rFonts w:hint="eastAsia" w:ascii="仿宋_GB2312" w:eastAsia="仿宋_GB2312"/>
          <w:sz w:val="32"/>
          <w:szCs w:val="32"/>
          <w:lang w:val="en-US" w:eastAsia="zh-CN"/>
        </w:rPr>
        <w:t>我院2023年民商事案件结案率达到96.38%，该指标分值4.48分，自评得分为4.48分，得分率为100%。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default" w:ascii="仿宋_GB2312" w:hAnsi="仿宋_GB2312" w:eastAsia="仿宋_GB2312" w:cs="仿宋_GB2312"/>
          <w:b/>
          <w:bCs/>
          <w:sz w:val="32"/>
          <w:szCs w:val="32"/>
          <w:lang w:val="en-US" w:eastAsia="zh-CN"/>
        </w:rPr>
        <w:t>全省法院刑事案件结案率</w:t>
      </w:r>
      <w:r>
        <w:rPr>
          <w:rFonts w:hint="eastAsia" w:ascii="仿宋_GB2312" w:hAnsi="仿宋_GB2312" w:eastAsia="仿宋_GB2312" w:cs="仿宋_GB2312"/>
          <w:b/>
          <w:bCs/>
          <w:sz w:val="32"/>
          <w:szCs w:val="32"/>
          <w:lang w:val="en-US" w:eastAsia="zh-CN"/>
        </w:rPr>
        <w:t>：</w:t>
      </w:r>
      <w:r>
        <w:rPr>
          <w:rFonts w:hint="eastAsia" w:ascii="仿宋_GB2312" w:eastAsia="仿宋_GB2312"/>
          <w:sz w:val="32"/>
          <w:szCs w:val="32"/>
          <w:lang w:val="en-US" w:eastAsia="zh-CN"/>
        </w:rPr>
        <w:t>我院2023年</w:t>
      </w:r>
      <w:r>
        <w:rPr>
          <w:rFonts w:hint="default" w:ascii="仿宋_GB2312" w:eastAsia="仿宋_GB2312"/>
          <w:sz w:val="32"/>
          <w:szCs w:val="32"/>
          <w:lang w:val="en-US" w:eastAsia="zh-CN"/>
        </w:rPr>
        <w:t>刑</w:t>
      </w:r>
      <w:r>
        <w:rPr>
          <w:rFonts w:hint="eastAsia" w:ascii="仿宋_GB2312" w:eastAsia="仿宋_GB2312"/>
          <w:sz w:val="32"/>
          <w:szCs w:val="32"/>
          <w:lang w:val="en-US" w:eastAsia="zh-CN"/>
        </w:rPr>
        <w:t>事案件结案率达到94.2%，该指标分值</w:t>
      </w:r>
      <w:r>
        <w:rPr>
          <w:rFonts w:hint="eastAsia"/>
          <w:sz w:val="32"/>
          <w:szCs w:val="32"/>
          <w:lang w:val="en-US" w:eastAsia="zh-CN"/>
        </w:rPr>
        <w:t>4.44</w:t>
      </w:r>
      <w:r>
        <w:rPr>
          <w:rFonts w:hint="eastAsia" w:ascii="仿宋_GB2312" w:eastAsia="仿宋_GB2312"/>
          <w:sz w:val="32"/>
          <w:szCs w:val="32"/>
          <w:lang w:val="en-US" w:eastAsia="zh-CN"/>
        </w:rPr>
        <w:t>分，自评得分为</w:t>
      </w:r>
      <w:r>
        <w:rPr>
          <w:rFonts w:hint="eastAsia"/>
          <w:sz w:val="32"/>
          <w:szCs w:val="32"/>
          <w:lang w:val="en-US" w:eastAsia="zh-CN"/>
        </w:rPr>
        <w:t>4.44</w:t>
      </w:r>
      <w:r>
        <w:rPr>
          <w:rFonts w:hint="eastAsia" w:ascii="仿宋_GB2312" w:eastAsia="仿宋_GB2312"/>
          <w:sz w:val="32"/>
          <w:szCs w:val="32"/>
          <w:lang w:val="en-US" w:eastAsia="zh-CN"/>
        </w:rPr>
        <w:t>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heme="minorBidi"/>
          <w:b w:val="0"/>
          <w:bCs w:val="0"/>
          <w:color w:val="auto"/>
          <w:kern w:val="2"/>
          <w:sz w:val="32"/>
          <w:szCs w:val="32"/>
          <w:lang w:val="en-US" w:eastAsia="zh-CN" w:bidi="ar-SA"/>
        </w:rPr>
      </w:pPr>
      <w:r>
        <w:rPr>
          <w:rFonts w:hint="default" w:ascii="仿宋_GB2312" w:hAnsi="仿宋_GB2312" w:eastAsia="仿宋_GB2312" w:cs="仿宋_GB2312"/>
          <w:b/>
          <w:bCs/>
          <w:sz w:val="32"/>
          <w:szCs w:val="32"/>
          <w:lang w:val="en-US" w:eastAsia="zh-CN"/>
        </w:rPr>
        <w:t>全省法院行政案件结案率</w:t>
      </w:r>
      <w:r>
        <w:rPr>
          <w:rFonts w:hint="eastAsia" w:ascii="仿宋_GB2312" w:hAnsi="仿宋_GB2312" w:eastAsia="仿宋_GB2312" w:cs="仿宋_GB2312"/>
          <w:b/>
          <w:bCs/>
          <w:sz w:val="32"/>
          <w:szCs w:val="32"/>
          <w:lang w:val="en-US" w:eastAsia="zh-CN"/>
        </w:rPr>
        <w:t>：</w:t>
      </w:r>
      <w:r>
        <w:rPr>
          <w:rFonts w:hint="eastAsia" w:ascii="仿宋_GB2312" w:eastAsia="仿宋_GB2312"/>
          <w:sz w:val="32"/>
          <w:szCs w:val="32"/>
          <w:lang w:val="en-US" w:eastAsia="zh-CN"/>
        </w:rPr>
        <w:t>我院2023年民商事案件结案率达到85.45%，该指标分值4.44分，自评得分为4.44分，得分率为100%。</w:t>
      </w:r>
    </w:p>
    <w:p>
      <w:pPr>
        <w:pStyle w:val="8"/>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theme="minorBidi"/>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全省法院执行案件结案率</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theme="minorBidi"/>
          <w:color w:val="auto"/>
          <w:kern w:val="2"/>
          <w:sz w:val="32"/>
          <w:szCs w:val="32"/>
          <w:lang w:val="en-US" w:eastAsia="zh-CN" w:bidi="ar-SA"/>
        </w:rPr>
        <w:t>我院2023年民商事案件结案率达到96.23%，该指标分值4.44分，自评得分为4.44分，得分率为100%。</w:t>
      </w:r>
    </w:p>
    <w:p>
      <w:pPr>
        <w:pageBreakBefore w:val="0"/>
        <w:kinsoku/>
        <w:wordWrap/>
        <w:overflowPunct/>
        <w:topLinePunct w:val="0"/>
        <w:autoSpaceDE/>
        <w:autoSpaceDN/>
        <w:bidi w:val="0"/>
        <w:adjustRightInd/>
        <w:snapToGrid/>
        <w:spacing w:line="560" w:lineRule="exact"/>
        <w:ind w:firstLine="562"/>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②质量指标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质量指标下设2个三级指标，指标分值8.88分，自评得分</w:t>
      </w:r>
      <w:r>
        <w:rPr>
          <w:rFonts w:hint="eastAsia"/>
          <w:sz w:val="32"/>
          <w:szCs w:val="32"/>
          <w:lang w:val="en-US" w:eastAsia="zh-CN"/>
        </w:rPr>
        <w:t>6.69</w:t>
      </w:r>
      <w:r>
        <w:rPr>
          <w:rFonts w:hint="eastAsia" w:ascii="仿宋_GB2312" w:eastAsia="仿宋_GB2312"/>
          <w:sz w:val="32"/>
          <w:szCs w:val="32"/>
          <w:lang w:val="en-US" w:eastAsia="zh-CN"/>
        </w:rPr>
        <w:t>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购置设备质量验收合格率：</w:t>
      </w:r>
      <w:r>
        <w:rPr>
          <w:rFonts w:hint="eastAsia" w:ascii="仿宋_GB2312" w:eastAsia="仿宋_GB2312"/>
          <w:sz w:val="32"/>
          <w:szCs w:val="32"/>
          <w:lang w:val="en-US" w:eastAsia="zh-CN"/>
        </w:rPr>
        <w:t>我院2023年购进设备验收合格，性能稳定，满足办公需要。该指标分值</w:t>
      </w:r>
      <w:r>
        <w:rPr>
          <w:rFonts w:hint="eastAsia"/>
          <w:sz w:val="32"/>
          <w:szCs w:val="32"/>
          <w:lang w:val="en-US" w:eastAsia="zh-CN"/>
        </w:rPr>
        <w:t>4.44</w:t>
      </w:r>
      <w:r>
        <w:rPr>
          <w:rFonts w:hint="eastAsia" w:ascii="仿宋_GB2312" w:eastAsia="仿宋_GB2312"/>
          <w:sz w:val="32"/>
          <w:szCs w:val="32"/>
          <w:lang w:val="en-US" w:eastAsia="zh-CN"/>
        </w:rPr>
        <w:t>分，自评得分为</w:t>
      </w:r>
      <w:r>
        <w:rPr>
          <w:rFonts w:hint="eastAsia"/>
          <w:sz w:val="32"/>
          <w:szCs w:val="32"/>
          <w:lang w:val="en-US" w:eastAsia="zh-CN"/>
        </w:rPr>
        <w:t>4.44</w:t>
      </w:r>
      <w:r>
        <w:rPr>
          <w:rFonts w:hint="eastAsia" w:ascii="仿宋_GB2312" w:eastAsia="仿宋_GB2312"/>
          <w:sz w:val="32"/>
          <w:szCs w:val="32"/>
          <w:lang w:val="en-US" w:eastAsia="zh-CN"/>
        </w:rPr>
        <w:t>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theme="minorBidi"/>
          <w:b w:val="0"/>
          <w:bCs w:val="0"/>
          <w:color w:val="auto"/>
          <w:kern w:val="2"/>
          <w:sz w:val="32"/>
          <w:szCs w:val="32"/>
          <w:lang w:val="en-US" w:eastAsia="zh-CN" w:bidi="ar-SA"/>
        </w:rPr>
      </w:pPr>
      <w:r>
        <w:rPr>
          <w:rFonts w:hint="default" w:ascii="仿宋_GB2312" w:hAnsi="仿宋_GB2312" w:eastAsia="仿宋_GB2312" w:cs="仿宋_GB2312"/>
          <w:b/>
          <w:bCs/>
          <w:sz w:val="32"/>
          <w:szCs w:val="32"/>
          <w:lang w:val="en-US" w:eastAsia="zh-CN"/>
        </w:rPr>
        <w:t>一审服判息诉率</w:t>
      </w:r>
      <w:r>
        <w:rPr>
          <w:rFonts w:hint="eastAsia" w:ascii="仿宋_GB2312" w:hAnsi="仿宋_GB2312" w:eastAsia="仿宋_GB2312" w:cs="仿宋_GB2312"/>
          <w:b/>
          <w:bCs/>
          <w:sz w:val="32"/>
          <w:szCs w:val="32"/>
          <w:lang w:val="en-US" w:eastAsia="zh-CN"/>
        </w:rPr>
        <w:t>：</w:t>
      </w:r>
      <w:r>
        <w:rPr>
          <w:rFonts w:hint="eastAsia" w:ascii="仿宋_GB2312" w:eastAsia="仿宋_GB2312"/>
          <w:sz w:val="32"/>
          <w:szCs w:val="32"/>
          <w:lang w:val="en-US" w:eastAsia="zh-CN"/>
        </w:rPr>
        <w:t>2023年审结案件中，一审服判息诉率达到45.53%，该指标分值4.44分，自评得分为2.25分，得分率为</w:t>
      </w:r>
      <w:r>
        <w:rPr>
          <w:rFonts w:hint="eastAsia"/>
          <w:sz w:val="32"/>
          <w:szCs w:val="32"/>
          <w:lang w:val="en-US" w:eastAsia="zh-CN"/>
        </w:rPr>
        <w:t>50.68</w:t>
      </w:r>
      <w:r>
        <w:rPr>
          <w:rFonts w:hint="eastAsia" w:ascii="仿宋_GB2312" w:eastAsia="仿宋_GB2312"/>
          <w:sz w:val="32"/>
          <w:szCs w:val="32"/>
          <w:lang w:val="en-US" w:eastAsia="zh-CN"/>
        </w:rPr>
        <w:t>%。</w:t>
      </w:r>
    </w:p>
    <w:p>
      <w:pPr>
        <w:pageBreakBefore w:val="0"/>
        <w:kinsoku/>
        <w:wordWrap/>
        <w:overflowPunct/>
        <w:topLinePunct w:val="0"/>
        <w:autoSpaceDE/>
        <w:autoSpaceDN/>
        <w:bidi w:val="0"/>
        <w:adjustRightInd/>
        <w:snapToGrid/>
        <w:spacing w:line="560" w:lineRule="exact"/>
        <w:ind w:firstLine="562"/>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③时效指标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时效指标下设3个三级指标，指标分值13.32分，自评得分13.32分，得分率为100%。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法定审限内结案率：</w:t>
      </w:r>
      <w:r>
        <w:rPr>
          <w:rFonts w:hint="eastAsia" w:ascii="仿宋_GB2312" w:eastAsia="仿宋_GB2312"/>
          <w:sz w:val="32"/>
          <w:szCs w:val="32"/>
          <w:lang w:val="en-US" w:eastAsia="zh-CN"/>
        </w:rPr>
        <w:t>2023年受理案件法定审限内结案率100%。该指标分值4.44分，自评得分为4.44分，得分率为100%。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全省法院采购工作完成及时性:</w:t>
      </w:r>
      <w:r>
        <w:rPr>
          <w:rFonts w:hint="eastAsia" w:ascii="仿宋_GB2312" w:eastAsia="仿宋_GB2312"/>
          <w:sz w:val="32"/>
          <w:szCs w:val="32"/>
          <w:lang w:val="en-US" w:eastAsia="zh-CN"/>
        </w:rPr>
        <w:t>2023年根据预算指标，及时开展了采购活动。该指标分值</w:t>
      </w:r>
      <w:r>
        <w:rPr>
          <w:rFonts w:hint="eastAsia"/>
          <w:sz w:val="32"/>
          <w:szCs w:val="32"/>
          <w:lang w:val="en-US" w:eastAsia="zh-CN"/>
        </w:rPr>
        <w:t>4.44</w:t>
      </w:r>
      <w:r>
        <w:rPr>
          <w:rFonts w:hint="eastAsia" w:ascii="仿宋_GB2312" w:eastAsia="仿宋_GB2312"/>
          <w:sz w:val="32"/>
          <w:szCs w:val="32"/>
          <w:lang w:val="en-US" w:eastAsia="zh-CN"/>
        </w:rPr>
        <w:t>分，自评得分为</w:t>
      </w:r>
      <w:r>
        <w:rPr>
          <w:rFonts w:hint="eastAsia"/>
          <w:sz w:val="32"/>
          <w:szCs w:val="32"/>
          <w:lang w:val="en-US" w:eastAsia="zh-CN"/>
        </w:rPr>
        <w:t>4.44</w:t>
      </w:r>
      <w:r>
        <w:rPr>
          <w:rFonts w:hint="eastAsia" w:ascii="仿宋_GB2312" w:eastAsia="仿宋_GB2312"/>
          <w:sz w:val="32"/>
          <w:szCs w:val="32"/>
          <w:lang w:val="en-US" w:eastAsia="zh-CN"/>
        </w:rPr>
        <w:t>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项目资金下达及时性：</w:t>
      </w:r>
      <w:r>
        <w:rPr>
          <w:rFonts w:hint="eastAsia" w:ascii="仿宋_GB2312" w:eastAsia="仿宋_GB2312"/>
          <w:sz w:val="32"/>
          <w:szCs w:val="32"/>
          <w:lang w:val="en-US" w:eastAsia="zh-CN"/>
        </w:rPr>
        <w:t>我院预算通过批复之后，项目资金及时到位。该指标分值4.44分，自评得分为4.44分，得分率为100%。</w:t>
      </w:r>
    </w:p>
    <w:p>
      <w:pPr>
        <w:pageBreakBefore w:val="0"/>
        <w:kinsoku/>
        <w:wordWrap/>
        <w:overflowPunct/>
        <w:topLinePunct w:val="0"/>
        <w:autoSpaceDE/>
        <w:autoSpaceDN/>
        <w:bidi w:val="0"/>
        <w:adjustRightInd/>
        <w:snapToGrid/>
        <w:spacing w:line="560" w:lineRule="exact"/>
        <w:ind w:firstLine="643"/>
        <w:jc w:val="both"/>
        <w:textAlignment w:val="auto"/>
        <w:rPr>
          <w:rFonts w:hint="eastAsia"/>
          <w:b/>
          <w:bCs/>
          <w:sz w:val="32"/>
          <w:szCs w:val="32"/>
          <w:lang w:eastAsia="zh-CN"/>
        </w:rPr>
      </w:pPr>
      <w:r>
        <w:rPr>
          <w:rFonts w:hint="eastAsia"/>
          <w:b/>
          <w:bCs/>
          <w:sz w:val="32"/>
          <w:szCs w:val="32"/>
          <w:lang w:eastAsia="zh-CN"/>
        </w:rPr>
        <w:t>（</w:t>
      </w:r>
      <w:r>
        <w:rPr>
          <w:rFonts w:hint="eastAsia"/>
          <w:b/>
          <w:bCs/>
          <w:sz w:val="32"/>
          <w:szCs w:val="32"/>
          <w:lang w:val="en-US" w:eastAsia="zh-CN"/>
        </w:rPr>
        <w:t>3</w:t>
      </w:r>
      <w:r>
        <w:rPr>
          <w:rFonts w:hint="eastAsia"/>
          <w:b/>
          <w:bCs/>
          <w:sz w:val="32"/>
          <w:szCs w:val="32"/>
          <w:lang w:eastAsia="zh-CN"/>
        </w:rPr>
        <w:t>）效益指标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本项目效益指标主要考虑经济效益和社会效益。指标分值20分，得分</w:t>
      </w:r>
      <w:r>
        <w:rPr>
          <w:rFonts w:hint="eastAsia"/>
          <w:sz w:val="32"/>
          <w:szCs w:val="32"/>
          <w:lang w:val="en-US" w:eastAsia="zh-CN"/>
        </w:rPr>
        <w:t>17.38</w:t>
      </w:r>
      <w:r>
        <w:rPr>
          <w:rFonts w:hint="eastAsia" w:ascii="仿宋_GB2312" w:eastAsia="仿宋_GB2312"/>
          <w:sz w:val="32"/>
          <w:szCs w:val="32"/>
          <w:lang w:val="en-US" w:eastAsia="zh-CN"/>
        </w:rPr>
        <w:t>分，得分率</w:t>
      </w:r>
      <w:r>
        <w:rPr>
          <w:rFonts w:hint="eastAsia"/>
          <w:sz w:val="32"/>
          <w:szCs w:val="32"/>
          <w:lang w:val="en-US" w:eastAsia="zh-CN"/>
        </w:rPr>
        <w:t>86.9</w:t>
      </w:r>
      <w:r>
        <w:rPr>
          <w:rFonts w:hint="eastAsia" w:ascii="仿宋_GB2312" w:eastAsia="仿宋_GB2312"/>
          <w:sz w:val="32"/>
          <w:szCs w:val="32"/>
          <w:lang w:val="en-US" w:eastAsia="zh-CN"/>
        </w:rPr>
        <w:t>%。</w:t>
      </w:r>
    </w:p>
    <w:p>
      <w:pPr>
        <w:pageBreakBefore w:val="0"/>
        <w:kinsoku/>
        <w:wordWrap/>
        <w:overflowPunct/>
        <w:topLinePunct w:val="0"/>
        <w:autoSpaceDE/>
        <w:autoSpaceDN/>
        <w:bidi w:val="0"/>
        <w:adjustRightInd/>
        <w:snapToGrid/>
        <w:spacing w:line="560" w:lineRule="exact"/>
        <w:ind w:firstLine="562"/>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①经济效益指标</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执行标的到位率：</w:t>
      </w:r>
      <w:r>
        <w:rPr>
          <w:rFonts w:hint="eastAsia" w:ascii="仿宋_GB2312" w:eastAsia="仿宋_GB2312"/>
          <w:sz w:val="32"/>
          <w:szCs w:val="32"/>
          <w:lang w:val="en-US" w:eastAsia="zh-CN"/>
        </w:rPr>
        <w:t>我院执行标的到位率达到30.16%。该指标分值6.68分，自评得分为6.68分，得分率为100%。</w:t>
      </w:r>
    </w:p>
    <w:p>
      <w:pPr>
        <w:pStyle w:val="8"/>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heme="minorBidi"/>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②社会效益指标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社会效益指标下设2个三级指标，指标分值13.32分，自评得分13.32分，得分率为100%。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裁判文书应上尽上率：</w:t>
      </w:r>
      <w:r>
        <w:rPr>
          <w:rFonts w:hint="eastAsia" w:ascii="仿宋_GB2312" w:eastAsia="仿宋_GB2312"/>
          <w:sz w:val="32"/>
          <w:szCs w:val="32"/>
          <w:lang w:val="en-US" w:eastAsia="zh-CN"/>
        </w:rPr>
        <w:t>我院裁判文书应上尽上率达到94.61%。该指标分值6.66分，自评得分为6.66分，得分率为100%。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民商事案件调解撤诉率：</w:t>
      </w:r>
      <w:r>
        <w:rPr>
          <w:rFonts w:hint="eastAsia" w:ascii="仿宋_GB2312" w:eastAsia="仿宋_GB2312"/>
          <w:sz w:val="32"/>
          <w:szCs w:val="32"/>
          <w:lang w:val="en-US" w:eastAsia="zh-CN"/>
        </w:rPr>
        <w:t>我院民商事案件通过调节撤诉率达到41.32%。该指标分值6.66分，自评得分为4.04分，得分率为</w:t>
      </w:r>
      <w:r>
        <w:rPr>
          <w:rFonts w:hint="eastAsia"/>
          <w:sz w:val="32"/>
          <w:szCs w:val="32"/>
          <w:lang w:val="en-US" w:eastAsia="zh-CN"/>
        </w:rPr>
        <w:t>60.67</w:t>
      </w:r>
      <w:r>
        <w:rPr>
          <w:rFonts w:hint="eastAsia" w:ascii="仿宋_GB2312" w:eastAsia="仿宋_GB2312"/>
          <w:sz w:val="32"/>
          <w:szCs w:val="32"/>
          <w:lang w:val="en-US" w:eastAsia="zh-CN"/>
        </w:rPr>
        <w:t>%。</w:t>
      </w:r>
    </w:p>
    <w:p>
      <w:pPr>
        <w:pageBreakBefore w:val="0"/>
        <w:kinsoku/>
        <w:wordWrap/>
        <w:overflowPunct/>
        <w:topLinePunct w:val="0"/>
        <w:autoSpaceDE/>
        <w:autoSpaceDN/>
        <w:bidi w:val="0"/>
        <w:adjustRightInd/>
        <w:snapToGrid/>
        <w:spacing w:line="560" w:lineRule="exact"/>
        <w:ind w:firstLine="643"/>
        <w:jc w:val="both"/>
        <w:textAlignment w:val="auto"/>
        <w:rPr>
          <w:rFonts w:hint="eastAsia"/>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服务对象满意度主要考察当事人满意度及法庭工作人员满意度，该指标分值合计10分，自评得分10分，得分率为100%。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当事人满意度：</w:t>
      </w:r>
      <w:r>
        <w:rPr>
          <w:rFonts w:hint="eastAsia" w:ascii="仿宋_GB2312" w:eastAsia="仿宋_GB2312"/>
          <w:sz w:val="32"/>
          <w:szCs w:val="32"/>
          <w:lang w:val="en-US" w:eastAsia="zh-CN"/>
        </w:rPr>
        <w:t>我院</w:t>
      </w:r>
      <w:r>
        <w:rPr>
          <w:rFonts w:hint="eastAsia"/>
          <w:sz w:val="32"/>
          <w:szCs w:val="32"/>
          <w:lang w:val="en-US" w:eastAsia="zh-CN"/>
        </w:rPr>
        <w:t>通过调解、</w:t>
      </w:r>
      <w:r>
        <w:rPr>
          <w:rFonts w:hint="eastAsia" w:ascii="仿宋_GB2312" w:eastAsia="仿宋_GB2312"/>
          <w:sz w:val="32"/>
          <w:szCs w:val="32"/>
          <w:lang w:val="en-US" w:eastAsia="zh-CN"/>
        </w:rPr>
        <w:t>案件审判</w:t>
      </w:r>
      <w:r>
        <w:rPr>
          <w:rFonts w:hint="eastAsia"/>
          <w:sz w:val="32"/>
          <w:szCs w:val="32"/>
          <w:lang w:val="en-US" w:eastAsia="zh-CN"/>
        </w:rPr>
        <w:t>依法打击了犯罪，让守信者受益，</w:t>
      </w:r>
      <w:r>
        <w:rPr>
          <w:rFonts w:hint="eastAsia" w:ascii="仿宋_GB2312" w:eastAsia="仿宋_GB2312"/>
          <w:sz w:val="32"/>
          <w:szCs w:val="32"/>
          <w:lang w:val="en-US" w:eastAsia="zh-CN"/>
        </w:rPr>
        <w:t>审判结果基本达到当事人的满意。该指标分值合计5分，自评得分5分，得分率为100%。</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法院工作人员满意度</w:t>
      </w:r>
      <w:r>
        <w:rPr>
          <w:rFonts w:hint="eastAsia" w:ascii="方正仿宋_GB2312" w:hAnsi="方正仿宋_GB2312" w:eastAsia="方正仿宋_GB2312" w:cs="方正仿宋_GB2312"/>
          <w:b/>
          <w:bCs/>
          <w:sz w:val="32"/>
          <w:szCs w:val="32"/>
          <w:lang w:val="en-US" w:eastAsia="zh-CN"/>
        </w:rPr>
        <w:t>：</w:t>
      </w:r>
      <w:bookmarkStart w:id="125" w:name="_Toc40046043"/>
      <w:r>
        <w:rPr>
          <w:rFonts w:hint="eastAsia" w:ascii="仿宋_GB2312" w:eastAsia="仿宋_GB2312"/>
          <w:sz w:val="32"/>
          <w:szCs w:val="32"/>
          <w:lang w:val="en-US" w:eastAsia="zh-CN"/>
        </w:rPr>
        <w:t>通过该项目的实施，提升了后勤保障能力，改善了办公环境，提高了工作人员满意度，工作人员满意度为95%，达到年度目标值。该指标分值5分，自评得分为5分，得分率100%</w:t>
      </w:r>
    </w:p>
    <w:p>
      <w:pPr>
        <w:pStyle w:val="4"/>
        <w:pageBreakBefore w:val="0"/>
        <w:kinsoku/>
        <w:wordWrap/>
        <w:overflowPunct/>
        <w:topLinePunct w:val="0"/>
        <w:autoSpaceDE/>
        <w:autoSpaceDN/>
        <w:bidi w:val="0"/>
        <w:adjustRightInd/>
        <w:snapToGrid/>
        <w:spacing w:line="560" w:lineRule="exact"/>
        <w:ind w:firstLine="643"/>
        <w:jc w:val="both"/>
        <w:textAlignment w:val="auto"/>
        <w:rPr>
          <w:rFonts w:hint="eastAsia"/>
          <w:sz w:val="32"/>
          <w:szCs w:val="32"/>
        </w:rPr>
      </w:pPr>
      <w:r>
        <w:rPr>
          <w:rFonts w:hint="eastAsia"/>
          <w:sz w:val="32"/>
          <w:szCs w:val="32"/>
          <w:lang w:val="en-US" w:eastAsia="zh-CN"/>
        </w:rPr>
        <w:t>4.</w:t>
      </w:r>
      <w:r>
        <w:rPr>
          <w:rFonts w:hint="eastAsia"/>
          <w:sz w:val="32"/>
          <w:szCs w:val="32"/>
        </w:rPr>
        <w:t>偏离绩效目标的原因及下一步改进措施</w:t>
      </w:r>
      <w:bookmarkEnd w:id="125"/>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lang w:val="en-US" w:eastAsia="zh-CN"/>
        </w:rPr>
      </w:pPr>
      <w:r>
        <w:rPr>
          <w:rFonts w:hint="eastAsia"/>
          <w:sz w:val="32"/>
          <w:szCs w:val="32"/>
          <w:lang w:val="en-US" w:eastAsia="zh-CN"/>
        </w:rPr>
        <w:t>（1）</w:t>
      </w:r>
      <w:r>
        <w:rPr>
          <w:rFonts w:hint="eastAsia" w:ascii="仿宋_GB2312" w:eastAsia="仿宋_GB2312"/>
          <w:sz w:val="32"/>
          <w:szCs w:val="32"/>
          <w:lang w:val="en-US" w:eastAsia="zh-CN"/>
        </w:rPr>
        <w:t>一审服判息诉率指标分值4.44分，指标得分2.25分，偏差原因：年度指标值设置不合理，改进措施：下一年度将综合考虑各方面因素，科学、合理的设置年度目标值</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val="0"/>
          <w:bCs w:val="0"/>
          <w:sz w:val="32"/>
          <w:szCs w:val="32"/>
          <w:lang w:val="en-US" w:eastAsia="zh-CN"/>
        </w:rPr>
      </w:pPr>
      <w:r>
        <w:rPr>
          <w:rFonts w:hint="eastAsia"/>
          <w:sz w:val="32"/>
          <w:szCs w:val="32"/>
          <w:lang w:val="en-US" w:eastAsia="zh-CN"/>
        </w:rPr>
        <w:t>（2）民商事案件调解撤诉率分值6.66分，指标得分4.04分，偏差原因：年度指标值设置不合理，本年度民商事案件调解撤诉率超过指标值，造成反向扣分。改进措施：下年度结合历年实际情况合理预计指标值。</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sz w:val="32"/>
          <w:szCs w:val="32"/>
        </w:rPr>
      </w:pPr>
      <w:bookmarkStart w:id="126" w:name="_Toc7222"/>
      <w:bookmarkStart w:id="127" w:name="_Toc10226"/>
      <w:r>
        <w:rPr>
          <w:rFonts w:hint="eastAsia"/>
          <w:sz w:val="32"/>
          <w:szCs w:val="32"/>
        </w:rPr>
        <w:t>六、绩效自评结果拟应用和公开情况</w:t>
      </w:r>
      <w:bookmarkEnd w:id="106"/>
      <w:bookmarkEnd w:id="107"/>
      <w:bookmarkEnd w:id="109"/>
      <w:bookmarkEnd w:id="110"/>
      <w:bookmarkEnd w:id="111"/>
      <w:bookmarkEnd w:id="112"/>
      <w:bookmarkEnd w:id="126"/>
      <w:bookmarkEnd w:id="127"/>
    </w:p>
    <w:p>
      <w:pPr>
        <w:pageBreakBefore w:val="0"/>
        <w:widowControl w:val="0"/>
        <w:kinsoku/>
        <w:wordWrap/>
        <w:overflowPunct/>
        <w:topLinePunct w:val="0"/>
        <w:autoSpaceDE/>
        <w:autoSpaceDN/>
        <w:bidi w:val="0"/>
        <w:adjustRightInd/>
        <w:snapToGrid/>
        <w:spacing w:line="560" w:lineRule="exact"/>
        <w:ind w:firstLine="562"/>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绩效自评结果的应用是部门完善政策和改进管理的重要依据，部门要加强评价结果的应用。根据政策文件规定，我院绩效自评结果将编入2023年度决算中，随同2023年度部门决算同步公开。</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sz w:val="32"/>
          <w:szCs w:val="32"/>
        </w:rPr>
      </w:pPr>
      <w:bookmarkStart w:id="128" w:name="_Toc21490"/>
      <w:bookmarkStart w:id="129" w:name="_Toc40046066"/>
      <w:bookmarkStart w:id="130" w:name="_Toc6781"/>
      <w:bookmarkStart w:id="131" w:name="_Toc2494"/>
      <w:bookmarkStart w:id="132" w:name="_Toc17181"/>
      <w:bookmarkStart w:id="133" w:name="_Toc4491"/>
      <w:bookmarkStart w:id="134" w:name="_Toc22745"/>
      <w:bookmarkStart w:id="135" w:name="_Toc10705"/>
      <w:r>
        <w:rPr>
          <w:rFonts w:hint="eastAsia"/>
          <w:sz w:val="32"/>
          <w:szCs w:val="32"/>
          <w:lang w:val="en-US" w:eastAsia="zh-CN"/>
        </w:rPr>
        <w:t>七、</w:t>
      </w:r>
      <w:r>
        <w:rPr>
          <w:rFonts w:hint="eastAsia"/>
          <w:sz w:val="32"/>
          <w:szCs w:val="32"/>
        </w:rPr>
        <w:t>其他需要说明的问</w:t>
      </w:r>
      <w:bookmarkEnd w:id="128"/>
      <w:bookmarkEnd w:id="129"/>
      <w:bookmarkEnd w:id="130"/>
      <w:bookmarkEnd w:id="131"/>
      <w:bookmarkEnd w:id="132"/>
      <w:bookmarkEnd w:id="133"/>
      <w:r>
        <w:rPr>
          <w:rFonts w:hint="eastAsia"/>
          <w:sz w:val="32"/>
          <w:szCs w:val="32"/>
          <w:lang w:val="en-US" w:eastAsia="zh-CN"/>
        </w:rPr>
        <w:t>题</w:t>
      </w:r>
      <w:bookmarkEnd w:id="134"/>
      <w:bookmarkEnd w:id="135"/>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default" w:eastAsia="仿宋_GB2312"/>
          <w:sz w:val="32"/>
          <w:szCs w:val="32"/>
          <w:lang w:val="en-US" w:eastAsia="zh-CN"/>
        </w:rPr>
      </w:pPr>
      <w:r>
        <w:rPr>
          <w:rFonts w:hint="eastAsia"/>
          <w:sz w:val="32"/>
          <w:szCs w:val="32"/>
          <w:lang w:val="en-US" w:eastAsia="zh-CN"/>
        </w:rPr>
        <w:t>无。</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1"/>
        <w:rPr>
          <w:rFonts w:hint="eastAsia"/>
          <w:lang w:val="en-US" w:eastAsia="zh-CN"/>
        </w:rPr>
      </w:pPr>
      <w:bookmarkStart w:id="136" w:name="_Toc29628"/>
      <w:bookmarkStart w:id="137" w:name="_Toc2231"/>
      <w:r>
        <w:rPr>
          <w:rFonts w:hint="eastAsia"/>
          <w:lang w:val="en-US" w:eastAsia="zh-CN"/>
        </w:rPr>
        <w:t>附件：</w:t>
      </w:r>
      <w:bookmarkEnd w:id="136"/>
      <w:bookmarkEnd w:id="137"/>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theme="minorBidi"/>
          <w:b w:val="0"/>
          <w:bCs w:val="0"/>
          <w:color w:val="auto"/>
          <w:kern w:val="2"/>
          <w:sz w:val="32"/>
          <w:szCs w:val="32"/>
          <w:lang w:val="en-US" w:eastAsia="zh-CN" w:bidi="ar-SA"/>
        </w:rPr>
      </w:pPr>
      <w:bookmarkStart w:id="138" w:name="_Toc32569"/>
      <w:bookmarkStart w:id="139" w:name="_Toc6801"/>
      <w:bookmarkStart w:id="140" w:name="_Toc13589"/>
      <w:r>
        <w:rPr>
          <w:rFonts w:hint="eastAsia" w:ascii="仿宋_GB2312" w:hAnsi="仿宋_GB2312" w:eastAsia="仿宋_GB2312" w:cstheme="minorBidi"/>
          <w:b w:val="0"/>
          <w:bCs w:val="0"/>
          <w:color w:val="auto"/>
          <w:kern w:val="2"/>
          <w:sz w:val="32"/>
          <w:szCs w:val="32"/>
          <w:lang w:val="en-US" w:eastAsia="zh-CN" w:bidi="ar-SA"/>
        </w:rPr>
        <w:t>1.部门整体支出绩效自评表</w:t>
      </w:r>
      <w:bookmarkEnd w:id="138"/>
      <w:bookmarkEnd w:id="139"/>
      <w:bookmarkEnd w:id="14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theme="minorBidi"/>
          <w:b w:val="0"/>
          <w:bCs w:val="0"/>
          <w:color w:val="auto"/>
          <w:kern w:val="2"/>
          <w:sz w:val="32"/>
          <w:szCs w:val="32"/>
          <w:lang w:val="en-US" w:eastAsia="zh-CN" w:bidi="ar-SA"/>
        </w:rPr>
        <w:t>2.2023年度省级部门预算支出项目绩效自评结果汇总表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theme="minorBidi"/>
          <w:b w:val="0"/>
          <w:bCs w:val="0"/>
          <w:color w:val="auto"/>
          <w:kern w:val="2"/>
          <w:sz w:val="32"/>
          <w:szCs w:val="32"/>
          <w:lang w:val="en-US" w:eastAsia="zh-CN" w:bidi="ar-SA"/>
        </w:rPr>
        <w:t>3.2023年度全省法院业务费项目支出绩效自评表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theme="minorBidi"/>
          <w:b w:val="0"/>
          <w:bCs w:val="0"/>
          <w:color w:val="auto"/>
          <w:kern w:val="2"/>
          <w:sz w:val="32"/>
          <w:szCs w:val="32"/>
          <w:lang w:val="en-US" w:eastAsia="zh-CN" w:bidi="ar-SA"/>
        </w:rPr>
        <w:t>4.2023年度全省法院法庭运维费项目支出绩效自评表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theme="minorBidi"/>
          <w:b w:val="0"/>
          <w:bCs w:val="0"/>
          <w:color w:val="auto"/>
          <w:kern w:val="2"/>
          <w:sz w:val="32"/>
          <w:szCs w:val="32"/>
          <w:lang w:val="en-US" w:eastAsia="zh-CN" w:bidi="ar-SA"/>
        </w:rPr>
        <w:t>5.2023年度省对市县转移支付绩效自评结果汇总表</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theme="minorBidi"/>
          <w:b w:val="0"/>
          <w:bCs w:val="0"/>
          <w:color w:val="auto"/>
          <w:kern w:val="2"/>
          <w:sz w:val="32"/>
          <w:szCs w:val="32"/>
          <w:lang w:val="en-US" w:eastAsia="zh-CN" w:bidi="ar-SA"/>
        </w:rPr>
      </w:pPr>
      <w:bookmarkStart w:id="141" w:name="_Toc8979"/>
      <w:bookmarkStart w:id="142" w:name="_Toc10927"/>
      <w:bookmarkStart w:id="143" w:name="_Toc29546"/>
      <w:r>
        <w:rPr>
          <w:rFonts w:hint="eastAsia" w:ascii="仿宋_GB2312" w:hAnsi="仿宋_GB2312" w:eastAsia="仿宋_GB2312" w:cstheme="minorBidi"/>
          <w:b w:val="0"/>
          <w:bCs w:val="0"/>
          <w:color w:val="auto"/>
          <w:kern w:val="2"/>
          <w:sz w:val="32"/>
          <w:szCs w:val="32"/>
          <w:lang w:val="en-US" w:eastAsia="zh-CN" w:bidi="ar-SA"/>
        </w:rPr>
        <w:t>6.2023年度省对市县转移支付绩效自评表</w:t>
      </w:r>
      <w:bookmarkEnd w:id="141"/>
      <w:bookmarkEnd w:id="142"/>
      <w:bookmarkEnd w:id="14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 w:val="0"/>
          <w:bCs w:val="0"/>
          <w:color w:val="auto"/>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 w:val="0"/>
          <w:bCs w:val="0"/>
          <w:color w:val="auto"/>
          <w:kern w:val="2"/>
          <w:sz w:val="32"/>
          <w:szCs w:val="32"/>
          <w:lang w:val="en-US" w:eastAsia="zh-CN" w:bidi="ar-SA"/>
        </w:rPr>
      </w:pPr>
      <w:r>
        <w:rPr>
          <w:rFonts w:hint="eastAsia" w:ascii="仿宋_GB2312" w:hAnsi="仿宋_GB2312" w:eastAsia="仿宋_GB2312" w:cstheme="minorBidi"/>
          <w:b w:val="0"/>
          <w:bCs w:val="0"/>
          <w:color w:val="auto"/>
          <w:kern w:val="2"/>
          <w:sz w:val="32"/>
          <w:szCs w:val="32"/>
          <w:lang w:val="en-US" w:eastAsia="zh-CN" w:bidi="ar-SA"/>
        </w:rPr>
        <w:t xml:space="preserve">                              </w:t>
      </w:r>
      <w:r>
        <w:rPr>
          <w:rFonts w:hint="eastAsia" w:cstheme="minorBidi"/>
          <w:b w:val="0"/>
          <w:bCs w:val="0"/>
          <w:color w:val="auto"/>
          <w:kern w:val="2"/>
          <w:sz w:val="32"/>
          <w:szCs w:val="32"/>
          <w:lang w:val="en-US" w:eastAsia="zh-CN" w:bidi="ar-SA"/>
        </w:rPr>
        <w:t>嘉峪关市中级人民法院</w:t>
      </w:r>
    </w:p>
    <w:p>
      <w:pPr>
        <w:pStyle w:val="3"/>
        <w:spacing w:before="0" w:after="0"/>
        <w:ind w:firstLine="643"/>
        <w:rPr>
          <w:rFonts w:hint="eastAsia" w:ascii="仿宋_GB2312" w:hAnsi="仿宋_GB2312" w:eastAsia="仿宋_GB2312" w:cs="仿宋_GB2312"/>
          <w:b w:val="0"/>
          <w:bCs w:val="0"/>
          <w:lang w:val="en-US" w:eastAsia="zh-CN"/>
        </w:rPr>
      </w:pPr>
      <w:r>
        <w:rPr>
          <w:rFonts w:hint="eastAsia"/>
          <w:lang w:val="en-US" w:eastAsia="zh-CN"/>
        </w:rPr>
        <w:t xml:space="preserve">                                </w:t>
      </w:r>
      <w:bookmarkStart w:id="144" w:name="_Toc32758"/>
      <w:bookmarkStart w:id="145" w:name="_Toc6179"/>
      <w:r>
        <w:rPr>
          <w:rFonts w:hint="eastAsia" w:ascii="仿宋_GB2312" w:hAnsi="仿宋_GB2312" w:eastAsia="仿宋_GB2312" w:cs="仿宋_GB2312"/>
          <w:b w:val="0"/>
          <w:bCs w:val="0"/>
          <w:lang w:val="en-US" w:eastAsia="zh-CN"/>
        </w:rPr>
        <w:t>2024年3月10日</w:t>
      </w:r>
      <w:bookmarkEnd w:id="144"/>
      <w:bookmarkEnd w:id="145"/>
    </w:p>
    <w:sectPr>
      <w:footerReference r:id="rId8" w:type="default"/>
      <w:pgSz w:w="11906" w:h="16838"/>
      <w:pgMar w:top="1440" w:right="1519" w:bottom="1440"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148BE46-5EB1-4AE2-8A73-98DAEC4A337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A960BC8-D8D6-4EA2-AB17-049113C61DDF}"/>
  </w:font>
  <w:font w:name="楷体">
    <w:panose1 w:val="02010609060101010101"/>
    <w:charset w:val="86"/>
    <w:family w:val="modern"/>
    <w:pitch w:val="default"/>
    <w:sig w:usb0="800002BF" w:usb1="38CF7CFA" w:usb2="00000016" w:usb3="00000000" w:csb0="00040001" w:csb1="00000000"/>
    <w:embedRegular r:id="rId3" w:fontKey="{53D7B0BF-FFF4-4BFC-932C-80DAC1B755FF}"/>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00" w:usb3="00000000" w:csb0="00040000" w:csb1="00000000"/>
    <w:embedRegular r:id="rId4" w:fontKey="{2A4B2A08-4A37-4318-82AB-41660FE1FDC9}"/>
  </w:font>
  <w:font w:name="方正仿宋_GB2312">
    <w:panose1 w:val="02000000000000000000"/>
    <w:charset w:val="86"/>
    <w:family w:val="auto"/>
    <w:pitch w:val="default"/>
    <w:sig w:usb0="A00002BF" w:usb1="184F6CFA" w:usb2="00000012" w:usb3="00000000" w:csb0="00040001" w:csb1="00000000"/>
    <w:embedRegular r:id="rId5" w:fontKey="{C70BDF04-F7E4-4CA8-9F20-3D089828E31A}"/>
  </w:font>
  <w:font w:name="方正舒体">
    <w:panose1 w:val="02010601030101010101"/>
    <w:charset w:val="86"/>
    <w:family w:val="auto"/>
    <w:pitch w:val="default"/>
    <w:sig w:usb0="00000003"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28"/>
                    </w:pPr>
                  </w:p>
                </w:txbxContent>
              </v:textbox>
            </v:shape>
          </w:pict>
        </mc:Fallback>
      </mc:AlternateConten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28"/>
                    </w:pPr>
                  </w:p>
                </w:txbxContent>
              </v:textbox>
            </v:shape>
          </w:pict>
        </mc:Fallback>
      </mc:AlternateContent>
    </w:r>
  </w:p>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6BB4E"/>
    <w:multiLevelType w:val="singleLevel"/>
    <w:tmpl w:val="A736BB4E"/>
    <w:lvl w:ilvl="0" w:tentative="0">
      <w:start w:val="4"/>
      <w:numFmt w:val="chineseCounting"/>
      <w:suff w:val="nothing"/>
      <w:lvlText w:val="（%1）"/>
      <w:lvlJc w:val="left"/>
      <w:rPr>
        <w:rFonts w:hint="eastAsia"/>
      </w:rPr>
    </w:lvl>
  </w:abstractNum>
  <w:abstractNum w:abstractNumId="1">
    <w:nsid w:val="4E03CDE9"/>
    <w:multiLevelType w:val="singleLevel"/>
    <w:tmpl w:val="4E03CDE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YmEzZjJiZWUyZDE4ZWVkN2U4OGNhNDA5ZTllZmE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5CA9"/>
    <w:rsid w:val="00A959C7"/>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255120"/>
    <w:rsid w:val="016210FD"/>
    <w:rsid w:val="01865733"/>
    <w:rsid w:val="01A06E9D"/>
    <w:rsid w:val="01AA648C"/>
    <w:rsid w:val="01B446F6"/>
    <w:rsid w:val="01E70628"/>
    <w:rsid w:val="01E943A0"/>
    <w:rsid w:val="01F345D9"/>
    <w:rsid w:val="022E44A8"/>
    <w:rsid w:val="023A109F"/>
    <w:rsid w:val="02441F1E"/>
    <w:rsid w:val="02650493"/>
    <w:rsid w:val="026522DA"/>
    <w:rsid w:val="0286094B"/>
    <w:rsid w:val="029417FA"/>
    <w:rsid w:val="0294218E"/>
    <w:rsid w:val="029A7D15"/>
    <w:rsid w:val="029D10CC"/>
    <w:rsid w:val="02D93C69"/>
    <w:rsid w:val="0305754E"/>
    <w:rsid w:val="03241F4C"/>
    <w:rsid w:val="03345AEF"/>
    <w:rsid w:val="03586C8C"/>
    <w:rsid w:val="03A3581E"/>
    <w:rsid w:val="03B80F4C"/>
    <w:rsid w:val="03B93EF4"/>
    <w:rsid w:val="03DE64EE"/>
    <w:rsid w:val="04097501"/>
    <w:rsid w:val="042A5148"/>
    <w:rsid w:val="04383AD9"/>
    <w:rsid w:val="0454274D"/>
    <w:rsid w:val="045D1075"/>
    <w:rsid w:val="046D109D"/>
    <w:rsid w:val="04AB3E92"/>
    <w:rsid w:val="04AE1CD1"/>
    <w:rsid w:val="04AE6573"/>
    <w:rsid w:val="04C826FC"/>
    <w:rsid w:val="04CE3D21"/>
    <w:rsid w:val="04D710AE"/>
    <w:rsid w:val="05004903"/>
    <w:rsid w:val="05431AC5"/>
    <w:rsid w:val="055B4129"/>
    <w:rsid w:val="058F525E"/>
    <w:rsid w:val="05D64F65"/>
    <w:rsid w:val="05D67331"/>
    <w:rsid w:val="062C6668"/>
    <w:rsid w:val="064F716B"/>
    <w:rsid w:val="065D4296"/>
    <w:rsid w:val="067D29C7"/>
    <w:rsid w:val="068B5D38"/>
    <w:rsid w:val="06B8742D"/>
    <w:rsid w:val="06D575E9"/>
    <w:rsid w:val="06E8731C"/>
    <w:rsid w:val="06F00CDA"/>
    <w:rsid w:val="06F265AD"/>
    <w:rsid w:val="06F90833"/>
    <w:rsid w:val="071B54FD"/>
    <w:rsid w:val="071E5658"/>
    <w:rsid w:val="07210888"/>
    <w:rsid w:val="072916E2"/>
    <w:rsid w:val="07930250"/>
    <w:rsid w:val="07AF39D1"/>
    <w:rsid w:val="07DE28D4"/>
    <w:rsid w:val="080E4270"/>
    <w:rsid w:val="0818141E"/>
    <w:rsid w:val="085200EC"/>
    <w:rsid w:val="086A3D60"/>
    <w:rsid w:val="087F1930"/>
    <w:rsid w:val="088272FC"/>
    <w:rsid w:val="08A7247E"/>
    <w:rsid w:val="08A728CF"/>
    <w:rsid w:val="08A84A40"/>
    <w:rsid w:val="08E458C1"/>
    <w:rsid w:val="08F834BD"/>
    <w:rsid w:val="09077DF6"/>
    <w:rsid w:val="091241C8"/>
    <w:rsid w:val="09376339"/>
    <w:rsid w:val="09A1528B"/>
    <w:rsid w:val="09B13A45"/>
    <w:rsid w:val="09BE6112"/>
    <w:rsid w:val="09E35B78"/>
    <w:rsid w:val="0A1C72DC"/>
    <w:rsid w:val="0A2B21CE"/>
    <w:rsid w:val="0A6C3DC0"/>
    <w:rsid w:val="0AAC7535"/>
    <w:rsid w:val="0ADD2F10"/>
    <w:rsid w:val="0AFD6D5D"/>
    <w:rsid w:val="0B074261"/>
    <w:rsid w:val="0B3D575C"/>
    <w:rsid w:val="0B8D6294"/>
    <w:rsid w:val="0B987180"/>
    <w:rsid w:val="0BA35E5E"/>
    <w:rsid w:val="0BA70E60"/>
    <w:rsid w:val="0BE1433A"/>
    <w:rsid w:val="0C040E46"/>
    <w:rsid w:val="0C126BE9"/>
    <w:rsid w:val="0C4D5E73"/>
    <w:rsid w:val="0C6032F9"/>
    <w:rsid w:val="0C6C6699"/>
    <w:rsid w:val="0C7D39A2"/>
    <w:rsid w:val="0C8F023A"/>
    <w:rsid w:val="0CCB694D"/>
    <w:rsid w:val="0D605A69"/>
    <w:rsid w:val="0D7119D1"/>
    <w:rsid w:val="0DAD4E1B"/>
    <w:rsid w:val="0DD248FB"/>
    <w:rsid w:val="0DE74A3D"/>
    <w:rsid w:val="0DED6FC6"/>
    <w:rsid w:val="0DF0188C"/>
    <w:rsid w:val="0DF46805"/>
    <w:rsid w:val="0E071816"/>
    <w:rsid w:val="0E0C4BFF"/>
    <w:rsid w:val="0E130328"/>
    <w:rsid w:val="0E14510B"/>
    <w:rsid w:val="0E5E4367"/>
    <w:rsid w:val="0E791344"/>
    <w:rsid w:val="0E975183"/>
    <w:rsid w:val="0E9E4764"/>
    <w:rsid w:val="0EB9159E"/>
    <w:rsid w:val="0ECC7523"/>
    <w:rsid w:val="0EEB4A0D"/>
    <w:rsid w:val="0F087E2F"/>
    <w:rsid w:val="0F0E7B3C"/>
    <w:rsid w:val="0F2F065A"/>
    <w:rsid w:val="0F5301E5"/>
    <w:rsid w:val="0FAD1102"/>
    <w:rsid w:val="0FB87AA7"/>
    <w:rsid w:val="0FBE7ED7"/>
    <w:rsid w:val="0FC91CB4"/>
    <w:rsid w:val="105D0A15"/>
    <w:rsid w:val="10953945"/>
    <w:rsid w:val="109A22B0"/>
    <w:rsid w:val="10ED0DA6"/>
    <w:rsid w:val="110765F0"/>
    <w:rsid w:val="11592BC4"/>
    <w:rsid w:val="115B7B4E"/>
    <w:rsid w:val="119368FA"/>
    <w:rsid w:val="11A11963"/>
    <w:rsid w:val="11C03DEA"/>
    <w:rsid w:val="11C20FE9"/>
    <w:rsid w:val="11CF41B2"/>
    <w:rsid w:val="11E85901"/>
    <w:rsid w:val="1235718D"/>
    <w:rsid w:val="123A0C48"/>
    <w:rsid w:val="126D4DDF"/>
    <w:rsid w:val="12F942BB"/>
    <w:rsid w:val="130A23C8"/>
    <w:rsid w:val="13CE2DBD"/>
    <w:rsid w:val="13E1581F"/>
    <w:rsid w:val="14055456"/>
    <w:rsid w:val="1410241B"/>
    <w:rsid w:val="146A4AEC"/>
    <w:rsid w:val="14A1264A"/>
    <w:rsid w:val="14A14FAE"/>
    <w:rsid w:val="14A237DC"/>
    <w:rsid w:val="14B22D17"/>
    <w:rsid w:val="14C17805"/>
    <w:rsid w:val="152F73E7"/>
    <w:rsid w:val="1578500A"/>
    <w:rsid w:val="15937A9B"/>
    <w:rsid w:val="159A3ED7"/>
    <w:rsid w:val="15B716F5"/>
    <w:rsid w:val="160A3D95"/>
    <w:rsid w:val="161212C1"/>
    <w:rsid w:val="16133C89"/>
    <w:rsid w:val="1629525B"/>
    <w:rsid w:val="169A0A5A"/>
    <w:rsid w:val="16EA10E2"/>
    <w:rsid w:val="171A2DA3"/>
    <w:rsid w:val="17364B64"/>
    <w:rsid w:val="17400B06"/>
    <w:rsid w:val="17914727"/>
    <w:rsid w:val="17A22D12"/>
    <w:rsid w:val="17A41D79"/>
    <w:rsid w:val="17AA3F8B"/>
    <w:rsid w:val="17D45E88"/>
    <w:rsid w:val="18657FD3"/>
    <w:rsid w:val="187F540D"/>
    <w:rsid w:val="18CA4D24"/>
    <w:rsid w:val="18FC5A33"/>
    <w:rsid w:val="1914604C"/>
    <w:rsid w:val="19167A27"/>
    <w:rsid w:val="192F5006"/>
    <w:rsid w:val="19444033"/>
    <w:rsid w:val="194F153B"/>
    <w:rsid w:val="1980048D"/>
    <w:rsid w:val="19855E4D"/>
    <w:rsid w:val="198804EA"/>
    <w:rsid w:val="1991739F"/>
    <w:rsid w:val="199708B4"/>
    <w:rsid w:val="19A35684"/>
    <w:rsid w:val="19A8223C"/>
    <w:rsid w:val="19C01A32"/>
    <w:rsid w:val="19C35638"/>
    <w:rsid w:val="19C85E69"/>
    <w:rsid w:val="19D83220"/>
    <w:rsid w:val="19F3590E"/>
    <w:rsid w:val="1A1A43C2"/>
    <w:rsid w:val="1A1D4B05"/>
    <w:rsid w:val="1A3E59C6"/>
    <w:rsid w:val="1A913C2A"/>
    <w:rsid w:val="1A9F5AEC"/>
    <w:rsid w:val="1AB901AA"/>
    <w:rsid w:val="1ABA3711"/>
    <w:rsid w:val="1ACC2EC5"/>
    <w:rsid w:val="1B34092A"/>
    <w:rsid w:val="1B3604F2"/>
    <w:rsid w:val="1B367A94"/>
    <w:rsid w:val="1B391536"/>
    <w:rsid w:val="1B395F40"/>
    <w:rsid w:val="1B3E5305"/>
    <w:rsid w:val="1B7D7F7E"/>
    <w:rsid w:val="1C770035"/>
    <w:rsid w:val="1C934265"/>
    <w:rsid w:val="1CA9356C"/>
    <w:rsid w:val="1CB60D97"/>
    <w:rsid w:val="1CC41839"/>
    <w:rsid w:val="1CD540C4"/>
    <w:rsid w:val="1CE82FAE"/>
    <w:rsid w:val="1D172F01"/>
    <w:rsid w:val="1D344C11"/>
    <w:rsid w:val="1D36759C"/>
    <w:rsid w:val="1D4B7A4A"/>
    <w:rsid w:val="1D6B5FA6"/>
    <w:rsid w:val="1D9456B0"/>
    <w:rsid w:val="1D9C5353"/>
    <w:rsid w:val="1DCC309C"/>
    <w:rsid w:val="1DCD0BC2"/>
    <w:rsid w:val="1DE5415D"/>
    <w:rsid w:val="1E0730ED"/>
    <w:rsid w:val="1E4A23BC"/>
    <w:rsid w:val="1E4E3AB1"/>
    <w:rsid w:val="1EC73863"/>
    <w:rsid w:val="1EF04B68"/>
    <w:rsid w:val="1EFC175F"/>
    <w:rsid w:val="1F6514A1"/>
    <w:rsid w:val="1F841754"/>
    <w:rsid w:val="1FB21E1D"/>
    <w:rsid w:val="1FDF56B7"/>
    <w:rsid w:val="201C2D22"/>
    <w:rsid w:val="20394E26"/>
    <w:rsid w:val="204131A1"/>
    <w:rsid w:val="20462111"/>
    <w:rsid w:val="205A1343"/>
    <w:rsid w:val="206522AA"/>
    <w:rsid w:val="206A11BC"/>
    <w:rsid w:val="20B724D5"/>
    <w:rsid w:val="20C67CE7"/>
    <w:rsid w:val="21132B7C"/>
    <w:rsid w:val="215313DE"/>
    <w:rsid w:val="216E0AF3"/>
    <w:rsid w:val="21A10725"/>
    <w:rsid w:val="21D94E53"/>
    <w:rsid w:val="21E94BEF"/>
    <w:rsid w:val="2204549C"/>
    <w:rsid w:val="22313F36"/>
    <w:rsid w:val="22C541CF"/>
    <w:rsid w:val="22F26762"/>
    <w:rsid w:val="231819A0"/>
    <w:rsid w:val="233A727F"/>
    <w:rsid w:val="23700025"/>
    <w:rsid w:val="237C661D"/>
    <w:rsid w:val="23843AD1"/>
    <w:rsid w:val="23A31DC3"/>
    <w:rsid w:val="23A44173"/>
    <w:rsid w:val="23AF71DA"/>
    <w:rsid w:val="23BC14BC"/>
    <w:rsid w:val="23C10B07"/>
    <w:rsid w:val="23C75000"/>
    <w:rsid w:val="23FF42AD"/>
    <w:rsid w:val="24223CEC"/>
    <w:rsid w:val="244B0CD5"/>
    <w:rsid w:val="24641754"/>
    <w:rsid w:val="247C56A2"/>
    <w:rsid w:val="248729EA"/>
    <w:rsid w:val="248C0A40"/>
    <w:rsid w:val="24A819DF"/>
    <w:rsid w:val="24E54A43"/>
    <w:rsid w:val="24E63B07"/>
    <w:rsid w:val="256C7EDA"/>
    <w:rsid w:val="25AB104A"/>
    <w:rsid w:val="25B16F21"/>
    <w:rsid w:val="25D37B28"/>
    <w:rsid w:val="25D80104"/>
    <w:rsid w:val="25E12217"/>
    <w:rsid w:val="25F93317"/>
    <w:rsid w:val="260B04D9"/>
    <w:rsid w:val="26323CB8"/>
    <w:rsid w:val="26555BF8"/>
    <w:rsid w:val="266106CF"/>
    <w:rsid w:val="266E4C0A"/>
    <w:rsid w:val="267A080E"/>
    <w:rsid w:val="267E0CAB"/>
    <w:rsid w:val="269A7D3C"/>
    <w:rsid w:val="26E1570D"/>
    <w:rsid w:val="270E5FB0"/>
    <w:rsid w:val="27673E35"/>
    <w:rsid w:val="27E66971"/>
    <w:rsid w:val="27EC5A7D"/>
    <w:rsid w:val="27F751B9"/>
    <w:rsid w:val="27FA58DE"/>
    <w:rsid w:val="281C4006"/>
    <w:rsid w:val="2841391F"/>
    <w:rsid w:val="28452D46"/>
    <w:rsid w:val="2872534E"/>
    <w:rsid w:val="28A349F9"/>
    <w:rsid w:val="28A571DE"/>
    <w:rsid w:val="28BB61E6"/>
    <w:rsid w:val="28F33A63"/>
    <w:rsid w:val="290A4A78"/>
    <w:rsid w:val="29121B7F"/>
    <w:rsid w:val="29440026"/>
    <w:rsid w:val="29447DE6"/>
    <w:rsid w:val="295973BD"/>
    <w:rsid w:val="296E563B"/>
    <w:rsid w:val="298720F0"/>
    <w:rsid w:val="29A921CB"/>
    <w:rsid w:val="29BD4EB7"/>
    <w:rsid w:val="29D52BB5"/>
    <w:rsid w:val="29D532D8"/>
    <w:rsid w:val="29E51041"/>
    <w:rsid w:val="29F55728"/>
    <w:rsid w:val="29FA3933"/>
    <w:rsid w:val="2A070BEE"/>
    <w:rsid w:val="2A273408"/>
    <w:rsid w:val="2A4915D0"/>
    <w:rsid w:val="2A731D21"/>
    <w:rsid w:val="2A77438F"/>
    <w:rsid w:val="2A7F3244"/>
    <w:rsid w:val="2AB949A8"/>
    <w:rsid w:val="2ACD0453"/>
    <w:rsid w:val="2ACE3A90"/>
    <w:rsid w:val="2B0A5203"/>
    <w:rsid w:val="2B1225BD"/>
    <w:rsid w:val="2B252A91"/>
    <w:rsid w:val="2B4017F0"/>
    <w:rsid w:val="2B6348E0"/>
    <w:rsid w:val="2B970537"/>
    <w:rsid w:val="2BE65D10"/>
    <w:rsid w:val="2BE76212"/>
    <w:rsid w:val="2BFB4B4C"/>
    <w:rsid w:val="2C09185D"/>
    <w:rsid w:val="2C0F7531"/>
    <w:rsid w:val="2C7A0167"/>
    <w:rsid w:val="2C8F33BD"/>
    <w:rsid w:val="2C8F54B1"/>
    <w:rsid w:val="2D3801DF"/>
    <w:rsid w:val="2D5662C8"/>
    <w:rsid w:val="2DF56335"/>
    <w:rsid w:val="2DF9286A"/>
    <w:rsid w:val="2E8E1091"/>
    <w:rsid w:val="2ED6443A"/>
    <w:rsid w:val="2EE138F7"/>
    <w:rsid w:val="2F0C4BE3"/>
    <w:rsid w:val="2F377CAB"/>
    <w:rsid w:val="2F4D1ED1"/>
    <w:rsid w:val="2F535070"/>
    <w:rsid w:val="2FCB61DD"/>
    <w:rsid w:val="2FD557B3"/>
    <w:rsid w:val="2FFB336C"/>
    <w:rsid w:val="3018450B"/>
    <w:rsid w:val="30305C68"/>
    <w:rsid w:val="306B53EE"/>
    <w:rsid w:val="3071345C"/>
    <w:rsid w:val="30952D41"/>
    <w:rsid w:val="30A22E85"/>
    <w:rsid w:val="30BA3228"/>
    <w:rsid w:val="30DD0CC4"/>
    <w:rsid w:val="30E271B6"/>
    <w:rsid w:val="311A16D2"/>
    <w:rsid w:val="31397F4B"/>
    <w:rsid w:val="31541DBA"/>
    <w:rsid w:val="317070E4"/>
    <w:rsid w:val="31717451"/>
    <w:rsid w:val="31775428"/>
    <w:rsid w:val="318F7220"/>
    <w:rsid w:val="31B63FAB"/>
    <w:rsid w:val="31D65E3F"/>
    <w:rsid w:val="31EB672C"/>
    <w:rsid w:val="31F02617"/>
    <w:rsid w:val="329A6E6D"/>
    <w:rsid w:val="32A36A1D"/>
    <w:rsid w:val="32CB171C"/>
    <w:rsid w:val="32DC4272"/>
    <w:rsid w:val="33150BE9"/>
    <w:rsid w:val="3330332D"/>
    <w:rsid w:val="336C775A"/>
    <w:rsid w:val="33725861"/>
    <w:rsid w:val="33CF4883"/>
    <w:rsid w:val="33D62126"/>
    <w:rsid w:val="33D75E9F"/>
    <w:rsid w:val="33DE375D"/>
    <w:rsid w:val="33F71B1A"/>
    <w:rsid w:val="34236574"/>
    <w:rsid w:val="342A7047"/>
    <w:rsid w:val="342E014E"/>
    <w:rsid w:val="344D6AF0"/>
    <w:rsid w:val="346A0719"/>
    <w:rsid w:val="34B306BA"/>
    <w:rsid w:val="34BC46A1"/>
    <w:rsid w:val="34D36666"/>
    <w:rsid w:val="34F146C2"/>
    <w:rsid w:val="351358AA"/>
    <w:rsid w:val="351759D1"/>
    <w:rsid w:val="35303AB8"/>
    <w:rsid w:val="35324607"/>
    <w:rsid w:val="35337105"/>
    <w:rsid w:val="35C4448D"/>
    <w:rsid w:val="35D97AEC"/>
    <w:rsid w:val="363277FD"/>
    <w:rsid w:val="365E57FF"/>
    <w:rsid w:val="366A70C8"/>
    <w:rsid w:val="367479D5"/>
    <w:rsid w:val="36A04C6E"/>
    <w:rsid w:val="36AF7935"/>
    <w:rsid w:val="36B928EF"/>
    <w:rsid w:val="36D901FE"/>
    <w:rsid w:val="37164F30"/>
    <w:rsid w:val="372B7BCD"/>
    <w:rsid w:val="376728C4"/>
    <w:rsid w:val="376E08B7"/>
    <w:rsid w:val="376E08C8"/>
    <w:rsid w:val="379067CC"/>
    <w:rsid w:val="37EB1F18"/>
    <w:rsid w:val="38021539"/>
    <w:rsid w:val="380A28CA"/>
    <w:rsid w:val="38176996"/>
    <w:rsid w:val="38265787"/>
    <w:rsid w:val="383A2C56"/>
    <w:rsid w:val="384D4981"/>
    <w:rsid w:val="38514471"/>
    <w:rsid w:val="388C6E04"/>
    <w:rsid w:val="389A5030"/>
    <w:rsid w:val="389D60E4"/>
    <w:rsid w:val="38A327F3"/>
    <w:rsid w:val="38E250CA"/>
    <w:rsid w:val="393029A2"/>
    <w:rsid w:val="39832993"/>
    <w:rsid w:val="398C14D9"/>
    <w:rsid w:val="39B95231"/>
    <w:rsid w:val="39E7313A"/>
    <w:rsid w:val="39EC1C54"/>
    <w:rsid w:val="3A1F19CA"/>
    <w:rsid w:val="3A313C6D"/>
    <w:rsid w:val="3A3E4582"/>
    <w:rsid w:val="3A722D65"/>
    <w:rsid w:val="3A8B731D"/>
    <w:rsid w:val="3A946897"/>
    <w:rsid w:val="3A9B7C32"/>
    <w:rsid w:val="3AAE4F93"/>
    <w:rsid w:val="3AB17B22"/>
    <w:rsid w:val="3ACB48BB"/>
    <w:rsid w:val="3AD25272"/>
    <w:rsid w:val="3AE07D71"/>
    <w:rsid w:val="3AFC6ED7"/>
    <w:rsid w:val="3B0112DE"/>
    <w:rsid w:val="3B282FD3"/>
    <w:rsid w:val="3B375346"/>
    <w:rsid w:val="3B5129DA"/>
    <w:rsid w:val="3B5B20B0"/>
    <w:rsid w:val="3B6F098A"/>
    <w:rsid w:val="3BA33E48"/>
    <w:rsid w:val="3BBD0A54"/>
    <w:rsid w:val="3BBE58F0"/>
    <w:rsid w:val="3BC62A80"/>
    <w:rsid w:val="3BDA41CF"/>
    <w:rsid w:val="3BE4409F"/>
    <w:rsid w:val="3C0D32ED"/>
    <w:rsid w:val="3C663A24"/>
    <w:rsid w:val="3C7F41CC"/>
    <w:rsid w:val="3C8C3269"/>
    <w:rsid w:val="3C9F32D2"/>
    <w:rsid w:val="3CAE272D"/>
    <w:rsid w:val="3CB46D7D"/>
    <w:rsid w:val="3D015D3A"/>
    <w:rsid w:val="3D18555E"/>
    <w:rsid w:val="3D22018A"/>
    <w:rsid w:val="3D36469E"/>
    <w:rsid w:val="3D386234"/>
    <w:rsid w:val="3D51281E"/>
    <w:rsid w:val="3D6406AA"/>
    <w:rsid w:val="3D7B0470"/>
    <w:rsid w:val="3D8268D9"/>
    <w:rsid w:val="3D9D034F"/>
    <w:rsid w:val="3DAA0CF8"/>
    <w:rsid w:val="3DD07A03"/>
    <w:rsid w:val="3DE32F0A"/>
    <w:rsid w:val="3DEC0798"/>
    <w:rsid w:val="3E0E6961"/>
    <w:rsid w:val="3E23065E"/>
    <w:rsid w:val="3E585D6B"/>
    <w:rsid w:val="3E833C64"/>
    <w:rsid w:val="3EC75511"/>
    <w:rsid w:val="3EDB2CE7"/>
    <w:rsid w:val="3EF15274"/>
    <w:rsid w:val="3F41523B"/>
    <w:rsid w:val="3F5D34CD"/>
    <w:rsid w:val="3F9B2476"/>
    <w:rsid w:val="3FBC7BEE"/>
    <w:rsid w:val="3FC12A9B"/>
    <w:rsid w:val="40287B7C"/>
    <w:rsid w:val="40363F4D"/>
    <w:rsid w:val="403A4B1E"/>
    <w:rsid w:val="40516350"/>
    <w:rsid w:val="4081490E"/>
    <w:rsid w:val="408F79A5"/>
    <w:rsid w:val="40B17223"/>
    <w:rsid w:val="40C96B6F"/>
    <w:rsid w:val="41281AE7"/>
    <w:rsid w:val="414E5582"/>
    <w:rsid w:val="415253FA"/>
    <w:rsid w:val="41B62723"/>
    <w:rsid w:val="41C474D0"/>
    <w:rsid w:val="41C8474B"/>
    <w:rsid w:val="41CC6917"/>
    <w:rsid w:val="41CD47B2"/>
    <w:rsid w:val="420B38E3"/>
    <w:rsid w:val="423B584A"/>
    <w:rsid w:val="42622EB5"/>
    <w:rsid w:val="43166C1A"/>
    <w:rsid w:val="43252782"/>
    <w:rsid w:val="43291B47"/>
    <w:rsid w:val="432F247C"/>
    <w:rsid w:val="43625A2A"/>
    <w:rsid w:val="437159C8"/>
    <w:rsid w:val="437F06E0"/>
    <w:rsid w:val="43C31F9B"/>
    <w:rsid w:val="43D14C90"/>
    <w:rsid w:val="44093E52"/>
    <w:rsid w:val="44475071"/>
    <w:rsid w:val="445E3AFF"/>
    <w:rsid w:val="44612E7B"/>
    <w:rsid w:val="44753B35"/>
    <w:rsid w:val="449A4DBE"/>
    <w:rsid w:val="44A571E8"/>
    <w:rsid w:val="44C11A6F"/>
    <w:rsid w:val="44C935E1"/>
    <w:rsid w:val="45176918"/>
    <w:rsid w:val="45336CAD"/>
    <w:rsid w:val="45343151"/>
    <w:rsid w:val="45467DAC"/>
    <w:rsid w:val="45481728"/>
    <w:rsid w:val="456F5F37"/>
    <w:rsid w:val="45A4150D"/>
    <w:rsid w:val="45AA360D"/>
    <w:rsid w:val="45BE1410"/>
    <w:rsid w:val="45CA5863"/>
    <w:rsid w:val="45E00434"/>
    <w:rsid w:val="45F047F0"/>
    <w:rsid w:val="45F4583A"/>
    <w:rsid w:val="46054912"/>
    <w:rsid w:val="46112717"/>
    <w:rsid w:val="46307B3F"/>
    <w:rsid w:val="46317690"/>
    <w:rsid w:val="46847174"/>
    <w:rsid w:val="469448BA"/>
    <w:rsid w:val="46DC1289"/>
    <w:rsid w:val="47223F52"/>
    <w:rsid w:val="472655E6"/>
    <w:rsid w:val="477D2815"/>
    <w:rsid w:val="477E453A"/>
    <w:rsid w:val="47982EAF"/>
    <w:rsid w:val="48057C86"/>
    <w:rsid w:val="481B63B6"/>
    <w:rsid w:val="486E5336"/>
    <w:rsid w:val="487550B7"/>
    <w:rsid w:val="48887428"/>
    <w:rsid w:val="48923DAF"/>
    <w:rsid w:val="48966FB5"/>
    <w:rsid w:val="48B40105"/>
    <w:rsid w:val="48C20A74"/>
    <w:rsid w:val="48D569F9"/>
    <w:rsid w:val="48D83D6A"/>
    <w:rsid w:val="48F202EF"/>
    <w:rsid w:val="4901159C"/>
    <w:rsid w:val="496121D2"/>
    <w:rsid w:val="49747127"/>
    <w:rsid w:val="49B35FD2"/>
    <w:rsid w:val="49B45B0A"/>
    <w:rsid w:val="49BF4D9E"/>
    <w:rsid w:val="49C35222"/>
    <w:rsid w:val="49D337CF"/>
    <w:rsid w:val="49FA2BD3"/>
    <w:rsid w:val="4A642CF0"/>
    <w:rsid w:val="4A911A51"/>
    <w:rsid w:val="4A9621B8"/>
    <w:rsid w:val="4AC565F9"/>
    <w:rsid w:val="4AD325F3"/>
    <w:rsid w:val="4AE86B03"/>
    <w:rsid w:val="4AE9678B"/>
    <w:rsid w:val="4AF07AF1"/>
    <w:rsid w:val="4B4439C2"/>
    <w:rsid w:val="4B7D0A36"/>
    <w:rsid w:val="4BD110E2"/>
    <w:rsid w:val="4C261319"/>
    <w:rsid w:val="4C261844"/>
    <w:rsid w:val="4C3E48B5"/>
    <w:rsid w:val="4C5E4F57"/>
    <w:rsid w:val="4C6F4027"/>
    <w:rsid w:val="4C975D73"/>
    <w:rsid w:val="4CDF1128"/>
    <w:rsid w:val="4CEE451D"/>
    <w:rsid w:val="4D0B54AD"/>
    <w:rsid w:val="4D16026A"/>
    <w:rsid w:val="4D2A1AB4"/>
    <w:rsid w:val="4D633045"/>
    <w:rsid w:val="4DB64F6F"/>
    <w:rsid w:val="4DBA72D7"/>
    <w:rsid w:val="4DBD57AB"/>
    <w:rsid w:val="4DCC1C35"/>
    <w:rsid w:val="4DF4445C"/>
    <w:rsid w:val="4E0E47D0"/>
    <w:rsid w:val="4E2875CB"/>
    <w:rsid w:val="4E3247D7"/>
    <w:rsid w:val="4E402B66"/>
    <w:rsid w:val="4E471E75"/>
    <w:rsid w:val="4E4D0190"/>
    <w:rsid w:val="4E64507F"/>
    <w:rsid w:val="4E8113A6"/>
    <w:rsid w:val="4E8D3684"/>
    <w:rsid w:val="4E957926"/>
    <w:rsid w:val="4F224D8D"/>
    <w:rsid w:val="4F293C72"/>
    <w:rsid w:val="4F764958"/>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67040A"/>
    <w:rsid w:val="51966703"/>
    <w:rsid w:val="51A21442"/>
    <w:rsid w:val="51EA5FAC"/>
    <w:rsid w:val="520143BB"/>
    <w:rsid w:val="520E29DF"/>
    <w:rsid w:val="520F437B"/>
    <w:rsid w:val="521F0CE5"/>
    <w:rsid w:val="5237602E"/>
    <w:rsid w:val="52397BDB"/>
    <w:rsid w:val="525E180D"/>
    <w:rsid w:val="5261421A"/>
    <w:rsid w:val="52874813"/>
    <w:rsid w:val="52986A2B"/>
    <w:rsid w:val="52A068B2"/>
    <w:rsid w:val="52B4142D"/>
    <w:rsid w:val="53034162"/>
    <w:rsid w:val="53182FAD"/>
    <w:rsid w:val="53283BC9"/>
    <w:rsid w:val="536F17F8"/>
    <w:rsid w:val="53874D93"/>
    <w:rsid w:val="538C549D"/>
    <w:rsid w:val="538E7F50"/>
    <w:rsid w:val="53932FF4"/>
    <w:rsid w:val="53A820A1"/>
    <w:rsid w:val="53D37C5C"/>
    <w:rsid w:val="53DC53F9"/>
    <w:rsid w:val="54116476"/>
    <w:rsid w:val="542409DE"/>
    <w:rsid w:val="543071D9"/>
    <w:rsid w:val="543C16DA"/>
    <w:rsid w:val="54843081"/>
    <w:rsid w:val="54BC6CBF"/>
    <w:rsid w:val="54E720BB"/>
    <w:rsid w:val="54EB2944"/>
    <w:rsid w:val="54F059A9"/>
    <w:rsid w:val="551B4A12"/>
    <w:rsid w:val="5588094F"/>
    <w:rsid w:val="558A2919"/>
    <w:rsid w:val="55E76103"/>
    <w:rsid w:val="56094BBF"/>
    <w:rsid w:val="5634588C"/>
    <w:rsid w:val="56615E0C"/>
    <w:rsid w:val="566E3FE9"/>
    <w:rsid w:val="567846EC"/>
    <w:rsid w:val="56AC0B61"/>
    <w:rsid w:val="56B45E9F"/>
    <w:rsid w:val="56B5362C"/>
    <w:rsid w:val="5714693E"/>
    <w:rsid w:val="57272B15"/>
    <w:rsid w:val="575C16B2"/>
    <w:rsid w:val="575D64CC"/>
    <w:rsid w:val="57966F2A"/>
    <w:rsid w:val="57995B08"/>
    <w:rsid w:val="579C3D46"/>
    <w:rsid w:val="57AD207D"/>
    <w:rsid w:val="57CF18D5"/>
    <w:rsid w:val="5806097D"/>
    <w:rsid w:val="58130004"/>
    <w:rsid w:val="58134E48"/>
    <w:rsid w:val="583A6878"/>
    <w:rsid w:val="5889335C"/>
    <w:rsid w:val="58A028BF"/>
    <w:rsid w:val="58B80B09"/>
    <w:rsid w:val="58B93B4A"/>
    <w:rsid w:val="58C500FD"/>
    <w:rsid w:val="58DC7930"/>
    <w:rsid w:val="590C03A2"/>
    <w:rsid w:val="596334BB"/>
    <w:rsid w:val="59727BBE"/>
    <w:rsid w:val="598C4A22"/>
    <w:rsid w:val="59964C22"/>
    <w:rsid w:val="59A97E57"/>
    <w:rsid w:val="5A112DD4"/>
    <w:rsid w:val="5A4A24F3"/>
    <w:rsid w:val="5A5B1C29"/>
    <w:rsid w:val="5A7F2300"/>
    <w:rsid w:val="5AED49A0"/>
    <w:rsid w:val="5B31136D"/>
    <w:rsid w:val="5B92709A"/>
    <w:rsid w:val="5BB92C65"/>
    <w:rsid w:val="5BDA5CF3"/>
    <w:rsid w:val="5BFE0297"/>
    <w:rsid w:val="5C161EDE"/>
    <w:rsid w:val="5C207B33"/>
    <w:rsid w:val="5C875E04"/>
    <w:rsid w:val="5C880D1C"/>
    <w:rsid w:val="5C894B1F"/>
    <w:rsid w:val="5CA91A5D"/>
    <w:rsid w:val="5D04082A"/>
    <w:rsid w:val="5D27264B"/>
    <w:rsid w:val="5D2914FD"/>
    <w:rsid w:val="5D3F1908"/>
    <w:rsid w:val="5D611791"/>
    <w:rsid w:val="5D755C5D"/>
    <w:rsid w:val="5DA44563"/>
    <w:rsid w:val="5DAE0264"/>
    <w:rsid w:val="5DC5321D"/>
    <w:rsid w:val="5DD5494D"/>
    <w:rsid w:val="5DDE74C5"/>
    <w:rsid w:val="5DF77DE0"/>
    <w:rsid w:val="5E015DB2"/>
    <w:rsid w:val="5E0A0EA9"/>
    <w:rsid w:val="5E343ADF"/>
    <w:rsid w:val="5E916AC6"/>
    <w:rsid w:val="5E9640DD"/>
    <w:rsid w:val="5E992621"/>
    <w:rsid w:val="5EAC1A1F"/>
    <w:rsid w:val="5EC56A6D"/>
    <w:rsid w:val="5EC67DA5"/>
    <w:rsid w:val="5ED247CC"/>
    <w:rsid w:val="5ED41219"/>
    <w:rsid w:val="5EDB5F93"/>
    <w:rsid w:val="5F1368BC"/>
    <w:rsid w:val="5F3A0F0C"/>
    <w:rsid w:val="5F58262D"/>
    <w:rsid w:val="5F6419A2"/>
    <w:rsid w:val="5F775691"/>
    <w:rsid w:val="5FB94E35"/>
    <w:rsid w:val="600414DC"/>
    <w:rsid w:val="603319A6"/>
    <w:rsid w:val="605F1472"/>
    <w:rsid w:val="60A12843"/>
    <w:rsid w:val="60BA744E"/>
    <w:rsid w:val="60BB23FA"/>
    <w:rsid w:val="60EE6498"/>
    <w:rsid w:val="60F26A13"/>
    <w:rsid w:val="60FB49D2"/>
    <w:rsid w:val="61D474C9"/>
    <w:rsid w:val="61E6571C"/>
    <w:rsid w:val="62015640"/>
    <w:rsid w:val="62950A8E"/>
    <w:rsid w:val="629774D1"/>
    <w:rsid w:val="629C340E"/>
    <w:rsid w:val="62BE64F4"/>
    <w:rsid w:val="62C9714A"/>
    <w:rsid w:val="6329551F"/>
    <w:rsid w:val="635B3466"/>
    <w:rsid w:val="637B00FA"/>
    <w:rsid w:val="638E1826"/>
    <w:rsid w:val="639456BF"/>
    <w:rsid w:val="63DC4C88"/>
    <w:rsid w:val="64234172"/>
    <w:rsid w:val="642B52C7"/>
    <w:rsid w:val="6431668F"/>
    <w:rsid w:val="647612B4"/>
    <w:rsid w:val="64803EF5"/>
    <w:rsid w:val="64835103"/>
    <w:rsid w:val="64970BAF"/>
    <w:rsid w:val="64A84B6A"/>
    <w:rsid w:val="64AA6F1D"/>
    <w:rsid w:val="64F8164D"/>
    <w:rsid w:val="6502427A"/>
    <w:rsid w:val="65441DD4"/>
    <w:rsid w:val="656C3DE9"/>
    <w:rsid w:val="65715BFD"/>
    <w:rsid w:val="65732D00"/>
    <w:rsid w:val="65891D70"/>
    <w:rsid w:val="65B34C8C"/>
    <w:rsid w:val="65CC4888"/>
    <w:rsid w:val="65DA6D23"/>
    <w:rsid w:val="65EB4803"/>
    <w:rsid w:val="6603474E"/>
    <w:rsid w:val="66050395"/>
    <w:rsid w:val="661A0932"/>
    <w:rsid w:val="66302426"/>
    <w:rsid w:val="66364452"/>
    <w:rsid w:val="6651710F"/>
    <w:rsid w:val="66624590"/>
    <w:rsid w:val="66A870A3"/>
    <w:rsid w:val="66D020A2"/>
    <w:rsid w:val="66D90189"/>
    <w:rsid w:val="66E85FB4"/>
    <w:rsid w:val="6706096E"/>
    <w:rsid w:val="67330E86"/>
    <w:rsid w:val="674033C8"/>
    <w:rsid w:val="67614E4C"/>
    <w:rsid w:val="676762BB"/>
    <w:rsid w:val="67727B56"/>
    <w:rsid w:val="679C7C07"/>
    <w:rsid w:val="67B37AAD"/>
    <w:rsid w:val="67C55D93"/>
    <w:rsid w:val="67F524F3"/>
    <w:rsid w:val="67F92005"/>
    <w:rsid w:val="67FC6962"/>
    <w:rsid w:val="68025435"/>
    <w:rsid w:val="682409AB"/>
    <w:rsid w:val="684626D0"/>
    <w:rsid w:val="685017A0"/>
    <w:rsid w:val="688F22C8"/>
    <w:rsid w:val="689E04E4"/>
    <w:rsid w:val="68C267B6"/>
    <w:rsid w:val="68CF738C"/>
    <w:rsid w:val="68F20812"/>
    <w:rsid w:val="69021FA8"/>
    <w:rsid w:val="690C7C82"/>
    <w:rsid w:val="69137A07"/>
    <w:rsid w:val="694330B3"/>
    <w:rsid w:val="696B4D88"/>
    <w:rsid w:val="697415F1"/>
    <w:rsid w:val="697F3ADF"/>
    <w:rsid w:val="699B2EEF"/>
    <w:rsid w:val="69DA3ABA"/>
    <w:rsid w:val="6A254B00"/>
    <w:rsid w:val="6A301889"/>
    <w:rsid w:val="6A3762A4"/>
    <w:rsid w:val="6A631F51"/>
    <w:rsid w:val="6A815C41"/>
    <w:rsid w:val="6A887F5F"/>
    <w:rsid w:val="6AAB7162"/>
    <w:rsid w:val="6AC3566F"/>
    <w:rsid w:val="6AFE0025"/>
    <w:rsid w:val="6B037C3A"/>
    <w:rsid w:val="6B2B4A32"/>
    <w:rsid w:val="6B3A67D0"/>
    <w:rsid w:val="6B4B7556"/>
    <w:rsid w:val="6B5B2936"/>
    <w:rsid w:val="6B6179F5"/>
    <w:rsid w:val="6B7C13D5"/>
    <w:rsid w:val="6BB666ED"/>
    <w:rsid w:val="6BD72D2C"/>
    <w:rsid w:val="6C0652F9"/>
    <w:rsid w:val="6C53512B"/>
    <w:rsid w:val="6C560EC1"/>
    <w:rsid w:val="6C8E0AE9"/>
    <w:rsid w:val="6CA04267"/>
    <w:rsid w:val="6CA63EB8"/>
    <w:rsid w:val="6CA64085"/>
    <w:rsid w:val="6CB227F2"/>
    <w:rsid w:val="6CC30793"/>
    <w:rsid w:val="6CC8224D"/>
    <w:rsid w:val="6D0A2986"/>
    <w:rsid w:val="6D18328F"/>
    <w:rsid w:val="6D5B09CB"/>
    <w:rsid w:val="6D8C5C0C"/>
    <w:rsid w:val="6D8D7335"/>
    <w:rsid w:val="6DCF1054"/>
    <w:rsid w:val="6DF95048"/>
    <w:rsid w:val="6E0472B5"/>
    <w:rsid w:val="6E09753D"/>
    <w:rsid w:val="6E38115B"/>
    <w:rsid w:val="6E7320EC"/>
    <w:rsid w:val="6EB73860"/>
    <w:rsid w:val="6ED46BCA"/>
    <w:rsid w:val="6EF255E1"/>
    <w:rsid w:val="6F3C1C82"/>
    <w:rsid w:val="6F4B5004"/>
    <w:rsid w:val="6F8C423A"/>
    <w:rsid w:val="6F9E02F2"/>
    <w:rsid w:val="6FDB4045"/>
    <w:rsid w:val="6FED7240"/>
    <w:rsid w:val="6FF00AC7"/>
    <w:rsid w:val="700F01D3"/>
    <w:rsid w:val="7015387B"/>
    <w:rsid w:val="705A41AE"/>
    <w:rsid w:val="70C25205"/>
    <w:rsid w:val="70D07922"/>
    <w:rsid w:val="70E14841"/>
    <w:rsid w:val="7113156F"/>
    <w:rsid w:val="7148696E"/>
    <w:rsid w:val="718524BB"/>
    <w:rsid w:val="718631F8"/>
    <w:rsid w:val="71CE1DE8"/>
    <w:rsid w:val="71EE129E"/>
    <w:rsid w:val="720C6738"/>
    <w:rsid w:val="7225554A"/>
    <w:rsid w:val="722C51DE"/>
    <w:rsid w:val="72A11576"/>
    <w:rsid w:val="72B56CCB"/>
    <w:rsid w:val="72D46929"/>
    <w:rsid w:val="72D729DB"/>
    <w:rsid w:val="72EC0317"/>
    <w:rsid w:val="73315F32"/>
    <w:rsid w:val="73345CC8"/>
    <w:rsid w:val="73353469"/>
    <w:rsid w:val="73644117"/>
    <w:rsid w:val="736D3FC9"/>
    <w:rsid w:val="73BF6E3A"/>
    <w:rsid w:val="73F82639"/>
    <w:rsid w:val="74035919"/>
    <w:rsid w:val="740A0E8A"/>
    <w:rsid w:val="741D30BD"/>
    <w:rsid w:val="74213FF1"/>
    <w:rsid w:val="74962374"/>
    <w:rsid w:val="749649DF"/>
    <w:rsid w:val="74FB38D2"/>
    <w:rsid w:val="750E0A19"/>
    <w:rsid w:val="75483F2B"/>
    <w:rsid w:val="75606932"/>
    <w:rsid w:val="75685790"/>
    <w:rsid w:val="756B3B8A"/>
    <w:rsid w:val="756E5918"/>
    <w:rsid w:val="75712C55"/>
    <w:rsid w:val="757B7431"/>
    <w:rsid w:val="75D7226C"/>
    <w:rsid w:val="76136868"/>
    <w:rsid w:val="762229CE"/>
    <w:rsid w:val="76332FB4"/>
    <w:rsid w:val="76740D50"/>
    <w:rsid w:val="76766876"/>
    <w:rsid w:val="769C1001"/>
    <w:rsid w:val="76C46BC7"/>
    <w:rsid w:val="76EB38E3"/>
    <w:rsid w:val="770420D4"/>
    <w:rsid w:val="770519A8"/>
    <w:rsid w:val="771F4ADD"/>
    <w:rsid w:val="775547B2"/>
    <w:rsid w:val="777404D2"/>
    <w:rsid w:val="779E5558"/>
    <w:rsid w:val="77D85AD0"/>
    <w:rsid w:val="77F35CA4"/>
    <w:rsid w:val="781D7C27"/>
    <w:rsid w:val="7826607A"/>
    <w:rsid w:val="7875145D"/>
    <w:rsid w:val="788809AD"/>
    <w:rsid w:val="78A23E67"/>
    <w:rsid w:val="78AF7473"/>
    <w:rsid w:val="78BB3CBA"/>
    <w:rsid w:val="78D6184E"/>
    <w:rsid w:val="78F73F1F"/>
    <w:rsid w:val="78F96906"/>
    <w:rsid w:val="7901206C"/>
    <w:rsid w:val="79291DBD"/>
    <w:rsid w:val="792C76C0"/>
    <w:rsid w:val="79463D2A"/>
    <w:rsid w:val="79494F83"/>
    <w:rsid w:val="79584959"/>
    <w:rsid w:val="796E3278"/>
    <w:rsid w:val="797C0647"/>
    <w:rsid w:val="79B06543"/>
    <w:rsid w:val="79B80DE0"/>
    <w:rsid w:val="79E31A37"/>
    <w:rsid w:val="7A391CE2"/>
    <w:rsid w:val="7A411C72"/>
    <w:rsid w:val="7A574C10"/>
    <w:rsid w:val="7AAC0AB8"/>
    <w:rsid w:val="7AAF2356"/>
    <w:rsid w:val="7AD06AA1"/>
    <w:rsid w:val="7B011F41"/>
    <w:rsid w:val="7B101CDA"/>
    <w:rsid w:val="7B3F4283"/>
    <w:rsid w:val="7B4E4CD9"/>
    <w:rsid w:val="7B587A97"/>
    <w:rsid w:val="7B7209AE"/>
    <w:rsid w:val="7BD644A9"/>
    <w:rsid w:val="7C162517"/>
    <w:rsid w:val="7C2D3A49"/>
    <w:rsid w:val="7C5950EA"/>
    <w:rsid w:val="7C8F243F"/>
    <w:rsid w:val="7CC63914"/>
    <w:rsid w:val="7CE33457"/>
    <w:rsid w:val="7D3B76F6"/>
    <w:rsid w:val="7D657644"/>
    <w:rsid w:val="7D670C49"/>
    <w:rsid w:val="7D9A5540"/>
    <w:rsid w:val="7DB40352"/>
    <w:rsid w:val="7DF67493"/>
    <w:rsid w:val="7E257D31"/>
    <w:rsid w:val="7E3B4056"/>
    <w:rsid w:val="7E8640F9"/>
    <w:rsid w:val="7E8E06E9"/>
    <w:rsid w:val="7E9755DB"/>
    <w:rsid w:val="7EA31D98"/>
    <w:rsid w:val="7EC81C39"/>
    <w:rsid w:val="7EF700DD"/>
    <w:rsid w:val="7F433CA8"/>
    <w:rsid w:val="7F93439F"/>
    <w:rsid w:val="7F951BF0"/>
    <w:rsid w:val="7FBA7E52"/>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4"/>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5"/>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6"/>
    <w:autoRedefine/>
    <w:unhideWhenUsed/>
    <w:qFormat/>
    <w:uiPriority w:val="9"/>
    <w:pPr>
      <w:keepNext/>
      <w:keepLines/>
      <w:outlineLvl w:val="2"/>
    </w:pPr>
    <w:rPr>
      <w:b/>
      <w:bCs/>
      <w:szCs w:val="32"/>
    </w:rPr>
  </w:style>
  <w:style w:type="paragraph" w:styleId="5">
    <w:name w:val="heading 6"/>
    <w:basedOn w:val="1"/>
    <w:next w:val="1"/>
    <w:autoRedefine/>
    <w:unhideWhenUsed/>
    <w:qFormat/>
    <w:uiPriority w:val="9"/>
    <w:pPr>
      <w:keepNext/>
      <w:keepLines/>
      <w:outlineLvl w:val="5"/>
    </w:pPr>
    <w:rPr>
      <w:rFonts w:ascii="Cambria" w:hAnsi="Cambria"/>
      <w:bCs/>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0"/>
    <w:rPr>
      <w:rFonts w:eastAsia="黑体" w:asciiTheme="majorHAnsi" w:hAnsiTheme="majorHAnsi" w:cstheme="majorBidi"/>
      <w:sz w:val="20"/>
      <w:szCs w:val="20"/>
    </w:rPr>
  </w:style>
  <w:style w:type="paragraph" w:styleId="7">
    <w:name w:val="annotation text"/>
    <w:basedOn w:val="1"/>
    <w:link w:val="38"/>
    <w:autoRedefine/>
    <w:semiHidden/>
    <w:unhideWhenUsed/>
    <w:qFormat/>
    <w:uiPriority w:val="99"/>
    <w:pPr>
      <w:jc w:val="left"/>
    </w:pPr>
  </w:style>
  <w:style w:type="paragraph" w:styleId="8">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9">
    <w:name w:val="Body Text"/>
    <w:basedOn w:val="1"/>
    <w:next w:val="1"/>
    <w:autoRedefine/>
    <w:qFormat/>
    <w:uiPriority w:val="99"/>
    <w:rPr>
      <w:szCs w:val="21"/>
    </w:rPr>
  </w:style>
  <w:style w:type="paragraph" w:styleId="10">
    <w:name w:val="Body Text Indent"/>
    <w:basedOn w:val="1"/>
    <w:autoRedefine/>
    <w:qFormat/>
    <w:uiPriority w:val="0"/>
    <w:pPr>
      <w:ind w:left="200" w:leftChars="200"/>
    </w:pPr>
    <w:rPr>
      <w:szCs w:val="21"/>
    </w:rPr>
  </w:style>
  <w:style w:type="paragraph" w:styleId="11">
    <w:name w:val="Plain Text"/>
    <w:basedOn w:val="1"/>
    <w:autoRedefine/>
    <w:qFormat/>
    <w:uiPriority w:val="0"/>
    <w:rPr>
      <w:rFonts w:hint="eastAsia" w:ascii="宋体" w:hAnsi="Courier New" w:eastAsia="宋体" w:cs="Times New Roman"/>
      <w:szCs w:val="20"/>
    </w:rPr>
  </w:style>
  <w:style w:type="paragraph" w:styleId="12">
    <w:name w:val="Body Text Indent 2"/>
    <w:basedOn w:val="1"/>
    <w:next w:val="11"/>
    <w:autoRedefine/>
    <w:qFormat/>
    <w:uiPriority w:val="0"/>
    <w:pPr>
      <w:ind w:left="-718" w:leftChars="-342" w:firstLine="720" w:firstLineChars="225"/>
      <w:jc w:val="left"/>
    </w:pPr>
    <w:rPr>
      <w:sz w:val="32"/>
      <w:szCs w:val="32"/>
    </w:rPr>
  </w:style>
  <w:style w:type="paragraph" w:styleId="13">
    <w:name w:val="footer"/>
    <w:basedOn w:val="1"/>
    <w:link w:val="32"/>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tabs>
        <w:tab w:val="right" w:leader="dot" w:pos="8296"/>
      </w:tabs>
      <w:ind w:firstLine="0" w:firstLineChars="0"/>
    </w:pPr>
    <w:rPr>
      <w:rFonts w:hAnsi="宋体"/>
      <w:b/>
      <w:bCs/>
    </w:rPr>
  </w:style>
  <w:style w:type="paragraph" w:styleId="16">
    <w:name w:val="toc 2"/>
    <w:basedOn w:val="1"/>
    <w:next w:val="1"/>
    <w:autoRedefine/>
    <w:unhideWhenUsed/>
    <w:qFormat/>
    <w:uiPriority w:val="39"/>
    <w:pPr>
      <w:tabs>
        <w:tab w:val="right" w:leader="dot" w:pos="8296"/>
      </w:tabs>
      <w:ind w:left="560" w:leftChars="200" w:firstLine="0" w:firstLineChars="0"/>
    </w:pPr>
  </w:style>
  <w:style w:type="paragraph" w:styleId="17">
    <w:name w:val="Body Text 2"/>
    <w:basedOn w:val="1"/>
    <w:autoRedefine/>
    <w:unhideWhenUsed/>
    <w:qFormat/>
    <w:uiPriority w:val="99"/>
    <w:pPr>
      <w:spacing w:line="480" w:lineRule="auto"/>
    </w:pPr>
  </w:style>
  <w:style w:type="paragraph" w:styleId="1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autoRedefine/>
    <w:semiHidden/>
    <w:unhideWhenUsed/>
    <w:qFormat/>
    <w:uiPriority w:val="99"/>
    <w:pPr>
      <w:spacing w:beforeAutospacing="1" w:afterAutospacing="1"/>
      <w:jc w:val="left"/>
    </w:pPr>
    <w:rPr>
      <w:rFonts w:cs="Times New Roman"/>
      <w:kern w:val="0"/>
      <w:sz w:val="24"/>
    </w:rPr>
  </w:style>
  <w:style w:type="paragraph" w:styleId="20">
    <w:name w:val="index 1"/>
    <w:basedOn w:val="1"/>
    <w:next w:val="1"/>
    <w:autoRedefine/>
    <w:qFormat/>
    <w:uiPriority w:val="0"/>
  </w:style>
  <w:style w:type="paragraph" w:styleId="21">
    <w:name w:val="annotation subject"/>
    <w:basedOn w:val="7"/>
    <w:next w:val="7"/>
    <w:link w:val="39"/>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99"/>
    <w:rPr>
      <w:rFonts w:hint="default" w:ascii="Times New Roman" w:hAnsi="Times New Roman" w:cs="Times New Roman"/>
      <w:b/>
      <w:bCs/>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4"/>
    <w:autoRedefine/>
    <w:semiHidden/>
    <w:unhideWhenUsed/>
    <w:qFormat/>
    <w:uiPriority w:val="99"/>
    <w:rPr>
      <w:sz w:val="21"/>
      <w:szCs w:val="21"/>
    </w:rPr>
  </w:style>
  <w:style w:type="paragraph" w:customStyle="1" w:styleId="28">
    <w:name w:val="Body Text First Indent 2"/>
    <w:basedOn w:val="1"/>
    <w:autoRedefine/>
    <w:qFormat/>
    <w:uiPriority w:val="0"/>
    <w:pPr>
      <w:ind w:left="420" w:leftChars="200" w:firstLine="420" w:firstLineChars="200"/>
    </w:pPr>
  </w:style>
  <w:style w:type="paragraph" w:customStyle="1" w:styleId="29">
    <w:name w:val="Body Text First Indent 21"/>
    <w:basedOn w:val="1"/>
    <w:autoRedefine/>
    <w:qFormat/>
    <w:uiPriority w:val="0"/>
    <w:pPr>
      <w:ind w:left="420" w:leftChars="200" w:firstLine="420" w:firstLineChars="200"/>
    </w:pPr>
  </w:style>
  <w:style w:type="paragraph" w:customStyle="1" w:styleId="30">
    <w:name w:val="BodyTextIndent"/>
    <w:basedOn w:val="1"/>
    <w:autoRedefine/>
    <w:qFormat/>
    <w:uiPriority w:val="0"/>
    <w:pPr>
      <w:widowControl/>
      <w:ind w:left="200" w:leftChars="200"/>
      <w:jc w:val="both"/>
      <w:textAlignment w:val="baseline"/>
    </w:pPr>
    <w:rPr>
      <w:kern w:val="2"/>
      <w:sz w:val="21"/>
      <w:szCs w:val="21"/>
      <w:lang w:val="en-US" w:eastAsia="zh-CN" w:bidi="ar-SA"/>
    </w:rPr>
  </w:style>
  <w:style w:type="character" w:customStyle="1" w:styleId="31">
    <w:name w:val="页眉 字符"/>
    <w:basedOn w:val="24"/>
    <w:link w:val="14"/>
    <w:autoRedefine/>
    <w:qFormat/>
    <w:uiPriority w:val="99"/>
    <w:rPr>
      <w:sz w:val="18"/>
      <w:szCs w:val="18"/>
    </w:rPr>
  </w:style>
  <w:style w:type="character" w:customStyle="1" w:styleId="32">
    <w:name w:val="页脚 字符"/>
    <w:basedOn w:val="24"/>
    <w:link w:val="13"/>
    <w:autoRedefine/>
    <w:qFormat/>
    <w:uiPriority w:val="99"/>
    <w:rPr>
      <w:sz w:val="18"/>
      <w:szCs w:val="18"/>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4">
    <w:name w:val="标题 1 字符"/>
    <w:basedOn w:val="24"/>
    <w:link w:val="2"/>
    <w:autoRedefine/>
    <w:qFormat/>
    <w:uiPriority w:val="9"/>
    <w:rPr>
      <w:rFonts w:ascii="黑体" w:hAnsi="黑体" w:eastAsia="黑体"/>
      <w:b/>
      <w:bCs/>
      <w:kern w:val="44"/>
      <w:sz w:val="32"/>
      <w:szCs w:val="44"/>
    </w:rPr>
  </w:style>
  <w:style w:type="character" w:customStyle="1" w:styleId="35">
    <w:name w:val="标题 2 字符"/>
    <w:basedOn w:val="24"/>
    <w:link w:val="3"/>
    <w:autoRedefine/>
    <w:qFormat/>
    <w:uiPriority w:val="9"/>
    <w:rPr>
      <w:rFonts w:ascii="楷体" w:hAnsi="楷体" w:eastAsia="楷体" w:cstheme="majorBidi"/>
      <w:b/>
      <w:bCs/>
      <w:sz w:val="32"/>
      <w:szCs w:val="32"/>
    </w:rPr>
  </w:style>
  <w:style w:type="character" w:customStyle="1" w:styleId="36">
    <w:name w:val="标题 3 字符"/>
    <w:basedOn w:val="24"/>
    <w:link w:val="4"/>
    <w:autoRedefine/>
    <w:qFormat/>
    <w:uiPriority w:val="9"/>
    <w:rPr>
      <w:rFonts w:ascii="仿宋_GB2312" w:hAnsi="仿宋_GB2312" w:eastAsia="仿宋_GB2312"/>
      <w:b/>
      <w:bCs/>
      <w:sz w:val="28"/>
      <w:szCs w:val="32"/>
    </w:rPr>
  </w:style>
  <w:style w:type="character" w:customStyle="1" w:styleId="37">
    <w:name w:val="font01"/>
    <w:basedOn w:val="24"/>
    <w:autoRedefine/>
    <w:qFormat/>
    <w:uiPriority w:val="0"/>
    <w:rPr>
      <w:rFonts w:hint="eastAsia" w:ascii="宋体" w:hAnsi="宋体" w:eastAsia="宋体" w:cs="宋体"/>
      <w:color w:val="000000"/>
      <w:sz w:val="21"/>
      <w:szCs w:val="21"/>
      <w:u w:val="none"/>
    </w:rPr>
  </w:style>
  <w:style w:type="character" w:customStyle="1" w:styleId="38">
    <w:name w:val="批注文字 字符"/>
    <w:basedOn w:val="24"/>
    <w:link w:val="7"/>
    <w:autoRedefine/>
    <w:semiHidden/>
    <w:qFormat/>
    <w:uiPriority w:val="99"/>
    <w:rPr>
      <w:rFonts w:ascii="仿宋_GB2312" w:hAnsi="仿宋_GB2312" w:eastAsia="仿宋_GB2312" w:cstheme="minorBidi"/>
      <w:kern w:val="2"/>
      <w:sz w:val="28"/>
      <w:szCs w:val="22"/>
    </w:rPr>
  </w:style>
  <w:style w:type="character" w:customStyle="1" w:styleId="39">
    <w:name w:val="批注主题 字符"/>
    <w:basedOn w:val="38"/>
    <w:link w:val="21"/>
    <w:autoRedefine/>
    <w:semiHidden/>
    <w:qFormat/>
    <w:uiPriority w:val="99"/>
    <w:rPr>
      <w:rFonts w:ascii="仿宋_GB2312" w:hAnsi="仿宋_GB2312" w:eastAsia="仿宋_GB2312" w:cstheme="minorBidi"/>
      <w:b/>
      <w:bCs/>
      <w:kern w:val="2"/>
      <w:sz w:val="28"/>
      <w:szCs w:val="22"/>
    </w:rPr>
  </w:style>
  <w:style w:type="paragraph" w:customStyle="1" w:styleId="40">
    <w:name w:val="NormalIndent"/>
    <w:basedOn w:val="1"/>
    <w:autoRedefine/>
    <w:qFormat/>
    <w:uiPriority w:val="99"/>
    <w:pPr>
      <w:ind w:firstLine="420" w:firstLineChars="200"/>
      <w:textAlignment w:val="baseline"/>
    </w:pPr>
    <w:rPr>
      <w:szCs w:val="21"/>
    </w:rPr>
  </w:style>
  <w:style w:type="character" w:customStyle="1" w:styleId="41">
    <w:name w:val="content1"/>
    <w:basedOn w:val="24"/>
    <w:autoRedefine/>
    <w:qFormat/>
    <w:uiPriority w:val="0"/>
    <w:rPr>
      <w:rFonts w:hint="default"/>
      <w:sz w:val="21"/>
    </w:rPr>
  </w:style>
  <w:style w:type="paragraph" w:customStyle="1" w:styleId="42">
    <w:name w:val="Char2"/>
    <w:basedOn w:val="1"/>
    <w:autoRedefine/>
    <w:qFormat/>
    <w:uiPriority w:val="0"/>
    <w:rPr>
      <w:rFonts w:ascii="Courier" w:hAnsi="Courier" w:cs="Courier"/>
      <w:szCs w:val="21"/>
    </w:rPr>
  </w:style>
  <w:style w:type="character" w:customStyle="1" w:styleId="43">
    <w:name w:val="NormalCharacter"/>
    <w:autoRedefine/>
    <w:semiHidden/>
    <w:qFormat/>
    <w:uiPriority w:val="0"/>
  </w:style>
  <w:style w:type="paragraph" w:customStyle="1" w:styleId="44">
    <w:name w:val="Normal Indent1"/>
    <w:basedOn w:val="1"/>
    <w:autoRedefine/>
    <w:qFormat/>
    <w:uiPriority w:val="99"/>
    <w:pPr>
      <w:ind w:firstLine="420"/>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styleId="47">
    <w:name w:val="List Paragraph"/>
    <w:basedOn w:val="1"/>
    <w:autoRedefine/>
    <w:qFormat/>
    <w:uiPriority w:val="34"/>
    <w:pPr>
      <w:ind w:firstLine="420" w:firstLineChars="200"/>
    </w:pPr>
  </w:style>
  <w:style w:type="paragraph" w:customStyle="1" w:styleId="48">
    <w:name w:val="l正文"/>
    <w:basedOn w:val="1"/>
    <w:autoRedefine/>
    <w:qFormat/>
    <w:uiPriority w:val="0"/>
    <w:pPr>
      <w:spacing w:line="360" w:lineRule="auto"/>
      <w:ind w:firstLine="200" w:firstLineChars="200"/>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11768</Words>
  <Characters>13528</Characters>
  <Lines>132</Lines>
  <Paragraphs>37</Paragraphs>
  <TotalTime>0</TotalTime>
  <ScaleCrop>false</ScaleCrop>
  <LinksUpToDate>false</LinksUpToDate>
  <CharactersWithSpaces>13659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橘子bz6l) 6yair</cp:lastModifiedBy>
  <cp:lastPrinted>2023-07-27T09:52:00Z</cp:lastPrinted>
  <dcterms:modified xsi:type="dcterms:W3CDTF">2024-04-01T08:29:40Z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25A75D4CDE6D4E44855E48FE4971BE8F_13</vt:lpwstr>
  </property>
</Properties>
</file>