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5C" w:rsidRDefault="004E545C">
      <w:pPr>
        <w:spacing w:line="480" w:lineRule="auto"/>
        <w:ind w:firstLine="883"/>
        <w:jc w:val="left"/>
        <w:rPr>
          <w:rFonts w:ascii="宋体" w:eastAsia="宋体" w:hAnsi="宋体"/>
          <w:b/>
          <w:bCs/>
          <w:sz w:val="44"/>
          <w:szCs w:val="44"/>
        </w:rPr>
      </w:pPr>
    </w:p>
    <w:p w:rsidR="004E545C" w:rsidRDefault="004E545C">
      <w:pPr>
        <w:spacing w:line="480" w:lineRule="auto"/>
        <w:ind w:firstLine="883"/>
        <w:jc w:val="left"/>
        <w:rPr>
          <w:rFonts w:ascii="宋体" w:eastAsia="宋体" w:hAnsi="宋体"/>
          <w:b/>
          <w:bCs/>
          <w:sz w:val="44"/>
          <w:szCs w:val="44"/>
        </w:rPr>
      </w:pPr>
    </w:p>
    <w:p w:rsidR="004E545C" w:rsidRDefault="004E545C">
      <w:pPr>
        <w:spacing w:line="480" w:lineRule="auto"/>
        <w:ind w:firstLine="883"/>
        <w:jc w:val="left"/>
        <w:rPr>
          <w:rFonts w:ascii="宋体" w:eastAsia="宋体" w:hAnsi="宋体"/>
          <w:b/>
          <w:bCs/>
          <w:sz w:val="44"/>
          <w:szCs w:val="44"/>
        </w:rPr>
      </w:pPr>
    </w:p>
    <w:p w:rsidR="004E545C" w:rsidRDefault="00E62B5F">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2023年度静宁县人民法院</w:t>
      </w:r>
    </w:p>
    <w:p w:rsidR="004E545C" w:rsidRDefault="00E62B5F">
      <w:pPr>
        <w:spacing w:line="720" w:lineRule="auto"/>
        <w:ind w:firstLineChars="0" w:firstLine="0"/>
        <w:jc w:val="center"/>
        <w:rPr>
          <w:rFonts w:ascii="宋体" w:eastAsia="宋体" w:hAnsi="宋体"/>
          <w:b/>
          <w:bCs/>
          <w:sz w:val="44"/>
          <w:szCs w:val="44"/>
        </w:rPr>
      </w:pP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p>
    <w:p w:rsidR="004E545C" w:rsidRDefault="004E545C">
      <w:pPr>
        <w:widowControl/>
        <w:spacing w:line="240" w:lineRule="auto"/>
        <w:ind w:firstLineChars="0" w:firstLine="0"/>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4E545C">
      <w:pPr>
        <w:ind w:firstLine="883"/>
        <w:jc w:val="center"/>
        <w:rPr>
          <w:rFonts w:ascii="宋体" w:eastAsia="宋体" w:hAnsi="宋体"/>
          <w:b/>
          <w:bCs/>
          <w:sz w:val="44"/>
          <w:szCs w:val="44"/>
        </w:rPr>
      </w:pPr>
    </w:p>
    <w:p w:rsidR="004E545C" w:rsidRDefault="00E62B5F">
      <w:pPr>
        <w:ind w:firstLineChars="0" w:firstLine="0"/>
        <w:jc w:val="center"/>
        <w:rPr>
          <w:rFonts w:ascii="宋体" w:eastAsia="宋体" w:hAnsi="宋体"/>
          <w:b/>
          <w:bCs/>
          <w:sz w:val="32"/>
          <w:szCs w:val="32"/>
        </w:rPr>
      </w:pPr>
      <w:r>
        <w:rPr>
          <w:rFonts w:ascii="宋体" w:eastAsia="宋体" w:hAnsi="宋体" w:hint="eastAsia"/>
          <w:b/>
          <w:bCs/>
          <w:sz w:val="32"/>
          <w:szCs w:val="32"/>
        </w:rPr>
        <w:t>静宁县人民法院</w:t>
      </w:r>
    </w:p>
    <w:p w:rsidR="004E545C" w:rsidRDefault="00E62B5F">
      <w:pPr>
        <w:ind w:firstLineChars="0" w:firstLine="0"/>
        <w:jc w:val="center"/>
        <w:rPr>
          <w:rFonts w:ascii="宋体" w:eastAsia="宋体" w:hAnsi="宋体"/>
          <w:b/>
          <w:bCs/>
          <w:sz w:val="32"/>
          <w:szCs w:val="32"/>
        </w:rPr>
      </w:pPr>
      <w:r>
        <w:rPr>
          <w:rFonts w:ascii="宋体" w:eastAsia="宋体" w:hAnsi="宋体" w:hint="eastAsia"/>
          <w:b/>
          <w:bCs/>
          <w:sz w:val="32"/>
          <w:szCs w:val="32"/>
        </w:rPr>
        <w:t>2024年2月27日</w:t>
      </w:r>
    </w:p>
    <w:p w:rsidR="004E545C" w:rsidRDefault="004E545C">
      <w:pPr>
        <w:ind w:firstLine="560"/>
        <w:jc w:val="left"/>
      </w:pPr>
    </w:p>
    <w:p w:rsidR="004E545C" w:rsidRDefault="004E545C">
      <w:pPr>
        <w:pStyle w:val="TOC1"/>
        <w:spacing w:line="360" w:lineRule="auto"/>
        <w:ind w:firstLine="560"/>
        <w:jc w:val="center"/>
        <w:rPr>
          <w:rFonts w:ascii="仿宋_GB2312" w:eastAsia="仿宋_GB2312" w:hAnsi="仿宋_GB2312" w:cstheme="minorBidi"/>
          <w:color w:val="auto"/>
          <w:kern w:val="2"/>
          <w:sz w:val="28"/>
          <w:szCs w:val="22"/>
          <w:lang w:val="zh-CN"/>
        </w:rPr>
        <w:sectPr w:rsidR="004E54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sdt>
      <w:sdtPr>
        <w:rPr>
          <w:rFonts w:ascii="仿宋_GB2312" w:eastAsia="仿宋_GB2312" w:hAnsi="仿宋_GB2312" w:cstheme="minorBidi"/>
          <w:color w:val="auto"/>
          <w:kern w:val="2"/>
          <w:sz w:val="28"/>
          <w:szCs w:val="22"/>
          <w:lang w:val="zh-CN"/>
        </w:rPr>
        <w:id w:val="-789518963"/>
        <w:docPartObj>
          <w:docPartGallery w:val="Table of Contents"/>
          <w:docPartUnique/>
        </w:docPartObj>
      </w:sdtPr>
      <w:sdtEndPr>
        <w:rPr>
          <w:b/>
          <w:bCs/>
        </w:rPr>
      </w:sdtEndPr>
      <w:sdtContent>
        <w:p w:rsidR="004E545C" w:rsidRDefault="00E62B5F">
          <w:pPr>
            <w:pStyle w:val="TOC1"/>
            <w:spacing w:line="360" w:lineRule="auto"/>
            <w:ind w:firstLine="560"/>
            <w:jc w:val="center"/>
          </w:pPr>
          <w:r>
            <w:rPr>
              <w:rFonts w:ascii="黑体" w:eastAsia="黑体" w:hAnsi="黑体"/>
              <w:color w:val="auto"/>
              <w:lang w:val="zh-CN"/>
            </w:rPr>
            <w:t>目录</w:t>
          </w:r>
          <w:r w:rsidR="0017213B" w:rsidRPr="0017213B">
            <w:fldChar w:fldCharType="begin"/>
          </w:r>
          <w:r>
            <w:instrText xml:space="preserve"> TOC \o "1-2" \h \z \u </w:instrText>
          </w:r>
          <w:r w:rsidR="0017213B" w:rsidRPr="0017213B">
            <w:fldChar w:fldCharType="separate"/>
          </w:r>
        </w:p>
        <w:p w:rsidR="004E545C" w:rsidRDefault="0017213B">
          <w:pPr>
            <w:pStyle w:val="10"/>
            <w:tabs>
              <w:tab w:val="clear" w:pos="8296"/>
              <w:tab w:val="right" w:leader="dot" w:pos="8306"/>
            </w:tabs>
          </w:pPr>
          <w:hyperlink w:anchor="_Toc16494" w:history="1">
            <w:r w:rsidR="00E62B5F">
              <w:rPr>
                <w:rFonts w:hint="eastAsia"/>
              </w:rPr>
              <w:t>一、基本情况</w:t>
            </w:r>
            <w:r w:rsidR="00E62B5F">
              <w:tab/>
            </w:r>
            <w:r>
              <w:fldChar w:fldCharType="begin"/>
            </w:r>
            <w:r w:rsidR="00E62B5F">
              <w:instrText xml:space="preserve"> PAGEREF _Toc16494 \h </w:instrText>
            </w:r>
            <w:r>
              <w:fldChar w:fldCharType="separate"/>
            </w:r>
            <w:r w:rsidR="00E62B5F">
              <w:t>1</w:t>
            </w:r>
            <w:r>
              <w:fldChar w:fldCharType="end"/>
            </w:r>
          </w:hyperlink>
        </w:p>
        <w:p w:rsidR="004E545C" w:rsidRDefault="0017213B">
          <w:pPr>
            <w:pStyle w:val="21"/>
            <w:tabs>
              <w:tab w:val="clear" w:pos="8296"/>
              <w:tab w:val="right" w:leader="dot" w:pos="8306"/>
            </w:tabs>
          </w:pPr>
          <w:hyperlink w:anchor="_Toc16975" w:history="1">
            <w:r w:rsidR="00E62B5F">
              <w:rPr>
                <w:rFonts w:hint="eastAsia"/>
              </w:rPr>
              <w:t>（一）部门主要职能</w:t>
            </w:r>
            <w:r w:rsidR="00E62B5F">
              <w:tab/>
            </w:r>
            <w:r>
              <w:fldChar w:fldCharType="begin"/>
            </w:r>
            <w:r w:rsidR="00E62B5F">
              <w:instrText xml:space="preserve"> PAGEREF _Toc16975 \h </w:instrText>
            </w:r>
            <w:r>
              <w:fldChar w:fldCharType="separate"/>
            </w:r>
            <w:r w:rsidR="00E62B5F">
              <w:t>1</w:t>
            </w:r>
            <w:r>
              <w:fldChar w:fldCharType="end"/>
            </w:r>
          </w:hyperlink>
        </w:p>
        <w:p w:rsidR="004E545C" w:rsidRDefault="0017213B">
          <w:pPr>
            <w:pStyle w:val="21"/>
            <w:tabs>
              <w:tab w:val="clear" w:pos="8296"/>
              <w:tab w:val="right" w:leader="dot" w:pos="8306"/>
            </w:tabs>
          </w:pPr>
          <w:hyperlink w:anchor="_Toc21539" w:history="1">
            <w:r w:rsidR="00E62B5F">
              <w:rPr>
                <w:rFonts w:hint="eastAsia"/>
              </w:rPr>
              <w:t>（二）内设机构及所属部门概况</w:t>
            </w:r>
            <w:r w:rsidR="00E62B5F">
              <w:tab/>
            </w:r>
            <w:r>
              <w:fldChar w:fldCharType="begin"/>
            </w:r>
            <w:r w:rsidR="00E62B5F">
              <w:instrText xml:space="preserve"> PAGEREF _Toc21539 \h </w:instrText>
            </w:r>
            <w:r>
              <w:fldChar w:fldCharType="separate"/>
            </w:r>
            <w:r w:rsidR="00E62B5F">
              <w:t>2</w:t>
            </w:r>
            <w:r>
              <w:fldChar w:fldCharType="end"/>
            </w:r>
          </w:hyperlink>
        </w:p>
        <w:p w:rsidR="004E545C" w:rsidRDefault="0017213B">
          <w:pPr>
            <w:pStyle w:val="10"/>
            <w:tabs>
              <w:tab w:val="clear" w:pos="8296"/>
              <w:tab w:val="right" w:leader="dot" w:pos="8306"/>
            </w:tabs>
          </w:pPr>
          <w:hyperlink w:anchor="_Toc26419" w:history="1">
            <w:r w:rsidR="00E62B5F">
              <w:rPr>
                <w:rFonts w:hint="eastAsia"/>
              </w:rPr>
              <w:t>二、绩效自评工作组织开展情况</w:t>
            </w:r>
            <w:bookmarkStart w:id="0" w:name="_GoBack"/>
            <w:bookmarkEnd w:id="0"/>
            <w:r w:rsidR="00E62B5F">
              <w:tab/>
            </w:r>
            <w:r>
              <w:fldChar w:fldCharType="begin"/>
            </w:r>
            <w:r w:rsidR="00E62B5F">
              <w:instrText xml:space="preserve"> PAGEREF _Toc26419 \h </w:instrText>
            </w:r>
            <w:r>
              <w:fldChar w:fldCharType="separate"/>
            </w:r>
            <w:r w:rsidR="00E62B5F">
              <w:t>2</w:t>
            </w:r>
            <w:r>
              <w:fldChar w:fldCharType="end"/>
            </w:r>
          </w:hyperlink>
        </w:p>
        <w:p w:rsidR="004E545C" w:rsidRDefault="0017213B">
          <w:pPr>
            <w:pStyle w:val="21"/>
            <w:tabs>
              <w:tab w:val="clear" w:pos="8296"/>
              <w:tab w:val="right" w:leader="dot" w:pos="8306"/>
            </w:tabs>
          </w:pPr>
          <w:hyperlink w:anchor="_Toc26513" w:history="1">
            <w:r w:rsidR="00E62B5F">
              <w:rPr>
                <w:rFonts w:hint="eastAsia"/>
              </w:rPr>
              <w:t>（一）自评工作组织管理情况</w:t>
            </w:r>
            <w:r w:rsidR="00E62B5F">
              <w:tab/>
            </w:r>
            <w:r>
              <w:fldChar w:fldCharType="begin"/>
            </w:r>
            <w:r w:rsidR="00E62B5F">
              <w:instrText xml:space="preserve"> PAGEREF _Toc26513 \h </w:instrText>
            </w:r>
            <w:r>
              <w:fldChar w:fldCharType="separate"/>
            </w:r>
            <w:r w:rsidR="00E62B5F">
              <w:t>2</w:t>
            </w:r>
            <w:r>
              <w:fldChar w:fldCharType="end"/>
            </w:r>
          </w:hyperlink>
        </w:p>
        <w:p w:rsidR="004E545C" w:rsidRDefault="0017213B">
          <w:pPr>
            <w:pStyle w:val="21"/>
            <w:tabs>
              <w:tab w:val="clear" w:pos="8296"/>
              <w:tab w:val="right" w:leader="dot" w:pos="8306"/>
            </w:tabs>
          </w:pPr>
          <w:hyperlink w:anchor="_Toc16440" w:history="1">
            <w:r w:rsidR="00E62B5F">
              <w:rPr>
                <w:rFonts w:hint="eastAsia"/>
              </w:rPr>
              <w:t>（二）自评对象和范围</w:t>
            </w:r>
            <w:r w:rsidR="00E62B5F">
              <w:tab/>
            </w:r>
            <w:r>
              <w:fldChar w:fldCharType="begin"/>
            </w:r>
            <w:r w:rsidR="00E62B5F">
              <w:instrText xml:space="preserve"> PAGEREF _Toc16440 \h </w:instrText>
            </w:r>
            <w:r>
              <w:fldChar w:fldCharType="separate"/>
            </w:r>
            <w:r w:rsidR="00E62B5F">
              <w:t>3</w:t>
            </w:r>
            <w:r>
              <w:fldChar w:fldCharType="end"/>
            </w:r>
          </w:hyperlink>
        </w:p>
        <w:p w:rsidR="004E545C" w:rsidRDefault="0017213B">
          <w:pPr>
            <w:pStyle w:val="21"/>
            <w:tabs>
              <w:tab w:val="clear" w:pos="8296"/>
              <w:tab w:val="right" w:leader="dot" w:pos="8306"/>
            </w:tabs>
          </w:pPr>
          <w:hyperlink w:anchor="_Toc21930" w:history="1">
            <w:r w:rsidR="00E62B5F">
              <w:rPr>
                <w:rFonts w:hint="eastAsia"/>
              </w:rPr>
              <w:t>（三）自评工作程序</w:t>
            </w:r>
            <w:r w:rsidR="00E62B5F">
              <w:tab/>
            </w:r>
            <w:r>
              <w:fldChar w:fldCharType="begin"/>
            </w:r>
            <w:r w:rsidR="00E62B5F">
              <w:instrText xml:space="preserve"> PAGEREF _Toc21930 \h </w:instrText>
            </w:r>
            <w:r>
              <w:fldChar w:fldCharType="separate"/>
            </w:r>
            <w:r w:rsidR="00E62B5F">
              <w:t>3</w:t>
            </w:r>
            <w:r>
              <w:fldChar w:fldCharType="end"/>
            </w:r>
          </w:hyperlink>
        </w:p>
        <w:p w:rsidR="004E545C" w:rsidRDefault="0017213B">
          <w:pPr>
            <w:pStyle w:val="10"/>
            <w:tabs>
              <w:tab w:val="clear" w:pos="8296"/>
              <w:tab w:val="right" w:leader="dot" w:pos="8306"/>
            </w:tabs>
          </w:pPr>
          <w:hyperlink w:anchor="_Toc28948" w:history="1">
            <w:r w:rsidR="00E62B5F">
              <w:rPr>
                <w:rFonts w:hint="eastAsia"/>
              </w:rPr>
              <w:t>三、部门整体支出绩效自评情况分析</w:t>
            </w:r>
            <w:r w:rsidR="00E62B5F">
              <w:tab/>
            </w:r>
            <w:r>
              <w:fldChar w:fldCharType="begin"/>
            </w:r>
            <w:r w:rsidR="00E62B5F">
              <w:instrText xml:space="preserve"> PAGEREF _Toc28948 \h </w:instrText>
            </w:r>
            <w:r>
              <w:fldChar w:fldCharType="separate"/>
            </w:r>
            <w:r w:rsidR="00E62B5F">
              <w:t>4</w:t>
            </w:r>
            <w:r>
              <w:fldChar w:fldCharType="end"/>
            </w:r>
          </w:hyperlink>
        </w:p>
        <w:p w:rsidR="004E545C" w:rsidRDefault="0017213B">
          <w:pPr>
            <w:pStyle w:val="21"/>
            <w:tabs>
              <w:tab w:val="clear" w:pos="8296"/>
              <w:tab w:val="right" w:leader="dot" w:pos="8306"/>
            </w:tabs>
          </w:pPr>
          <w:hyperlink w:anchor="_Toc7624" w:history="1">
            <w:r w:rsidR="00E62B5F">
              <w:rPr>
                <w:rFonts w:hint="eastAsia"/>
              </w:rPr>
              <w:t>（一）部门决算情况</w:t>
            </w:r>
            <w:r w:rsidR="00E62B5F">
              <w:tab/>
            </w:r>
            <w:r>
              <w:fldChar w:fldCharType="begin"/>
            </w:r>
            <w:r w:rsidR="00E62B5F">
              <w:instrText xml:space="preserve"> PAGEREF _Toc7624 \h </w:instrText>
            </w:r>
            <w:r>
              <w:fldChar w:fldCharType="separate"/>
            </w:r>
            <w:r w:rsidR="00E62B5F">
              <w:t>4</w:t>
            </w:r>
            <w:r>
              <w:fldChar w:fldCharType="end"/>
            </w:r>
          </w:hyperlink>
        </w:p>
        <w:p w:rsidR="004E545C" w:rsidRDefault="0017213B">
          <w:pPr>
            <w:pStyle w:val="21"/>
            <w:tabs>
              <w:tab w:val="clear" w:pos="8296"/>
              <w:tab w:val="right" w:leader="dot" w:pos="8306"/>
            </w:tabs>
          </w:pPr>
          <w:hyperlink w:anchor="_Toc9281" w:history="1">
            <w:r w:rsidR="00E62B5F">
              <w:rPr>
                <w:rFonts w:hint="eastAsia"/>
              </w:rPr>
              <w:t>（二）总体绩效目标完成情况分析</w:t>
            </w:r>
            <w:r w:rsidR="00E62B5F">
              <w:tab/>
            </w:r>
            <w:r>
              <w:fldChar w:fldCharType="begin"/>
            </w:r>
            <w:r w:rsidR="00E62B5F">
              <w:instrText xml:space="preserve"> PAGEREF _Toc9281 \h </w:instrText>
            </w:r>
            <w:r>
              <w:fldChar w:fldCharType="separate"/>
            </w:r>
            <w:r w:rsidR="00E62B5F">
              <w:t>4</w:t>
            </w:r>
            <w:r>
              <w:fldChar w:fldCharType="end"/>
            </w:r>
          </w:hyperlink>
        </w:p>
        <w:p w:rsidR="004E545C" w:rsidRDefault="0017213B">
          <w:pPr>
            <w:pStyle w:val="21"/>
            <w:tabs>
              <w:tab w:val="clear" w:pos="8296"/>
              <w:tab w:val="right" w:leader="dot" w:pos="8306"/>
            </w:tabs>
          </w:pPr>
          <w:hyperlink w:anchor="_Toc3782" w:history="1">
            <w:r w:rsidR="00E62B5F">
              <w:rPr>
                <w:rFonts w:hint="eastAsia"/>
              </w:rPr>
              <w:t>（三）各项指标完成情况分析</w:t>
            </w:r>
            <w:r w:rsidR="00E62B5F">
              <w:tab/>
            </w:r>
            <w:r>
              <w:fldChar w:fldCharType="begin"/>
            </w:r>
            <w:r w:rsidR="00E62B5F">
              <w:instrText xml:space="preserve"> PAGEREF _Toc3782 \h </w:instrText>
            </w:r>
            <w:r>
              <w:fldChar w:fldCharType="separate"/>
            </w:r>
            <w:r w:rsidR="00E62B5F">
              <w:t>5</w:t>
            </w:r>
            <w:r>
              <w:fldChar w:fldCharType="end"/>
            </w:r>
          </w:hyperlink>
        </w:p>
        <w:p w:rsidR="004E545C" w:rsidRDefault="0017213B">
          <w:pPr>
            <w:pStyle w:val="21"/>
            <w:tabs>
              <w:tab w:val="clear" w:pos="8296"/>
              <w:tab w:val="right" w:leader="dot" w:pos="8306"/>
            </w:tabs>
          </w:pPr>
          <w:hyperlink w:anchor="_Toc10840" w:history="1">
            <w:r w:rsidR="00E62B5F">
              <w:rPr>
                <w:rFonts w:hint="eastAsia"/>
              </w:rPr>
              <w:t>（四）偏离绩效目标的原因及下一步改进措施</w:t>
            </w:r>
            <w:r w:rsidR="00E62B5F">
              <w:tab/>
            </w:r>
            <w:r>
              <w:fldChar w:fldCharType="begin"/>
            </w:r>
            <w:r w:rsidR="00E62B5F">
              <w:instrText xml:space="preserve"> PAGEREF _Toc10840 \h </w:instrText>
            </w:r>
            <w:r>
              <w:fldChar w:fldCharType="separate"/>
            </w:r>
            <w:r w:rsidR="00E62B5F">
              <w:t>10</w:t>
            </w:r>
            <w:r>
              <w:fldChar w:fldCharType="end"/>
            </w:r>
          </w:hyperlink>
        </w:p>
        <w:p w:rsidR="004E545C" w:rsidRDefault="0017213B">
          <w:pPr>
            <w:pStyle w:val="10"/>
            <w:tabs>
              <w:tab w:val="clear" w:pos="8296"/>
              <w:tab w:val="right" w:leader="dot" w:pos="8306"/>
            </w:tabs>
          </w:pPr>
          <w:hyperlink w:anchor="_Toc1910" w:history="1">
            <w:r w:rsidR="00E62B5F">
              <w:rPr>
                <w:rFonts w:hint="eastAsia"/>
              </w:rPr>
              <w:t>四、部门预算项目支出绩效自评情况分析</w:t>
            </w:r>
            <w:r w:rsidR="00E62B5F">
              <w:tab/>
            </w:r>
            <w:r w:rsidRPr="00BA4F2E">
              <w:fldChar w:fldCharType="begin"/>
            </w:r>
            <w:r w:rsidR="00E62B5F" w:rsidRPr="00BA4F2E">
              <w:instrText xml:space="preserve"> PAGEREF _Toc1910 \h </w:instrText>
            </w:r>
            <w:r w:rsidRPr="00BA4F2E">
              <w:fldChar w:fldCharType="separate"/>
            </w:r>
            <w:r w:rsidR="00E62B5F" w:rsidRPr="00BA4F2E">
              <w:t>10</w:t>
            </w:r>
            <w:r w:rsidRPr="00BA4F2E">
              <w:fldChar w:fldCharType="end"/>
            </w:r>
          </w:hyperlink>
        </w:p>
        <w:p w:rsidR="004E545C" w:rsidRDefault="0017213B">
          <w:pPr>
            <w:pStyle w:val="21"/>
            <w:tabs>
              <w:tab w:val="clear" w:pos="8296"/>
              <w:tab w:val="right" w:leader="dot" w:pos="8306"/>
            </w:tabs>
          </w:pPr>
          <w:hyperlink w:anchor="_Toc23821" w:history="1">
            <w:r w:rsidR="00E62B5F">
              <w:rPr>
                <w:rFonts w:hint="eastAsia"/>
              </w:rPr>
              <w:t>（一）全省法院业务费</w:t>
            </w:r>
            <w:r w:rsidR="00E62B5F">
              <w:tab/>
            </w:r>
            <w:r>
              <w:fldChar w:fldCharType="begin"/>
            </w:r>
            <w:r w:rsidR="00E62B5F">
              <w:instrText xml:space="preserve"> PAGEREF _Toc23821 \h </w:instrText>
            </w:r>
            <w:r>
              <w:fldChar w:fldCharType="separate"/>
            </w:r>
            <w:r w:rsidR="00E62B5F">
              <w:t>10</w:t>
            </w:r>
            <w:r>
              <w:fldChar w:fldCharType="end"/>
            </w:r>
          </w:hyperlink>
        </w:p>
        <w:p w:rsidR="004E545C" w:rsidRDefault="0017213B" w:rsidP="00BA4F2E">
          <w:pPr>
            <w:pStyle w:val="21"/>
          </w:pPr>
          <w:hyperlink w:anchor="_Toc24609" w:history="1">
            <w:r w:rsidR="00E62B5F">
              <w:rPr>
                <w:rFonts w:hint="eastAsia"/>
              </w:rPr>
              <w:t>（二）法庭运维费</w:t>
            </w:r>
            <w:r w:rsidR="00E62B5F">
              <w:tab/>
            </w:r>
            <w:r>
              <w:fldChar w:fldCharType="begin"/>
            </w:r>
            <w:r w:rsidR="00E62B5F">
              <w:instrText xml:space="preserve"> PAGEREF _Toc24609 \h </w:instrText>
            </w:r>
            <w:r>
              <w:fldChar w:fldCharType="separate"/>
            </w:r>
            <w:r w:rsidR="00E62B5F">
              <w:t>16</w:t>
            </w:r>
            <w:r>
              <w:fldChar w:fldCharType="end"/>
            </w:r>
          </w:hyperlink>
        </w:p>
        <w:p w:rsidR="004E545C" w:rsidRDefault="0017213B">
          <w:pPr>
            <w:pStyle w:val="10"/>
            <w:tabs>
              <w:tab w:val="clear" w:pos="8296"/>
              <w:tab w:val="right" w:leader="dot" w:pos="8306"/>
            </w:tabs>
          </w:pPr>
          <w:hyperlink w:anchor="_Toc7955" w:history="1">
            <w:r w:rsidR="00BA4F2E">
              <w:rPr>
                <w:rFonts w:ascii="Times New Roman" w:hAnsi="Times New Roman" w:hint="eastAsia"/>
              </w:rPr>
              <w:t>五</w:t>
            </w:r>
            <w:r w:rsidR="00E62B5F">
              <w:rPr>
                <w:rFonts w:hint="eastAsia"/>
              </w:rPr>
              <w:t>、绩效自评结果拟应用和公开情况</w:t>
            </w:r>
            <w:r w:rsidR="00E62B5F">
              <w:tab/>
            </w:r>
            <w:r>
              <w:fldChar w:fldCharType="begin"/>
            </w:r>
            <w:r w:rsidR="00E62B5F">
              <w:instrText xml:space="preserve"> PAGEREF _Toc7955 \h </w:instrText>
            </w:r>
            <w:r>
              <w:fldChar w:fldCharType="separate"/>
            </w:r>
            <w:r w:rsidR="00E62B5F">
              <w:t>2</w:t>
            </w:r>
            <w:r w:rsidR="00BA4F2E">
              <w:rPr>
                <w:rFonts w:hint="eastAsia"/>
              </w:rPr>
              <w:t>0</w:t>
            </w:r>
            <w:r>
              <w:fldChar w:fldCharType="end"/>
            </w:r>
          </w:hyperlink>
        </w:p>
        <w:p w:rsidR="004E545C" w:rsidRDefault="0017213B">
          <w:pPr>
            <w:pStyle w:val="10"/>
            <w:tabs>
              <w:tab w:val="clear" w:pos="8296"/>
              <w:tab w:val="right" w:leader="dot" w:pos="8306"/>
            </w:tabs>
          </w:pPr>
          <w:hyperlink w:anchor="_Toc17889" w:history="1">
            <w:r w:rsidR="00BA4F2E">
              <w:rPr>
                <w:rFonts w:hint="eastAsia"/>
              </w:rPr>
              <w:t>六</w:t>
            </w:r>
            <w:r w:rsidR="00E62B5F">
              <w:rPr>
                <w:rFonts w:hint="eastAsia"/>
              </w:rPr>
              <w:t>、其他需要说明的问题</w:t>
            </w:r>
            <w:r w:rsidR="00E62B5F">
              <w:tab/>
            </w:r>
            <w:r>
              <w:fldChar w:fldCharType="begin"/>
            </w:r>
            <w:r w:rsidR="00E62B5F">
              <w:instrText xml:space="preserve"> PAGEREF _Toc17889 \h </w:instrText>
            </w:r>
            <w:r>
              <w:fldChar w:fldCharType="separate"/>
            </w:r>
            <w:r w:rsidR="00E62B5F">
              <w:t>2</w:t>
            </w:r>
            <w:r w:rsidR="00BA4F2E">
              <w:rPr>
                <w:rFonts w:hint="eastAsia"/>
              </w:rPr>
              <w:t>0</w:t>
            </w:r>
            <w:r>
              <w:fldChar w:fldCharType="end"/>
            </w:r>
          </w:hyperlink>
        </w:p>
        <w:p w:rsidR="004E545C" w:rsidRDefault="0017213B">
          <w:pPr>
            <w:ind w:firstLineChars="0" w:firstLine="0"/>
            <w:jc w:val="center"/>
          </w:pPr>
          <w:r>
            <w:fldChar w:fldCharType="end"/>
          </w:r>
        </w:p>
      </w:sdtContent>
    </w:sdt>
    <w:p w:rsidR="004E545C" w:rsidRDefault="004E545C">
      <w:pPr>
        <w:widowControl/>
        <w:spacing w:line="240" w:lineRule="auto"/>
        <w:ind w:firstLineChars="0" w:firstLine="0"/>
        <w:jc w:val="center"/>
        <w:rPr>
          <w:rFonts w:ascii="宋体" w:eastAsia="宋体" w:hAnsi="宋体" w:cs="Arial"/>
          <w:b/>
          <w:bCs/>
          <w:sz w:val="44"/>
          <w:szCs w:val="44"/>
        </w:rPr>
      </w:pPr>
      <w:bookmarkStart w:id="1" w:name="_Toc13158"/>
      <w:bookmarkStart w:id="2" w:name="_Toc4040"/>
      <w:bookmarkStart w:id="3" w:name="_Toc22477"/>
      <w:bookmarkStart w:id="4" w:name="_Toc18188"/>
      <w:bookmarkStart w:id="5" w:name="_Toc28671"/>
    </w:p>
    <w:p w:rsidR="004E545C" w:rsidRDefault="004E545C">
      <w:pPr>
        <w:widowControl/>
        <w:spacing w:line="240" w:lineRule="auto"/>
        <w:ind w:firstLineChars="0" w:firstLine="0"/>
        <w:jc w:val="center"/>
        <w:rPr>
          <w:rFonts w:ascii="宋体" w:eastAsia="宋体" w:hAnsi="宋体" w:cs="Arial"/>
          <w:b/>
          <w:bCs/>
          <w:sz w:val="44"/>
          <w:szCs w:val="44"/>
        </w:rPr>
        <w:sectPr w:rsidR="004E545C">
          <w:footerReference w:type="default" r:id="rId15"/>
          <w:pgSz w:w="11906" w:h="16838"/>
          <w:pgMar w:top="1440" w:right="1800" w:bottom="1440" w:left="1800" w:header="851" w:footer="992" w:gutter="0"/>
          <w:pgNumType w:start="1"/>
          <w:cols w:space="425"/>
          <w:docGrid w:type="lines" w:linePitch="312"/>
        </w:sectPr>
      </w:pPr>
    </w:p>
    <w:p w:rsidR="004E545C" w:rsidRDefault="00E62B5F">
      <w:pPr>
        <w:widowControl/>
        <w:spacing w:line="240" w:lineRule="auto"/>
        <w:ind w:firstLineChars="0" w:firstLine="0"/>
        <w:jc w:val="center"/>
        <w:rPr>
          <w:rFonts w:ascii="宋体" w:eastAsia="宋体" w:hAnsi="宋体" w:cs="Arial"/>
          <w:b/>
          <w:bCs/>
          <w:sz w:val="44"/>
          <w:szCs w:val="44"/>
        </w:rPr>
      </w:pPr>
      <w:r>
        <w:rPr>
          <w:rFonts w:ascii="宋体" w:eastAsia="宋体" w:hAnsi="宋体" w:cs="Arial" w:hint="eastAsia"/>
          <w:b/>
          <w:bCs/>
          <w:sz w:val="44"/>
          <w:szCs w:val="44"/>
        </w:rPr>
        <w:lastRenderedPageBreak/>
        <w:t>静宁县人民法院2023年度</w:t>
      </w:r>
    </w:p>
    <w:p w:rsidR="004E545C" w:rsidRDefault="00E62B5F">
      <w:pPr>
        <w:widowControl/>
        <w:spacing w:line="240" w:lineRule="auto"/>
        <w:ind w:firstLineChars="0" w:firstLine="0"/>
        <w:jc w:val="center"/>
        <w:rPr>
          <w:rFonts w:ascii="宋体" w:eastAsia="宋体" w:hAnsi="宋体" w:cs="Arial"/>
          <w:b/>
          <w:bCs/>
          <w:sz w:val="44"/>
          <w:szCs w:val="44"/>
        </w:rPr>
      </w:pPr>
      <w:r>
        <w:rPr>
          <w:rFonts w:ascii="宋体" w:eastAsia="宋体" w:hAnsi="宋体" w:cs="Arial" w:hint="eastAsia"/>
          <w:b/>
          <w:bCs/>
          <w:sz w:val="44"/>
          <w:szCs w:val="44"/>
        </w:rPr>
        <w:t>预算执行情况自评报告</w:t>
      </w:r>
      <w:bookmarkEnd w:id="1"/>
      <w:bookmarkEnd w:id="2"/>
    </w:p>
    <w:p w:rsidR="004E545C" w:rsidRDefault="00E62B5F">
      <w:pPr>
        <w:pStyle w:val="1"/>
        <w:spacing w:before="0" w:after="0"/>
      </w:pPr>
      <w:bookmarkStart w:id="6" w:name="_Toc16494"/>
      <w:r>
        <w:rPr>
          <w:rFonts w:hint="eastAsia"/>
        </w:rPr>
        <w:t>一、基本情况</w:t>
      </w:r>
      <w:bookmarkEnd w:id="3"/>
      <w:bookmarkEnd w:id="4"/>
      <w:bookmarkEnd w:id="5"/>
      <w:bookmarkEnd w:id="6"/>
    </w:p>
    <w:p w:rsidR="004E545C" w:rsidRDefault="00E62B5F">
      <w:pPr>
        <w:pStyle w:val="2"/>
        <w:spacing w:before="0" w:after="0"/>
        <w:ind w:firstLine="643"/>
      </w:pPr>
      <w:bookmarkStart w:id="7" w:name="_Toc18868"/>
      <w:bookmarkStart w:id="8" w:name="_Toc24636"/>
      <w:bookmarkStart w:id="9" w:name="_Toc16975"/>
      <w:bookmarkStart w:id="10" w:name="_Toc819"/>
      <w:r>
        <w:rPr>
          <w:rFonts w:hint="eastAsia"/>
        </w:rPr>
        <w:t>（一）部门主要职能</w:t>
      </w:r>
      <w:bookmarkEnd w:id="7"/>
      <w:bookmarkEnd w:id="8"/>
      <w:bookmarkEnd w:id="9"/>
      <w:bookmarkEnd w:id="10"/>
    </w:p>
    <w:p w:rsidR="004E545C" w:rsidRDefault="00E62B5F">
      <w:pPr>
        <w:ind w:firstLine="560"/>
      </w:pPr>
      <w:bookmarkStart w:id="11" w:name="_Toc7151"/>
      <w:bookmarkStart w:id="12" w:name="_Toc20782"/>
      <w:bookmarkStart w:id="13" w:name="_Toc25335"/>
      <w:r>
        <w:rPr>
          <w:rFonts w:hint="eastAsia"/>
        </w:rPr>
        <w:t>静宁县人民法院是国家审判机关，依法独立行使审判权，对市级地方人民代表大会及其常务委员会负责并报告工作。其主要职责是：</w:t>
      </w:r>
    </w:p>
    <w:p w:rsidR="004E545C" w:rsidRDefault="00E62B5F">
      <w:pPr>
        <w:ind w:firstLine="560"/>
      </w:pPr>
      <w:r>
        <w:rPr>
          <w:rFonts w:hint="eastAsia"/>
        </w:rPr>
        <w:t>1、审理按法律规定有管辖权的第一审刑事公诉和自诉案件；</w:t>
      </w:r>
    </w:p>
    <w:p w:rsidR="004E545C" w:rsidRDefault="00E62B5F">
      <w:pPr>
        <w:ind w:firstLine="560"/>
      </w:pPr>
      <w:r>
        <w:rPr>
          <w:rFonts w:hint="eastAsia"/>
        </w:rPr>
        <w:t>2、审理按法律规定有管辖权的第一审民商事案件；</w:t>
      </w:r>
    </w:p>
    <w:p w:rsidR="004E545C" w:rsidRDefault="00E62B5F">
      <w:pPr>
        <w:ind w:firstLine="560"/>
      </w:pPr>
      <w:r>
        <w:rPr>
          <w:rFonts w:hint="eastAsia"/>
        </w:rPr>
        <w:t>3、审理按法律规定有管辖权的第一审行政诉讼案件，审查由行政机关提出的非诉行政执行申请；</w:t>
      </w:r>
    </w:p>
    <w:p w:rsidR="004E545C" w:rsidRDefault="00E62B5F">
      <w:pPr>
        <w:ind w:firstLine="560"/>
      </w:pPr>
      <w:r>
        <w:rPr>
          <w:rFonts w:hint="eastAsia"/>
        </w:rPr>
        <w:t>4、审理由上级人民法院指定本院管辖的案件；</w:t>
      </w:r>
    </w:p>
    <w:p w:rsidR="004E545C" w:rsidRDefault="00E62B5F">
      <w:pPr>
        <w:ind w:firstLine="560"/>
      </w:pPr>
      <w:r>
        <w:rPr>
          <w:rFonts w:hint="eastAsia"/>
        </w:rPr>
        <w:t>5、审理由上一级人民法院指令再审、发回重审和由本院提起再审的案件；</w:t>
      </w:r>
    </w:p>
    <w:p w:rsidR="004E545C" w:rsidRDefault="00E62B5F">
      <w:pPr>
        <w:ind w:firstLine="560"/>
      </w:pPr>
      <w:r>
        <w:rPr>
          <w:rFonts w:hint="eastAsia"/>
        </w:rPr>
        <w:t>6、受理当事人因不服本院已发生法律效力的判决书、裁定书、调解书所提起的申诉，并予以审查处理；</w:t>
      </w:r>
    </w:p>
    <w:p w:rsidR="004E545C" w:rsidRDefault="00E62B5F">
      <w:pPr>
        <w:ind w:firstLine="560"/>
      </w:pPr>
      <w:r>
        <w:rPr>
          <w:rFonts w:hint="eastAsia"/>
        </w:rPr>
        <w:t>7、依法行使司法执行权，执行当事人提出申请的、由本院作出一审已发生法律效力的各类案件；</w:t>
      </w:r>
    </w:p>
    <w:p w:rsidR="004E545C" w:rsidRDefault="00E62B5F">
      <w:pPr>
        <w:ind w:firstLine="560"/>
      </w:pPr>
      <w:r>
        <w:rPr>
          <w:rFonts w:hint="eastAsia"/>
        </w:rPr>
        <w:t>8、调查研究审判工作中的法律政策及疑难问题，总结审判经验；针对案件审理中发现的问题提出司法建议；</w:t>
      </w:r>
    </w:p>
    <w:p w:rsidR="004E545C" w:rsidRDefault="00E62B5F">
      <w:pPr>
        <w:ind w:firstLine="560"/>
      </w:pPr>
      <w:r>
        <w:rPr>
          <w:rFonts w:hint="eastAsia"/>
        </w:rPr>
        <w:t>9、负责对法官和审判辅助人员的管理、教育、培训工作；</w:t>
      </w:r>
    </w:p>
    <w:p w:rsidR="004E545C" w:rsidRDefault="00E62B5F">
      <w:pPr>
        <w:ind w:firstLine="560"/>
      </w:pPr>
      <w:r>
        <w:rPr>
          <w:rFonts w:hint="eastAsia"/>
        </w:rPr>
        <w:t>10、在审判工作中宣传法律，教育公民自觉遵守宪法和法律，参与社会治安综合治理；</w:t>
      </w:r>
    </w:p>
    <w:p w:rsidR="004E545C" w:rsidRDefault="00E62B5F">
      <w:pPr>
        <w:ind w:firstLine="560"/>
      </w:pPr>
      <w:r>
        <w:rPr>
          <w:rFonts w:hint="eastAsia"/>
        </w:rPr>
        <w:lastRenderedPageBreak/>
        <w:t>11、指导人民调解委员会的工作；</w:t>
      </w:r>
    </w:p>
    <w:p w:rsidR="004E545C" w:rsidRDefault="00E62B5F">
      <w:pPr>
        <w:ind w:firstLine="560"/>
      </w:pPr>
      <w:r>
        <w:rPr>
          <w:rFonts w:hint="eastAsia"/>
        </w:rPr>
        <w:t>12、处理法律规定应由基层人民法院处理的其他工作。</w:t>
      </w:r>
    </w:p>
    <w:p w:rsidR="004E545C" w:rsidRDefault="00E62B5F">
      <w:pPr>
        <w:pStyle w:val="2"/>
        <w:spacing w:before="0" w:after="0"/>
        <w:ind w:firstLine="643"/>
      </w:pPr>
      <w:bookmarkStart w:id="14" w:name="_Toc21539"/>
      <w:r>
        <w:rPr>
          <w:rFonts w:hint="eastAsia"/>
        </w:rPr>
        <w:t>（二）内设机构及所属部门概况</w:t>
      </w:r>
      <w:bookmarkEnd w:id="11"/>
      <w:bookmarkEnd w:id="12"/>
      <w:bookmarkEnd w:id="13"/>
      <w:bookmarkEnd w:id="14"/>
    </w:p>
    <w:p w:rsidR="004E545C" w:rsidRDefault="00E62B5F">
      <w:pPr>
        <w:ind w:firstLine="560"/>
        <w:rPr>
          <w:rFonts w:ascii="Times New Roman" w:hAnsi="Times New Roman" w:cs="Times New Roman"/>
          <w:color w:val="000000"/>
          <w:kern w:val="0"/>
          <w:szCs w:val="18"/>
          <w:u w:color="000000"/>
        </w:rPr>
      </w:pPr>
      <w:bookmarkStart w:id="15" w:name="_Toc13794"/>
      <w:bookmarkStart w:id="16" w:name="_Toc18193"/>
      <w:bookmarkStart w:id="17" w:name="_Toc4574"/>
      <w:r>
        <w:rPr>
          <w:rFonts w:hint="eastAsia"/>
          <w:szCs w:val="28"/>
        </w:rPr>
        <w:t>静宁县人民法院现有部门12个，分别为：立案庭（诉讼服务中心）、刑事审判庭、民事审判庭、行政审判庭（综合审判庭）、执行庭（局）、审判管理办公室（研究室）、综合办公室（司法警察大队）、政治部（机关党委）、界石铺人民法庭、威戎人民法庭、甘沟人民法庭、雷大人民法庭。</w:t>
      </w:r>
    </w:p>
    <w:p w:rsidR="004E545C" w:rsidRDefault="00E62B5F">
      <w:pPr>
        <w:snapToGrid w:val="0"/>
        <w:spacing w:line="540" w:lineRule="exact"/>
        <w:ind w:firstLine="560"/>
        <w:textAlignment w:val="baseline"/>
      </w:pPr>
      <w:r>
        <w:rPr>
          <w:rFonts w:ascii="Times New Roman" w:hAnsi="Times New Roman" w:cs="Times New Roman"/>
          <w:color w:val="000000"/>
          <w:kern w:val="0"/>
          <w:szCs w:val="28"/>
          <w:u w:color="000000"/>
        </w:rPr>
        <w:t>本单位属于财政全额拨款的行政单位，执行行政单位会计制度。独立核算机构数</w:t>
      </w:r>
      <w:r>
        <w:rPr>
          <w:rFonts w:hint="eastAsia"/>
          <w:szCs w:val="28"/>
        </w:rPr>
        <w:t>1</w:t>
      </w:r>
      <w:r>
        <w:rPr>
          <w:rFonts w:ascii="Times New Roman" w:hAnsi="Times New Roman" w:cs="Times New Roman"/>
          <w:color w:val="000000"/>
          <w:kern w:val="0"/>
          <w:szCs w:val="28"/>
          <w:u w:color="000000"/>
        </w:rPr>
        <w:t>个，中央政法编制数</w:t>
      </w:r>
      <w:r>
        <w:rPr>
          <w:rFonts w:hint="eastAsia"/>
          <w:szCs w:val="28"/>
        </w:rPr>
        <w:t>62</w:t>
      </w:r>
      <w:r>
        <w:rPr>
          <w:rFonts w:ascii="Times New Roman" w:hAnsi="Times New Roman" w:cs="Times New Roman"/>
          <w:color w:val="000000"/>
          <w:kern w:val="0"/>
          <w:szCs w:val="28"/>
          <w:u w:color="000000"/>
        </w:rPr>
        <w:t>个，</w:t>
      </w:r>
      <w:r>
        <w:rPr>
          <w:rFonts w:ascii="Times New Roman" w:hAnsi="Times New Roman" w:cs="Times New Roman" w:hint="eastAsia"/>
          <w:color w:val="000000"/>
          <w:kern w:val="0"/>
          <w:szCs w:val="28"/>
          <w:u w:color="000000"/>
        </w:rPr>
        <w:t>工勤编制</w:t>
      </w:r>
      <w:r>
        <w:rPr>
          <w:rFonts w:ascii="Times New Roman" w:hAnsi="Times New Roman" w:cs="Times New Roman" w:hint="eastAsia"/>
          <w:color w:val="000000"/>
          <w:kern w:val="0"/>
          <w:szCs w:val="28"/>
          <w:u w:color="000000"/>
        </w:rPr>
        <w:t>2</w:t>
      </w:r>
      <w:r>
        <w:rPr>
          <w:rFonts w:ascii="Times New Roman" w:hAnsi="Times New Roman" w:cs="Times New Roman" w:hint="eastAsia"/>
          <w:color w:val="000000"/>
          <w:kern w:val="0"/>
          <w:szCs w:val="28"/>
          <w:u w:color="000000"/>
        </w:rPr>
        <w:t>个，</w:t>
      </w:r>
      <w:r>
        <w:rPr>
          <w:rFonts w:ascii="Times New Roman" w:hAnsi="Times New Roman" w:cs="Times New Roman"/>
          <w:color w:val="000000"/>
          <w:kern w:val="0"/>
          <w:szCs w:val="28"/>
          <w:u w:color="000000"/>
        </w:rPr>
        <w:t>在编人数</w:t>
      </w:r>
      <w:r>
        <w:rPr>
          <w:rFonts w:hint="eastAsia"/>
          <w:szCs w:val="28"/>
        </w:rPr>
        <w:t>67</w:t>
      </w:r>
      <w:r>
        <w:rPr>
          <w:rFonts w:ascii="Times New Roman" w:hAnsi="Times New Roman" w:cs="Times New Roman"/>
          <w:color w:val="000000"/>
          <w:kern w:val="0"/>
          <w:szCs w:val="28"/>
          <w:u w:color="000000"/>
        </w:rPr>
        <w:t>人。其中：省管在职人员</w:t>
      </w:r>
      <w:r>
        <w:rPr>
          <w:rFonts w:hint="eastAsia"/>
          <w:szCs w:val="28"/>
        </w:rPr>
        <w:t>67</w:t>
      </w:r>
      <w:r>
        <w:rPr>
          <w:rFonts w:ascii="Times New Roman" w:hAnsi="Times New Roman" w:cs="Times New Roman"/>
          <w:color w:val="000000"/>
          <w:kern w:val="0"/>
          <w:szCs w:val="28"/>
          <w:u w:color="000000"/>
        </w:rPr>
        <w:t>人，遗属人员</w:t>
      </w:r>
      <w:r>
        <w:rPr>
          <w:rFonts w:hint="eastAsia"/>
          <w:szCs w:val="28"/>
        </w:rPr>
        <w:t>5</w:t>
      </w:r>
      <w:r>
        <w:rPr>
          <w:rFonts w:ascii="Times New Roman" w:hAnsi="Times New Roman" w:cs="Times New Roman"/>
          <w:color w:val="000000"/>
          <w:kern w:val="0"/>
          <w:szCs w:val="28"/>
          <w:u w:color="000000"/>
        </w:rPr>
        <w:t>人，聘用书记员</w:t>
      </w:r>
      <w:r>
        <w:rPr>
          <w:rFonts w:hint="eastAsia"/>
          <w:szCs w:val="28"/>
        </w:rPr>
        <w:t>25</w:t>
      </w:r>
      <w:r>
        <w:rPr>
          <w:rFonts w:ascii="Times New Roman" w:hAnsi="Times New Roman" w:cs="Times New Roman"/>
          <w:color w:val="000000"/>
          <w:kern w:val="0"/>
          <w:szCs w:val="28"/>
          <w:u w:color="000000"/>
        </w:rPr>
        <w:t>人，省财政拨款开支</w:t>
      </w:r>
      <w:r>
        <w:rPr>
          <w:rFonts w:hint="eastAsia"/>
          <w:szCs w:val="28"/>
        </w:rPr>
        <w:t>96</w:t>
      </w:r>
      <w:r>
        <w:rPr>
          <w:rFonts w:ascii="Times New Roman" w:hAnsi="Times New Roman" w:cs="Times New Roman"/>
          <w:color w:val="000000"/>
          <w:kern w:val="0"/>
          <w:szCs w:val="28"/>
          <w:u w:color="000000"/>
        </w:rPr>
        <w:t>人；退休</w:t>
      </w:r>
      <w:r>
        <w:rPr>
          <w:rFonts w:hint="eastAsia"/>
          <w:szCs w:val="28"/>
        </w:rPr>
        <w:t>29</w:t>
      </w:r>
      <w:r>
        <w:rPr>
          <w:rFonts w:ascii="Times New Roman" w:hAnsi="Times New Roman" w:cs="Times New Roman"/>
          <w:color w:val="000000"/>
          <w:kern w:val="0"/>
          <w:szCs w:val="28"/>
          <w:u w:color="000000"/>
        </w:rPr>
        <w:t>人，由县社保中心开支</w:t>
      </w:r>
      <w:r>
        <w:rPr>
          <w:rFonts w:hint="eastAsia"/>
        </w:rPr>
        <w:t>。</w:t>
      </w:r>
    </w:p>
    <w:p w:rsidR="004E545C" w:rsidRDefault="00E62B5F">
      <w:pPr>
        <w:pStyle w:val="1"/>
        <w:spacing w:before="0" w:after="0"/>
        <w:ind w:firstLineChars="200" w:firstLine="643"/>
      </w:pPr>
      <w:bookmarkStart w:id="18" w:name="_Toc26419"/>
      <w:r>
        <w:rPr>
          <w:rFonts w:hint="eastAsia"/>
        </w:rPr>
        <w:t>二、绩效自评工作组织开展情况</w:t>
      </w:r>
      <w:bookmarkEnd w:id="15"/>
      <w:bookmarkEnd w:id="16"/>
      <w:bookmarkEnd w:id="17"/>
      <w:bookmarkEnd w:id="18"/>
    </w:p>
    <w:p w:rsidR="004E545C" w:rsidRDefault="00E62B5F">
      <w:pPr>
        <w:pStyle w:val="2"/>
        <w:spacing w:before="0" w:after="0"/>
        <w:ind w:firstLine="643"/>
      </w:pPr>
      <w:bookmarkStart w:id="19" w:name="_Toc26513"/>
      <w:bookmarkStart w:id="20" w:name="_Toc4177"/>
      <w:bookmarkStart w:id="21" w:name="_Toc31965"/>
      <w:bookmarkStart w:id="22" w:name="_Toc11147"/>
      <w:r>
        <w:rPr>
          <w:rFonts w:hint="eastAsia"/>
        </w:rPr>
        <w:t>（一）自评工作组织管理情况</w:t>
      </w:r>
      <w:bookmarkEnd w:id="19"/>
    </w:p>
    <w:p w:rsidR="004E545C" w:rsidRDefault="00E62B5F">
      <w:pPr>
        <w:ind w:firstLine="560"/>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t>《甘肃省省级预算绩效管理办法》《甘肃省省级项目支出绩效单位自评工作规程》（甘财绩〔2020〕5号）</w:t>
      </w:r>
      <w:r>
        <w:rPr>
          <w:rFonts w:hint="eastAsia"/>
        </w:rPr>
        <w:t>等文件的要求</w:t>
      </w:r>
      <w:r>
        <w:t>，联合各相关</w:t>
      </w:r>
      <w:r>
        <w:rPr>
          <w:rFonts w:hint="eastAsia"/>
        </w:rPr>
        <w:t>业务部门</w:t>
      </w:r>
      <w:r>
        <w:t>共同完成此次自评</w:t>
      </w:r>
      <w:r>
        <w:rPr>
          <w:rFonts w:hint="eastAsia"/>
        </w:rPr>
        <w:t>工作。自评工作遵循科学公正、统筹兼顾、激励约束和公开透明的原则，以</w:t>
      </w:r>
      <w:r>
        <w:rPr>
          <w:rFonts w:hint="eastAsia"/>
        </w:rPr>
        <w:lastRenderedPageBreak/>
        <w:t>我院2023年初设定的绩效目标及相关法律法规、政策要求、行业规划、部门职责等为依据，运用定量和定性相结合的评价方法，对我院2023年度省级预算执行情况的经济性、效率性、效益性进行客观公正的分析评价。</w:t>
      </w:r>
    </w:p>
    <w:p w:rsidR="004E545C" w:rsidRDefault="00E62B5F">
      <w:pPr>
        <w:pStyle w:val="2"/>
        <w:spacing w:before="0" w:after="0"/>
        <w:ind w:firstLine="643"/>
      </w:pPr>
      <w:bookmarkStart w:id="23" w:name="_Toc26980"/>
      <w:bookmarkStart w:id="24" w:name="_Toc29448"/>
      <w:bookmarkStart w:id="25" w:name="_Toc28216"/>
      <w:bookmarkStart w:id="26" w:name="_Toc13356"/>
      <w:bookmarkStart w:id="27" w:name="_Toc16440"/>
      <w:r>
        <w:rPr>
          <w:rFonts w:hint="eastAsia"/>
        </w:rPr>
        <w:t>（二）自评对象和范围</w:t>
      </w:r>
      <w:bookmarkEnd w:id="23"/>
      <w:bookmarkEnd w:id="24"/>
      <w:bookmarkEnd w:id="25"/>
      <w:bookmarkEnd w:id="26"/>
      <w:bookmarkEnd w:id="27"/>
    </w:p>
    <w:p w:rsidR="004E545C" w:rsidRDefault="00E62B5F">
      <w:pPr>
        <w:ind w:firstLine="560"/>
      </w:pPr>
      <w:r>
        <w:rPr>
          <w:rFonts w:hint="eastAsia"/>
        </w:rPr>
        <w:t>本次预算绩效自评价，按照省级部门项目支出、省对市县转移支付、部门整体支出三类评价对象全覆盖的原则，结合我院</w:t>
      </w:r>
      <w:r>
        <w:t>实际情况，自评所有对象为</w:t>
      </w:r>
      <w:r>
        <w:rPr>
          <w:rFonts w:hint="eastAsia"/>
        </w:rPr>
        <w:t>业务费</w:t>
      </w:r>
      <w:r>
        <w:t>项目自评</w:t>
      </w:r>
      <w:r>
        <w:rPr>
          <w:rFonts w:hint="eastAsia"/>
        </w:rPr>
        <w:t>、法庭运维费</w:t>
      </w:r>
      <w:r>
        <w:t>项目自评</w:t>
      </w:r>
      <w:r>
        <w:rPr>
          <w:rFonts w:hint="eastAsia"/>
        </w:rPr>
        <w:t>、</w:t>
      </w:r>
      <w:r>
        <w:rPr>
          <w:rFonts w:hAnsi="宋体" w:hint="eastAsia"/>
          <w:szCs w:val="28"/>
        </w:rPr>
        <w:t>中央政法转移支付资金项目自评和部门整体支出自评。</w:t>
      </w:r>
    </w:p>
    <w:p w:rsidR="004E545C" w:rsidRDefault="00E62B5F">
      <w:pPr>
        <w:pStyle w:val="2"/>
        <w:spacing w:before="0" w:after="0"/>
        <w:ind w:firstLine="643"/>
      </w:pPr>
      <w:bookmarkStart w:id="28" w:name="_Toc25429"/>
      <w:bookmarkStart w:id="29" w:name="_Toc25203"/>
      <w:bookmarkStart w:id="30" w:name="_Toc21930"/>
      <w:bookmarkStart w:id="31" w:name="_Toc18694"/>
      <w:bookmarkStart w:id="32" w:name="_Toc22785"/>
      <w:r>
        <w:rPr>
          <w:rFonts w:hint="eastAsia"/>
        </w:rPr>
        <w:t>（三）自评工作程序</w:t>
      </w:r>
      <w:bookmarkEnd w:id="28"/>
      <w:bookmarkEnd w:id="29"/>
      <w:bookmarkEnd w:id="30"/>
      <w:bookmarkEnd w:id="31"/>
      <w:bookmarkEnd w:id="32"/>
    </w:p>
    <w:p w:rsidR="004E545C" w:rsidRDefault="00E62B5F">
      <w:pPr>
        <w:ind w:firstLine="560"/>
      </w:pPr>
      <w:r>
        <w:rPr>
          <w:rFonts w:hint="eastAsia"/>
        </w:rPr>
        <w:t>本次绩效自评工作主要包括以下工作程序：</w:t>
      </w:r>
    </w:p>
    <w:p w:rsidR="004E545C" w:rsidRDefault="00E62B5F">
      <w:pPr>
        <w:ind w:firstLine="560"/>
      </w:pPr>
      <w:r>
        <w:rPr>
          <w:rFonts w:hint="eastAsia"/>
        </w:rPr>
        <w:t>1.根据我院整体</w:t>
      </w:r>
      <w:r>
        <w:t>支出和</w:t>
      </w:r>
      <w:r>
        <w:rPr>
          <w:rFonts w:hint="eastAsia"/>
        </w:rPr>
        <w:t>项目支出绩效目标的设定情况，收集各业务部门</w:t>
      </w:r>
      <w:r>
        <w:t>绩效目标</w:t>
      </w:r>
      <w:r>
        <w:rPr>
          <w:rFonts w:hint="eastAsia"/>
        </w:rPr>
        <w:t>实现程度</w:t>
      </w:r>
      <w:r>
        <w:t>、预算执行进度</w:t>
      </w:r>
      <w:r>
        <w:rPr>
          <w:rFonts w:hint="eastAsia"/>
        </w:rPr>
        <w:t>等绩效评价</w:t>
      </w:r>
      <w:r>
        <w:t>基础</w:t>
      </w:r>
      <w:r>
        <w:rPr>
          <w:rFonts w:hint="eastAsia"/>
        </w:rPr>
        <w:t>资料。</w:t>
      </w:r>
    </w:p>
    <w:p w:rsidR="004E545C" w:rsidRDefault="00E62B5F">
      <w:pPr>
        <w:ind w:firstLine="560"/>
      </w:pPr>
      <w:r>
        <w:t>2.</w:t>
      </w:r>
      <w:r>
        <w:rPr>
          <w:rFonts w:hint="eastAsia"/>
        </w:rPr>
        <w:t>整理分析相关资料，根据部门职责，以预算执行、部门履职目标效果为重点，统计财政资金预算执行情况和各项</w:t>
      </w:r>
      <w:r>
        <w:t>绩效目标完成</w:t>
      </w:r>
      <w:r>
        <w:rPr>
          <w:rFonts w:hint="eastAsia"/>
        </w:rPr>
        <w:t>情况，对年初</w:t>
      </w:r>
      <w:r>
        <w:t>设定的</w:t>
      </w:r>
      <w:r>
        <w:rPr>
          <w:rFonts w:hint="eastAsia"/>
        </w:rPr>
        <w:t>绩效指标及各项指标完成情况进行对比分析，填写《2023年度部门预算执行情况绩效自评报表》，自评表内容完整、分值合理、数据真实、结果客观。</w:t>
      </w:r>
    </w:p>
    <w:p w:rsidR="004E545C" w:rsidRDefault="00E62B5F">
      <w:pPr>
        <w:ind w:firstLine="560"/>
      </w:pPr>
      <w:r>
        <w:t>3.</w:t>
      </w:r>
      <w:r>
        <w:rPr>
          <w:rFonts w:hint="eastAsia"/>
        </w:rPr>
        <w:t>总结评价结论，归纳问题，分析原因，提出改进</w:t>
      </w:r>
      <w:r>
        <w:t>措施</w:t>
      </w:r>
      <w:r>
        <w:rPr>
          <w:rFonts w:hint="eastAsia"/>
        </w:rPr>
        <w:t>，完成《2023年度预算执行情况自评报告》撰写。</w:t>
      </w:r>
    </w:p>
    <w:p w:rsidR="004E545C" w:rsidRDefault="00E62B5F">
      <w:pPr>
        <w:ind w:firstLine="560"/>
      </w:pPr>
      <w:r>
        <w:rPr>
          <w:rFonts w:hint="eastAsia"/>
        </w:rPr>
        <w:t>4.自评表和自评报告完成之后，进行内部审核，对自评表的真实性、完整性、合理性和客观性进行初步审核，并对发现的问题及时反</w:t>
      </w:r>
      <w:r>
        <w:rPr>
          <w:rFonts w:hint="eastAsia"/>
        </w:rPr>
        <w:lastRenderedPageBreak/>
        <w:t>馈和修改，修改完善后报送审核备案。</w:t>
      </w:r>
    </w:p>
    <w:p w:rsidR="004E545C" w:rsidRDefault="00E62B5F">
      <w:pPr>
        <w:pStyle w:val="1"/>
        <w:spacing w:before="0" w:after="0"/>
      </w:pPr>
      <w:bookmarkStart w:id="33" w:name="_Toc31556"/>
      <w:bookmarkStart w:id="34" w:name="_Toc28948"/>
      <w:bookmarkStart w:id="35" w:name="_Toc17042"/>
      <w:bookmarkStart w:id="36" w:name="_Toc26000"/>
      <w:bookmarkEnd w:id="20"/>
      <w:bookmarkEnd w:id="21"/>
      <w:bookmarkEnd w:id="22"/>
      <w:r>
        <w:rPr>
          <w:rFonts w:hint="eastAsia"/>
        </w:rPr>
        <w:t>三、部门整体支出绩效自评情况分析</w:t>
      </w:r>
      <w:bookmarkEnd w:id="33"/>
      <w:bookmarkEnd w:id="34"/>
      <w:bookmarkEnd w:id="35"/>
      <w:bookmarkEnd w:id="36"/>
      <w:r>
        <w:tab/>
      </w:r>
    </w:p>
    <w:p w:rsidR="004E545C" w:rsidRDefault="00E62B5F">
      <w:pPr>
        <w:pStyle w:val="2"/>
        <w:spacing w:before="0" w:after="0"/>
        <w:ind w:firstLine="643"/>
      </w:pPr>
      <w:bookmarkStart w:id="37" w:name="_Toc3483"/>
      <w:bookmarkStart w:id="38" w:name="_Toc7624"/>
      <w:bookmarkStart w:id="39" w:name="_Toc8171"/>
      <w:bookmarkStart w:id="40" w:name="_Toc32623"/>
      <w:r>
        <w:rPr>
          <w:rFonts w:hint="eastAsia"/>
        </w:rPr>
        <w:t>（一）部门决算情况</w:t>
      </w:r>
      <w:bookmarkEnd w:id="37"/>
      <w:bookmarkEnd w:id="38"/>
      <w:bookmarkEnd w:id="39"/>
      <w:bookmarkEnd w:id="40"/>
    </w:p>
    <w:p w:rsidR="004E545C" w:rsidRDefault="00E62B5F">
      <w:pPr>
        <w:ind w:firstLine="560"/>
      </w:pPr>
      <w:r>
        <w:rPr>
          <w:rFonts w:hint="eastAsia"/>
        </w:rPr>
        <w:t>2023年度静宁县人民法院年初预算2202.02万元，全年预算数2446.47万元，实际支出数2195.36万元，部门整体支出预算执行率为89.73%。</w:t>
      </w:r>
    </w:p>
    <w:p w:rsidR="004E545C" w:rsidRDefault="00E62B5F">
      <w:pPr>
        <w:pStyle w:val="2"/>
        <w:spacing w:before="0" w:after="0"/>
        <w:ind w:firstLine="643"/>
      </w:pPr>
      <w:bookmarkStart w:id="41" w:name="_Toc9281"/>
      <w:bookmarkStart w:id="42" w:name="_Toc22782"/>
      <w:bookmarkStart w:id="43" w:name="_Toc21423"/>
      <w:bookmarkStart w:id="44" w:name="_Toc10769"/>
      <w:r>
        <w:rPr>
          <w:rFonts w:hint="eastAsia"/>
        </w:rPr>
        <w:t>（二）总体绩效目标完成情况分析</w:t>
      </w:r>
      <w:bookmarkEnd w:id="41"/>
      <w:bookmarkEnd w:id="42"/>
      <w:bookmarkEnd w:id="43"/>
      <w:bookmarkEnd w:id="44"/>
    </w:p>
    <w:p w:rsidR="004E545C" w:rsidRDefault="00E62B5F">
      <w:pPr>
        <w:ind w:firstLine="560"/>
      </w:pPr>
      <w:r>
        <w:rPr>
          <w:rFonts w:hint="eastAsia"/>
        </w:rPr>
        <w:t>经综合评价与分析，静宁县人民法院2023年度部门整体支出绩效评价最终得分为94.54分，评价结果为“优”。最终评分结果如下表所示：</w:t>
      </w:r>
    </w:p>
    <w:p w:rsidR="004E545C" w:rsidRDefault="00E62B5F" w:rsidP="00BB6FA1">
      <w:pPr>
        <w:ind w:firstLine="482"/>
        <w:jc w:val="center"/>
        <w:rPr>
          <w:rFonts w:ascii="宋体" w:hAnsi="宋体"/>
        </w:rPr>
      </w:pPr>
      <w:r>
        <w:rPr>
          <w:rFonts w:ascii="宋体" w:hAnsi="宋体" w:cs="宋体" w:hint="eastAsia"/>
          <w:b/>
          <w:bCs/>
          <w:kern w:val="0"/>
          <w:sz w:val="24"/>
        </w:rPr>
        <w:t>2023</w:t>
      </w:r>
      <w:r>
        <w:rPr>
          <w:rFonts w:ascii="宋体" w:hAnsi="宋体" w:cs="宋体" w:hint="eastAsia"/>
          <w:b/>
          <w:bCs/>
          <w:kern w:val="0"/>
          <w:sz w:val="24"/>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4E545C">
        <w:trPr>
          <w:trHeight w:val="397"/>
        </w:trPr>
        <w:tc>
          <w:tcPr>
            <w:tcW w:w="35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一级指标</w:t>
            </w:r>
          </w:p>
        </w:tc>
        <w:tc>
          <w:tcPr>
            <w:tcW w:w="167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分值</w:t>
            </w:r>
          </w:p>
        </w:tc>
        <w:tc>
          <w:tcPr>
            <w:tcW w:w="156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自评得分</w:t>
            </w:r>
          </w:p>
        </w:tc>
        <w:tc>
          <w:tcPr>
            <w:tcW w:w="226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得分率</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1678"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8.97</w:t>
            </w:r>
          </w:p>
        </w:tc>
        <w:tc>
          <w:tcPr>
            <w:tcW w:w="2268"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89.7%</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部门管理</w:t>
            </w:r>
          </w:p>
        </w:tc>
        <w:tc>
          <w:tcPr>
            <w:tcW w:w="167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1560"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17.93</w:t>
            </w:r>
          </w:p>
        </w:tc>
        <w:tc>
          <w:tcPr>
            <w:tcW w:w="226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89.65%</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履职效果</w:t>
            </w:r>
          </w:p>
        </w:tc>
        <w:tc>
          <w:tcPr>
            <w:tcW w:w="167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60</w:t>
            </w:r>
          </w:p>
        </w:tc>
        <w:tc>
          <w:tcPr>
            <w:tcW w:w="1560"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57.64</w:t>
            </w:r>
          </w:p>
        </w:tc>
        <w:tc>
          <w:tcPr>
            <w:tcW w:w="226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96.07%</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能力建设</w:t>
            </w:r>
          </w:p>
        </w:tc>
        <w:tc>
          <w:tcPr>
            <w:tcW w:w="167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1560"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226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100.00%</w:t>
            </w:r>
          </w:p>
        </w:tc>
      </w:tr>
      <w:tr w:rsidR="004E545C">
        <w:trPr>
          <w:trHeight w:val="397"/>
        </w:trPr>
        <w:tc>
          <w:tcPr>
            <w:tcW w:w="35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67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c>
          <w:tcPr>
            <w:tcW w:w="156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94.54</w:t>
            </w:r>
          </w:p>
        </w:tc>
        <w:tc>
          <w:tcPr>
            <w:tcW w:w="2268"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94.54%</w:t>
            </w:r>
          </w:p>
        </w:tc>
      </w:tr>
    </w:tbl>
    <w:p w:rsidR="004E545C" w:rsidRDefault="00E62B5F">
      <w:pPr>
        <w:ind w:firstLine="560"/>
        <w:rPr>
          <w:b/>
          <w:bCs/>
        </w:rPr>
      </w:pPr>
      <w:r>
        <w:rPr>
          <w:rFonts w:hint="eastAsia"/>
        </w:rPr>
        <w:t>2023年主要工作成果及总体绩效目标完成情况</w:t>
      </w:r>
    </w:p>
    <w:p w:rsidR="004E545C" w:rsidRDefault="00E62B5F">
      <w:pPr>
        <w:widowControl/>
        <w:ind w:firstLine="562"/>
        <w:rPr>
          <w:b/>
          <w:bCs/>
        </w:rPr>
      </w:pPr>
      <w:r>
        <w:rPr>
          <w:rFonts w:hint="eastAsia"/>
          <w:b/>
          <w:bCs/>
        </w:rPr>
        <w:t>1.总体绩效目标</w:t>
      </w:r>
    </w:p>
    <w:p w:rsidR="004E545C" w:rsidRDefault="00E62B5F">
      <w:pPr>
        <w:widowControl/>
        <w:ind w:firstLine="560"/>
      </w:pPr>
      <w:r>
        <w:rPr>
          <w:rFonts w:hint="eastAsia"/>
        </w:rPr>
        <w:t>（1）提高审判办案质效，使案件结案率达到95.2%。</w:t>
      </w:r>
    </w:p>
    <w:p w:rsidR="004E545C" w:rsidRDefault="00E62B5F">
      <w:pPr>
        <w:pStyle w:val="BodyTextFirstIndent21"/>
        <w:ind w:leftChars="0" w:left="0" w:firstLine="560"/>
      </w:pPr>
      <w:r>
        <w:rPr>
          <w:rFonts w:hint="eastAsia"/>
        </w:rPr>
        <w:t>（2）加强队伍素质能力建设，本年度计划开展相关业务培训活动，进一步提高干警业务能力，确保我院工作人员技能水平的提升。</w:t>
      </w:r>
    </w:p>
    <w:p w:rsidR="004E545C" w:rsidRDefault="00E62B5F">
      <w:pPr>
        <w:pStyle w:val="BodyTextFirstIndent21"/>
        <w:ind w:leftChars="0" w:left="0" w:firstLine="560"/>
      </w:pPr>
      <w:r>
        <w:rPr>
          <w:rFonts w:hint="eastAsia"/>
        </w:rPr>
        <w:t>（3）保障我院装备购买等活动支出，保障法院日常运转，履行</w:t>
      </w:r>
      <w:r>
        <w:rPr>
          <w:rFonts w:hint="eastAsia"/>
        </w:rPr>
        <w:lastRenderedPageBreak/>
        <w:t>相关职能。</w:t>
      </w:r>
    </w:p>
    <w:p w:rsidR="004E545C" w:rsidRDefault="00E62B5F">
      <w:pPr>
        <w:ind w:firstLine="562"/>
        <w:rPr>
          <w:b/>
          <w:bCs/>
        </w:rPr>
      </w:pPr>
      <w:r>
        <w:rPr>
          <w:rFonts w:hint="eastAsia"/>
          <w:b/>
          <w:bCs/>
        </w:rPr>
        <w:t>2.实际完成情况</w:t>
      </w:r>
    </w:p>
    <w:p w:rsidR="004E545C" w:rsidRDefault="00E62B5F" w:rsidP="00BB6FA1">
      <w:pPr>
        <w:ind w:firstLine="560"/>
      </w:pPr>
      <w:r>
        <w:rPr>
          <w:rFonts w:hint="eastAsia"/>
        </w:rPr>
        <w:t>（1）我院本年度受理案件工作、审理执行案件工作、审判民商事案件工作、审判刑事案件案件、审判行政案件工作均已完成，有效保障了审判服务。结案率95.2%，法定审限内结案率100%。</w:t>
      </w:r>
    </w:p>
    <w:p w:rsidR="004E545C" w:rsidRDefault="00E62B5F" w:rsidP="00BB6FA1">
      <w:pPr>
        <w:pStyle w:val="BodyTextFirstIndent21"/>
        <w:ind w:leftChars="0" w:left="0" w:firstLine="560"/>
      </w:pPr>
      <w:r>
        <w:rPr>
          <w:rFonts w:hint="eastAsia"/>
        </w:rPr>
        <w:t>（2）我院抓实教育培训，切实提升司法能力，加强能力建设，实施能力提升系列工程，培育复合型司法人才。</w:t>
      </w:r>
    </w:p>
    <w:p w:rsidR="004E545C" w:rsidRDefault="00E62B5F" w:rsidP="00BB6FA1">
      <w:pPr>
        <w:pStyle w:val="BodyTextFirstIndent21"/>
        <w:ind w:leftChars="0" w:left="0" w:firstLine="560"/>
      </w:pPr>
      <w:r>
        <w:rPr>
          <w:rFonts w:hint="eastAsia"/>
        </w:rPr>
        <w:t>（3）完成装备购置工作，采购执法执勤用车1辆。</w:t>
      </w:r>
    </w:p>
    <w:p w:rsidR="004E545C" w:rsidRDefault="00E62B5F">
      <w:pPr>
        <w:pStyle w:val="2"/>
        <w:spacing w:before="0" w:after="0"/>
        <w:ind w:firstLine="643"/>
      </w:pPr>
      <w:bookmarkStart w:id="45" w:name="_Toc18553"/>
      <w:bookmarkStart w:id="46" w:name="_Toc17819"/>
      <w:bookmarkStart w:id="47" w:name="_Toc3782"/>
      <w:bookmarkStart w:id="48" w:name="_Toc7799"/>
      <w:r>
        <w:rPr>
          <w:rFonts w:hint="eastAsia"/>
        </w:rPr>
        <w:t>（三）各项指标完成情况分析</w:t>
      </w:r>
      <w:bookmarkEnd w:id="45"/>
      <w:bookmarkEnd w:id="46"/>
      <w:bookmarkEnd w:id="47"/>
      <w:bookmarkEnd w:id="48"/>
    </w:p>
    <w:p w:rsidR="004E545C" w:rsidRDefault="00E62B5F">
      <w:pPr>
        <w:pStyle w:val="3"/>
        <w:ind w:firstLine="562"/>
      </w:pPr>
      <w:r>
        <w:t>1</w:t>
      </w:r>
      <w:r>
        <w:rPr>
          <w:rFonts w:hint="eastAsia"/>
        </w:rPr>
        <w:t>.部门整体支出</w:t>
      </w:r>
      <w:r>
        <w:t>预算执行率</w:t>
      </w:r>
      <w:r>
        <w:rPr>
          <w:rFonts w:hint="eastAsia"/>
        </w:rPr>
        <w:t>完成情况分析</w:t>
      </w:r>
    </w:p>
    <w:p w:rsidR="004E545C" w:rsidRDefault="00E62B5F">
      <w:pPr>
        <w:ind w:firstLine="560"/>
      </w:pPr>
      <w:r>
        <w:rPr>
          <w:rFonts w:hAnsi="宋体" w:hint="eastAsia"/>
          <w:szCs w:val="28"/>
        </w:rPr>
        <w:t>根据《静宁县人民法院2023年度决算报表》及相关资料，我院2023年</w:t>
      </w:r>
      <w:r>
        <w:rPr>
          <w:rFonts w:hint="eastAsia"/>
        </w:rPr>
        <w:t>年初预算2202.02万元，全年预算数2446.47万元，实际支出数2195.36万元，部门整体支出预算执行率为89.73%。</w:t>
      </w:r>
      <w:r>
        <w:rPr>
          <w:rFonts w:hint="eastAsia"/>
          <w:color w:val="000000" w:themeColor="text1"/>
          <w:szCs w:val="28"/>
        </w:rPr>
        <w:t>该指标分值10分，自评得分为8.97分，得分率为</w:t>
      </w:r>
      <w:r>
        <w:rPr>
          <w:rFonts w:hint="eastAsia"/>
        </w:rPr>
        <w:t>89.7%</w:t>
      </w:r>
      <w:r>
        <w:rPr>
          <w:rFonts w:hint="eastAsia"/>
          <w:color w:val="000000" w:themeColor="text1"/>
          <w:szCs w:val="28"/>
        </w:rPr>
        <w:t>。</w:t>
      </w:r>
    </w:p>
    <w:p w:rsidR="004E545C" w:rsidRDefault="00E62B5F">
      <w:pPr>
        <w:pStyle w:val="3"/>
        <w:ind w:firstLine="562"/>
      </w:pPr>
      <w:r>
        <w:t>2</w:t>
      </w:r>
      <w:r>
        <w:rPr>
          <w:rFonts w:hint="eastAsia"/>
        </w:rPr>
        <w:t>.</w:t>
      </w:r>
      <w:r>
        <w:t>部门管理</w:t>
      </w:r>
      <w:r>
        <w:rPr>
          <w:rFonts w:hint="eastAsia"/>
        </w:rPr>
        <w:t>目标完成情况分析</w:t>
      </w:r>
    </w:p>
    <w:p w:rsidR="004E545C" w:rsidRDefault="00E62B5F" w:rsidP="00BB6FA1">
      <w:pPr>
        <w:ind w:firstLine="560"/>
      </w:pPr>
      <w:r>
        <w:rPr>
          <w:rFonts w:hint="eastAsia"/>
        </w:rPr>
        <w:t>部门管理指标包括资金投入、财务管理、采购管理、资产管理、人员管理、重点工作管理六个二级指标，下设10个三级指标。指标分值20分，自评</w:t>
      </w:r>
      <w:r>
        <w:t>得</w:t>
      </w:r>
      <w:r>
        <w:rPr>
          <w:rFonts w:hint="eastAsia"/>
        </w:rPr>
        <w:t>分17.93分，得分率89.65%。具体如下表：</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00"/>
        <w:gridCol w:w="1428"/>
        <w:gridCol w:w="1484"/>
        <w:gridCol w:w="850"/>
        <w:gridCol w:w="1188"/>
        <w:gridCol w:w="1071"/>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二级指标</w:t>
            </w:r>
          </w:p>
        </w:tc>
        <w:tc>
          <w:tcPr>
            <w:tcW w:w="1800"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28"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84"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资金投入</w:t>
            </w:r>
          </w:p>
          <w:p w:rsidR="004E545C" w:rsidRDefault="004E545C">
            <w:pPr>
              <w:widowControl/>
              <w:ind w:firstLineChars="0" w:firstLine="0"/>
              <w:textAlignment w:val="center"/>
              <w:rPr>
                <w:rFonts w:ascii="宋体" w:eastAsia="宋体" w:hAnsi="宋体" w:cs="宋体"/>
                <w:color w:val="000000"/>
                <w:kern w:val="0"/>
                <w:sz w:val="24"/>
                <w:szCs w:val="24"/>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基本支出预算执行率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&gt;=90%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86.69%</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 xml:space="preserve">1.93  </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96.50%</w:t>
            </w:r>
          </w:p>
        </w:tc>
      </w:tr>
      <w:tr w:rsidR="004E545C">
        <w:trPr>
          <w:cantSplit/>
          <w:trHeight w:val="397"/>
          <w:tblHeader/>
          <w:jc w:val="center"/>
        </w:trPr>
        <w:tc>
          <w:tcPr>
            <w:tcW w:w="1248" w:type="dxa"/>
            <w:vMerge/>
            <w:vAlign w:val="center"/>
          </w:tcPr>
          <w:p w:rsidR="004E545C" w:rsidRDefault="004E545C">
            <w:pPr>
              <w:widowControl/>
              <w:ind w:firstLineChars="0" w:firstLine="0"/>
              <w:textAlignment w:val="center"/>
              <w:rPr>
                <w:rFonts w:ascii="宋体" w:eastAsia="宋体" w:hAnsi="宋体" w:cs="宋体"/>
                <w:color w:val="000000"/>
                <w:kern w:val="0"/>
                <w:sz w:val="24"/>
                <w:szCs w:val="24"/>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项目支出预算执行率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&gt;=90%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99.55%</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vMerge/>
            <w:vAlign w:val="center"/>
          </w:tcPr>
          <w:p w:rsidR="004E545C" w:rsidRDefault="004E545C">
            <w:pPr>
              <w:widowControl/>
              <w:ind w:firstLineChars="0" w:firstLine="0"/>
              <w:textAlignment w:val="center"/>
              <w:rPr>
                <w:rFonts w:ascii="宋体" w:eastAsia="宋体" w:hAnsi="宋体" w:cs="宋体"/>
                <w:color w:val="000000"/>
                <w:kern w:val="0"/>
                <w:sz w:val="24"/>
                <w:szCs w:val="24"/>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“三公经费”控制率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&lt;=100%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70.14%</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vMerge/>
            <w:vAlign w:val="center"/>
          </w:tcPr>
          <w:p w:rsidR="004E545C" w:rsidRDefault="004E545C">
            <w:pPr>
              <w:widowControl/>
              <w:ind w:firstLineChars="0" w:firstLine="0"/>
              <w:textAlignment w:val="center"/>
              <w:rPr>
                <w:rFonts w:ascii="宋体" w:eastAsia="宋体" w:hAnsi="宋体" w:cs="宋体"/>
                <w:color w:val="000000"/>
                <w:kern w:val="0"/>
                <w:sz w:val="24"/>
                <w:szCs w:val="24"/>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结转结余变动率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&lt;=0%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103.73%</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0</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0.00%</w:t>
            </w:r>
          </w:p>
        </w:tc>
      </w:tr>
      <w:tr w:rsidR="004E545C">
        <w:trPr>
          <w:cantSplit/>
          <w:trHeight w:val="397"/>
          <w:tblHeader/>
          <w:jc w:val="center"/>
        </w:trPr>
        <w:tc>
          <w:tcPr>
            <w:tcW w:w="1248" w:type="dxa"/>
            <w:vMerge w:val="restart"/>
            <w:vAlign w:val="center"/>
          </w:tcPr>
          <w:p w:rsidR="004E545C" w:rsidRDefault="00E62B5F">
            <w:pPr>
              <w:widowControl/>
              <w:ind w:firstLineChars="0" w:firstLine="0"/>
              <w:textAlignment w:val="center"/>
              <w:rPr>
                <w:rFonts w:ascii="宋体" w:eastAsia="宋体" w:hAnsi="宋体" w:cs="宋体"/>
                <w:color w:val="000000"/>
                <w:kern w:val="0"/>
                <w:sz w:val="24"/>
                <w:szCs w:val="28"/>
              </w:rPr>
            </w:pPr>
            <w:r>
              <w:rPr>
                <w:rFonts w:ascii="宋体" w:eastAsia="宋体" w:hAnsi="宋体" w:cs="宋体" w:hint="eastAsia"/>
                <w:color w:val="000000"/>
                <w:kern w:val="0"/>
                <w:sz w:val="24"/>
                <w:szCs w:val="24"/>
              </w:rPr>
              <w:t>财务管理</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财务管理制度健全性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健全</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vMerge/>
            <w:vAlign w:val="center"/>
          </w:tcPr>
          <w:p w:rsidR="004E545C" w:rsidRDefault="004E545C">
            <w:pPr>
              <w:widowControl/>
              <w:ind w:firstLineChars="0" w:firstLine="0"/>
              <w:textAlignment w:val="center"/>
              <w:rPr>
                <w:rFonts w:ascii="宋体" w:eastAsia="宋体" w:hAnsi="宋体" w:cs="宋体"/>
                <w:color w:val="000000"/>
                <w:kern w:val="0"/>
                <w:sz w:val="24"/>
                <w:szCs w:val="28"/>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资金使用规范性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规范</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vAlign w:val="center"/>
          </w:tcPr>
          <w:p w:rsidR="004E545C" w:rsidRDefault="00E62B5F">
            <w:pPr>
              <w:widowControl/>
              <w:ind w:firstLineChars="0" w:firstLine="0"/>
              <w:textAlignment w:val="center"/>
              <w:rPr>
                <w:rFonts w:ascii="宋体" w:eastAsia="宋体" w:hAnsi="宋体" w:cs="宋体"/>
                <w:color w:val="000000"/>
                <w:kern w:val="0"/>
                <w:sz w:val="24"/>
                <w:szCs w:val="28"/>
              </w:rPr>
            </w:pPr>
            <w:r>
              <w:rPr>
                <w:rFonts w:ascii="宋体" w:eastAsia="宋体" w:hAnsi="宋体" w:cs="宋体" w:hint="eastAsia"/>
                <w:color w:val="000000"/>
                <w:kern w:val="0"/>
                <w:sz w:val="24"/>
                <w:szCs w:val="24"/>
              </w:rPr>
              <w:t>采购管理</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政府采购规范性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规范</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vAlign w:val="center"/>
          </w:tcPr>
          <w:p w:rsidR="004E545C" w:rsidRDefault="00E62B5F">
            <w:pPr>
              <w:widowControl/>
              <w:ind w:firstLineChars="0" w:firstLine="0"/>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资产管理</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资产管理规范性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规范</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vAlign w:val="center"/>
          </w:tcPr>
          <w:p w:rsidR="004E545C" w:rsidRDefault="00E62B5F">
            <w:pPr>
              <w:widowControl/>
              <w:ind w:firstLineChars="0" w:firstLine="0"/>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人员管理</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在职人员控制率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&lt;=100%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90.54%</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vAlign w:val="center"/>
          </w:tcPr>
          <w:p w:rsidR="004E545C" w:rsidRDefault="00E62B5F">
            <w:pPr>
              <w:widowControl/>
              <w:ind w:firstLineChars="0" w:firstLine="0"/>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重点工作管理</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重点工作管理制度健全性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健全</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98%</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800"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28"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84"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17.93</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86.95%</w:t>
            </w:r>
          </w:p>
        </w:tc>
      </w:tr>
    </w:tbl>
    <w:p w:rsidR="004E545C" w:rsidRDefault="00E62B5F">
      <w:pPr>
        <w:ind w:firstLine="562"/>
        <w:rPr>
          <w:rFonts w:hAnsi="宋体"/>
          <w:szCs w:val="28"/>
        </w:rPr>
      </w:pPr>
      <w:r>
        <w:rPr>
          <w:rFonts w:hAnsi="宋体" w:hint="eastAsia"/>
          <w:b/>
          <w:bCs/>
          <w:szCs w:val="28"/>
        </w:rPr>
        <w:t>基本支出预算执行率：</w:t>
      </w:r>
      <w:r>
        <w:rPr>
          <w:rFonts w:hAnsi="宋体" w:hint="eastAsia"/>
          <w:szCs w:val="28"/>
        </w:rPr>
        <w:t>2023年度我院基本支出全年预算数1866.8万元,实际支出数为1618.29万元，基本支出预算执行率为86.69%。该指标分值2分，自评得分1.93分，得分率为96.50%。</w:t>
      </w:r>
    </w:p>
    <w:p w:rsidR="004E545C" w:rsidRDefault="00E62B5F">
      <w:pPr>
        <w:ind w:firstLine="562"/>
        <w:rPr>
          <w:rFonts w:hAnsi="宋体"/>
          <w:szCs w:val="28"/>
        </w:rPr>
      </w:pPr>
      <w:r>
        <w:rPr>
          <w:rFonts w:hAnsi="宋体" w:hint="eastAsia"/>
          <w:b/>
          <w:bCs/>
          <w:szCs w:val="28"/>
        </w:rPr>
        <w:t>项目支出预算执行率：</w:t>
      </w:r>
      <w:r>
        <w:rPr>
          <w:rFonts w:hAnsi="宋体" w:hint="eastAsia"/>
          <w:szCs w:val="28"/>
        </w:rPr>
        <w:t>2023年度项目支出预算执行率为99.55%。该指标分值2分，自评得分2分，得分率为100%。</w:t>
      </w:r>
    </w:p>
    <w:p w:rsidR="004E545C" w:rsidRDefault="00E62B5F">
      <w:pPr>
        <w:ind w:firstLine="562"/>
        <w:rPr>
          <w:rFonts w:hAnsi="宋体"/>
          <w:szCs w:val="28"/>
        </w:rPr>
      </w:pPr>
      <w:r>
        <w:rPr>
          <w:rFonts w:hAnsi="宋体" w:hint="eastAsia"/>
          <w:b/>
          <w:bCs/>
          <w:szCs w:val="28"/>
        </w:rPr>
        <w:t>“三公经费”控制率：</w:t>
      </w:r>
      <w:r>
        <w:rPr>
          <w:rFonts w:hAnsi="宋体" w:hint="eastAsia"/>
          <w:szCs w:val="28"/>
        </w:rPr>
        <w:t>2023年“三公经费”全年预算数85.36万元，实际支出数59.86万元，“三公经费”控制率为70.14%。该指标分值2分，自评得分2分，得分率为100%。</w:t>
      </w:r>
    </w:p>
    <w:p w:rsidR="004E545C" w:rsidRDefault="00E62B5F">
      <w:pPr>
        <w:ind w:firstLine="562"/>
      </w:pPr>
      <w:r>
        <w:rPr>
          <w:rFonts w:hAnsi="宋体" w:hint="eastAsia"/>
          <w:b/>
          <w:bCs/>
          <w:szCs w:val="28"/>
        </w:rPr>
        <w:t>结转结余变动率：</w:t>
      </w:r>
      <w:r>
        <w:rPr>
          <w:rFonts w:hAnsi="宋体" w:hint="eastAsia"/>
          <w:szCs w:val="28"/>
        </w:rPr>
        <w:t>我院2022年结转结余123.26万元，2023年结转结余251.11万元，结转结余资金变动率为103.73%。该指标分值2分，自评得分0分，得分率为0%。</w:t>
      </w:r>
    </w:p>
    <w:p w:rsidR="004E545C" w:rsidRDefault="00E62B5F">
      <w:pPr>
        <w:ind w:firstLine="562"/>
        <w:rPr>
          <w:rFonts w:hAnsi="宋体"/>
          <w:szCs w:val="28"/>
        </w:rPr>
      </w:pPr>
      <w:r>
        <w:rPr>
          <w:rFonts w:hAnsi="宋体" w:hint="eastAsia"/>
          <w:b/>
          <w:bCs/>
          <w:szCs w:val="28"/>
        </w:rPr>
        <w:t>财务管理制度健全性：</w:t>
      </w:r>
      <w:r>
        <w:rPr>
          <w:rFonts w:hAnsi="宋体" w:hint="eastAsia"/>
          <w:szCs w:val="28"/>
        </w:rPr>
        <w:t>我院根据制定了的相关财务制度，经费收</w:t>
      </w:r>
      <w:r>
        <w:rPr>
          <w:rFonts w:hAnsi="宋体" w:hint="eastAsia"/>
          <w:szCs w:val="28"/>
        </w:rPr>
        <w:lastRenderedPageBreak/>
        <w:t>支管理以及票据管理等事项有完备的审批流程和管控手续，在预算执行、事项支出、会计核算以及重大事项支出程序等方面不存在不规范现象，财务管理制度内容完备，具备可操作性。该指标分值2分，自评得分2分，得分率为100%。</w:t>
      </w:r>
    </w:p>
    <w:p w:rsidR="004E545C" w:rsidRDefault="00E62B5F">
      <w:pPr>
        <w:ind w:firstLine="562"/>
        <w:rPr>
          <w:rFonts w:hAnsi="宋体"/>
          <w:szCs w:val="28"/>
        </w:rPr>
      </w:pPr>
      <w:r>
        <w:rPr>
          <w:rFonts w:hAnsi="宋体" w:hint="eastAsia"/>
          <w:b/>
          <w:bCs/>
          <w:szCs w:val="28"/>
        </w:rPr>
        <w:t>资金使用规范性：</w:t>
      </w:r>
      <w:r>
        <w:rPr>
          <w:rFonts w:hAnsi="宋体" w:hint="eastAsia"/>
          <w:szCs w:val="28"/>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w:t>
      </w:r>
    </w:p>
    <w:p w:rsidR="004E545C" w:rsidRDefault="00E62B5F">
      <w:pPr>
        <w:ind w:firstLine="562"/>
        <w:rPr>
          <w:rFonts w:hAnsi="宋体"/>
          <w:szCs w:val="28"/>
        </w:rPr>
      </w:pPr>
      <w:r>
        <w:rPr>
          <w:rFonts w:hAnsi="宋体" w:hint="eastAsia"/>
          <w:b/>
          <w:bCs/>
          <w:szCs w:val="28"/>
        </w:rPr>
        <w:t>政府采购规范性：</w:t>
      </w:r>
      <w:r>
        <w:rPr>
          <w:rFonts w:hAnsi="宋体" w:hint="eastAsia"/>
          <w:szCs w:val="28"/>
        </w:rPr>
        <w:t>我院采购实际执行情况与采购计划安排无差异。采购事项严格执行相关标准，采购业务符合政府采购相关规定。指标分值2分，自评得分2分，得分率为100%。</w:t>
      </w:r>
    </w:p>
    <w:p w:rsidR="004E545C" w:rsidRDefault="00E62B5F">
      <w:pPr>
        <w:ind w:firstLine="562"/>
        <w:rPr>
          <w:rFonts w:hAnsi="宋体"/>
          <w:szCs w:val="28"/>
        </w:rPr>
      </w:pPr>
      <w:r>
        <w:rPr>
          <w:rFonts w:hAnsi="宋体" w:hint="eastAsia"/>
          <w:b/>
          <w:bCs/>
          <w:szCs w:val="28"/>
        </w:rPr>
        <w:t>资产管理规范性：</w:t>
      </w:r>
      <w:r>
        <w:rPr>
          <w:rFonts w:hAnsi="宋体" w:hint="eastAsia"/>
          <w:szCs w:val="28"/>
        </w:rPr>
        <w:t>2023年我院账务和资产卡片数据相符，资产卡片与实物相符，各类资产保存完整、使用合规、配置合理、处置规范，资产处置收入能够及时足额上缴财政，资产管理符合相关要求。该指标分值2分，自评得分2分，得分率为100%。</w:t>
      </w:r>
    </w:p>
    <w:p w:rsidR="004E545C" w:rsidRDefault="00E62B5F">
      <w:pPr>
        <w:ind w:firstLine="562"/>
        <w:rPr>
          <w:rFonts w:hAnsi="宋体"/>
          <w:szCs w:val="28"/>
        </w:rPr>
      </w:pPr>
      <w:r>
        <w:rPr>
          <w:rFonts w:hAnsi="宋体" w:hint="eastAsia"/>
          <w:b/>
          <w:bCs/>
          <w:szCs w:val="28"/>
        </w:rPr>
        <w:t>在职人员控制率：</w:t>
      </w:r>
      <w:r>
        <w:rPr>
          <w:rFonts w:hAnsi="宋体" w:hint="eastAsia"/>
          <w:szCs w:val="28"/>
        </w:rPr>
        <w:t>我院人员管理规范，部门整体的财政供养人员规模得到有效控制，控制率90.54%，年度目标值小于等于100%。该指标分值2分，自评得分2分，得分率为100.00%。</w:t>
      </w:r>
    </w:p>
    <w:p w:rsidR="004E545C" w:rsidRDefault="00E62B5F">
      <w:pPr>
        <w:ind w:firstLine="562"/>
        <w:rPr>
          <w:rFonts w:hAnsi="宋体"/>
          <w:szCs w:val="28"/>
        </w:rPr>
      </w:pPr>
      <w:r>
        <w:rPr>
          <w:rFonts w:hAnsi="宋体" w:hint="eastAsia"/>
          <w:b/>
          <w:bCs/>
          <w:szCs w:val="28"/>
        </w:rPr>
        <w:t>重点工作管理制度健全性：</w:t>
      </w:r>
      <w:r>
        <w:rPr>
          <w:rFonts w:hAnsi="宋体" w:hint="eastAsia"/>
          <w:szCs w:val="28"/>
        </w:rPr>
        <w:t>我院针对重点工作，修订并完善了相关案件审判制度，制度合法、合规、完整，并且能够有效执行和指导重点工作的有效推进和实施。指标分值2分，自评得分2分，得分率为100%。</w:t>
      </w:r>
    </w:p>
    <w:p w:rsidR="004E545C" w:rsidRDefault="00E62B5F">
      <w:pPr>
        <w:pStyle w:val="3"/>
        <w:ind w:firstLine="562"/>
      </w:pPr>
      <w:bookmarkStart w:id="49" w:name="_Toc40046032"/>
      <w:r>
        <w:rPr>
          <w:rFonts w:hint="eastAsia"/>
        </w:rPr>
        <w:lastRenderedPageBreak/>
        <w:t>3.履职效果</w:t>
      </w:r>
      <w:bookmarkEnd w:id="49"/>
      <w:r>
        <w:rPr>
          <w:rFonts w:hint="eastAsia"/>
        </w:rPr>
        <w:t>目标完成情况分析</w:t>
      </w:r>
    </w:p>
    <w:p w:rsidR="004E545C" w:rsidRDefault="00E62B5F" w:rsidP="00BB6FA1">
      <w:pPr>
        <w:ind w:firstLine="560"/>
        <w:rPr>
          <w:b/>
          <w:bCs/>
        </w:rPr>
      </w:pPr>
      <w:r>
        <w:rPr>
          <w:rFonts w:hint="eastAsia"/>
        </w:rPr>
        <w:t>履职效果指标包括部门履职目标、部门效果、服务对象满意度及社会影响四个二级指标，下设6个三级指标。履职效果指标分值60分，自评</w:t>
      </w:r>
      <w:r>
        <w:t>得</w:t>
      </w:r>
      <w:r>
        <w:rPr>
          <w:rFonts w:hint="eastAsia"/>
        </w:rPr>
        <w:t>分57.64分，</w:t>
      </w:r>
      <w:r>
        <w:t>得分率</w:t>
      </w:r>
      <w:r>
        <w:rPr>
          <w:rFonts w:hint="eastAsia"/>
        </w:rPr>
        <w:t>96.07%。</w:t>
      </w:r>
      <w:r>
        <w:rPr>
          <w:rFonts w:hint="eastAsia"/>
          <w:b/>
          <w:bCs/>
        </w:rPr>
        <w:tab/>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00"/>
        <w:gridCol w:w="1428"/>
        <w:gridCol w:w="1484"/>
        <w:gridCol w:w="850"/>
        <w:gridCol w:w="1188"/>
        <w:gridCol w:w="1071"/>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szCs w:val="24"/>
              </w:rPr>
            </w:pPr>
            <w:r>
              <w:rPr>
                <w:rFonts w:ascii="宋体" w:eastAsia="宋体" w:hAnsi="宋体" w:cs="宋体" w:hint="eastAsia"/>
                <w:b/>
                <w:bCs/>
                <w:color w:val="000000"/>
                <w:kern w:val="0"/>
                <w:sz w:val="24"/>
                <w:szCs w:val="24"/>
              </w:rPr>
              <w:t>二级指标</w:t>
            </w:r>
          </w:p>
        </w:tc>
        <w:tc>
          <w:tcPr>
            <w:tcW w:w="1800"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28"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84"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szCs w:val="24"/>
              </w:rPr>
            </w:pPr>
            <w:r>
              <w:rPr>
                <w:rFonts w:ascii="宋体" w:eastAsia="宋体" w:hAnsi="宋体" w:cs="宋体" w:hint="eastAsia"/>
                <w:b/>
                <w:bCs/>
                <w:color w:val="000000"/>
                <w:kern w:val="0"/>
                <w:sz w:val="24"/>
                <w:szCs w:val="24"/>
              </w:rPr>
              <w:t>分值</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szCs w:val="24"/>
              </w:rPr>
            </w:pPr>
            <w:r>
              <w:rPr>
                <w:rFonts w:ascii="宋体" w:eastAsia="宋体" w:hAnsi="宋体" w:cs="宋体" w:hint="eastAsia"/>
                <w:b/>
                <w:bCs/>
                <w:color w:val="000000"/>
                <w:kern w:val="0"/>
                <w:sz w:val="24"/>
                <w:szCs w:val="24"/>
              </w:rPr>
              <w:t>自评得分</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szCs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Align w:val="center"/>
          </w:tcPr>
          <w:p w:rsidR="004E545C" w:rsidRDefault="00E62B5F">
            <w:pPr>
              <w:widowControl/>
              <w:ind w:firstLineChars="0" w:firstLine="0"/>
              <w:textAlignment w:val="center"/>
              <w:rPr>
                <w:rFonts w:ascii="宋体" w:eastAsia="宋体" w:hAnsi="宋体" w:cs="宋体"/>
                <w:color w:val="000000"/>
                <w:kern w:val="0"/>
                <w:sz w:val="24"/>
                <w:szCs w:val="24"/>
              </w:rPr>
            </w:pPr>
            <w:r>
              <w:rPr>
                <w:rFonts w:ascii="宋体" w:eastAsia="宋体" w:hAnsi="宋体" w:cs="宋体" w:hint="eastAsia"/>
                <w:color w:val="333333"/>
                <w:kern w:val="0"/>
                <w:sz w:val="24"/>
                <w:szCs w:val="24"/>
              </w:rPr>
              <w:t>部门履职目标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法定审限内结案率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&gt;=95%</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100.00%</w:t>
            </w:r>
          </w:p>
        </w:tc>
      </w:tr>
      <w:tr w:rsidR="004E545C">
        <w:trPr>
          <w:cantSplit/>
          <w:trHeight w:val="397"/>
          <w:tblHeader/>
          <w:jc w:val="center"/>
        </w:trPr>
        <w:tc>
          <w:tcPr>
            <w:tcW w:w="1248" w:type="dxa"/>
            <w:vAlign w:val="center"/>
          </w:tcPr>
          <w:p w:rsidR="004E545C" w:rsidRDefault="00E62B5F">
            <w:pPr>
              <w:widowControl/>
              <w:ind w:firstLineChars="0" w:firstLine="0"/>
              <w:textAlignment w:val="center"/>
              <w:rPr>
                <w:rFonts w:ascii="宋体" w:eastAsia="宋体" w:hAnsi="宋体" w:cs="宋体"/>
                <w:color w:val="000000"/>
                <w:kern w:val="0"/>
                <w:sz w:val="24"/>
                <w:szCs w:val="24"/>
              </w:rPr>
            </w:pPr>
            <w:r>
              <w:rPr>
                <w:rFonts w:ascii="宋体" w:eastAsia="宋体" w:hAnsi="宋体" w:cs="宋体" w:hint="eastAsia"/>
                <w:color w:val="333333"/>
                <w:kern w:val="0"/>
                <w:sz w:val="24"/>
                <w:szCs w:val="24"/>
              </w:rPr>
              <w:t>部门效果目标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法治宣传内容知晓度</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知晓</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100.00%</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服务对象满意度</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当事人满意度</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&gt;=90%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94%</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center"/>
              <w:textAlignment w:val="center"/>
              <w:rPr>
                <w:rFonts w:ascii="宋体" w:eastAsia="宋体" w:hAnsi="宋体" w:cs="宋体"/>
                <w:color w:val="000000"/>
                <w:kern w:val="0"/>
                <w:sz w:val="24"/>
                <w:szCs w:val="24"/>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法院工作人员满意度</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&gt;=95%</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96%</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100.00%</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社会影响</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单位获奖情况</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&gt;=1</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10.14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81.12%</w:t>
            </w:r>
          </w:p>
        </w:tc>
      </w:tr>
      <w:tr w:rsidR="004E545C">
        <w:trPr>
          <w:cantSplit/>
          <w:trHeight w:val="397"/>
          <w:tblHeader/>
          <w:jc w:val="center"/>
        </w:trPr>
        <w:tc>
          <w:tcPr>
            <w:tcW w:w="1248" w:type="dxa"/>
            <w:vMerge/>
            <w:vAlign w:val="center"/>
          </w:tcPr>
          <w:p w:rsidR="004E545C" w:rsidRDefault="004E545C">
            <w:pPr>
              <w:widowControl/>
              <w:ind w:firstLineChars="0" w:firstLine="0"/>
              <w:jc w:val="center"/>
              <w:textAlignment w:val="center"/>
              <w:rPr>
                <w:rFonts w:ascii="宋体" w:eastAsia="宋体" w:hAnsi="宋体" w:cs="宋体"/>
                <w:color w:val="000000"/>
                <w:kern w:val="0"/>
                <w:sz w:val="24"/>
                <w:szCs w:val="24"/>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违法违纪情况</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82"/>
              <w:jc w:val="center"/>
              <w:textAlignment w:val="center"/>
              <w:rPr>
                <w:rFonts w:ascii="宋体" w:eastAsia="宋体" w:hAnsi="宋体" w:cs="宋体"/>
                <w:b/>
                <w:color w:val="000000"/>
                <w:kern w:val="0"/>
                <w:sz w:val="24"/>
                <w:szCs w:val="24"/>
              </w:rPr>
            </w:pPr>
            <w:r>
              <w:rPr>
                <w:rFonts w:ascii="宋体" w:eastAsia="宋体" w:hAnsi="宋体" w:cs="宋体" w:hint="eastAsia"/>
                <w:b/>
                <w:bCs/>
                <w:color w:val="000000"/>
                <w:kern w:val="0"/>
                <w:sz w:val="24"/>
                <w:szCs w:val="24"/>
              </w:rPr>
              <w:t>合计</w:t>
            </w:r>
          </w:p>
        </w:tc>
        <w:tc>
          <w:tcPr>
            <w:tcW w:w="1800" w:type="dxa"/>
            <w:shd w:val="clear" w:color="auto" w:fill="BDD6EE"/>
            <w:vAlign w:val="center"/>
          </w:tcPr>
          <w:p w:rsidR="004E545C" w:rsidRDefault="004E545C">
            <w:pPr>
              <w:widowControl/>
              <w:ind w:firstLine="482"/>
              <w:jc w:val="center"/>
              <w:textAlignment w:val="center"/>
              <w:rPr>
                <w:rFonts w:ascii="宋体" w:eastAsia="宋体" w:hAnsi="宋体" w:cs="宋体"/>
                <w:b/>
                <w:color w:val="000000"/>
                <w:kern w:val="0"/>
                <w:sz w:val="24"/>
                <w:szCs w:val="24"/>
              </w:rPr>
            </w:pPr>
          </w:p>
        </w:tc>
        <w:tc>
          <w:tcPr>
            <w:tcW w:w="1428" w:type="dxa"/>
            <w:shd w:val="clear" w:color="auto" w:fill="BDD6EE"/>
            <w:vAlign w:val="center"/>
          </w:tcPr>
          <w:p w:rsidR="004E545C" w:rsidRDefault="004E545C">
            <w:pPr>
              <w:widowControl/>
              <w:ind w:firstLine="482"/>
              <w:jc w:val="center"/>
              <w:textAlignment w:val="center"/>
              <w:rPr>
                <w:rFonts w:ascii="宋体" w:eastAsia="宋体" w:hAnsi="宋体" w:cs="宋体"/>
                <w:b/>
                <w:color w:val="000000"/>
                <w:kern w:val="0"/>
                <w:sz w:val="24"/>
                <w:szCs w:val="24"/>
              </w:rPr>
            </w:pPr>
          </w:p>
        </w:tc>
        <w:tc>
          <w:tcPr>
            <w:tcW w:w="1484" w:type="dxa"/>
            <w:shd w:val="clear" w:color="auto" w:fill="BDD6EE"/>
            <w:vAlign w:val="center"/>
          </w:tcPr>
          <w:p w:rsidR="004E545C" w:rsidRDefault="004E545C">
            <w:pPr>
              <w:widowControl/>
              <w:ind w:firstLine="482"/>
              <w:jc w:val="center"/>
              <w:textAlignment w:val="center"/>
              <w:rPr>
                <w:rFonts w:ascii="宋体" w:eastAsia="宋体" w:hAnsi="宋体" w:cs="宋体"/>
                <w:b/>
                <w:color w:val="000000"/>
                <w:kern w:val="0"/>
                <w:sz w:val="24"/>
                <w:szCs w:val="24"/>
              </w:rPr>
            </w:pP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60</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57.64</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rPr>
              <w:t>96.07%</w:t>
            </w:r>
          </w:p>
        </w:tc>
      </w:tr>
    </w:tbl>
    <w:p w:rsidR="004E545C" w:rsidRDefault="00E62B5F">
      <w:pPr>
        <w:pStyle w:val="22"/>
        <w:spacing w:after="0"/>
        <w:ind w:leftChars="0" w:left="0" w:firstLine="562"/>
      </w:pPr>
      <w:r>
        <w:rPr>
          <w:rFonts w:hint="eastAsia"/>
          <w:b/>
          <w:bCs/>
        </w:rPr>
        <w:t>案件法定期间办结率：</w:t>
      </w:r>
      <w:r>
        <w:rPr>
          <w:rFonts w:hint="eastAsia"/>
        </w:rPr>
        <w:t>我院2023年我院法定审限内结案率100%。达到目标值</w:t>
      </w:r>
      <w:r>
        <w:t>。</w:t>
      </w:r>
      <w:r>
        <w:rPr>
          <w:rFonts w:hint="eastAsia"/>
        </w:rPr>
        <w:t>该指标分值12.5分，自评得分12.5分，得分率为</w:t>
      </w:r>
      <w:r>
        <w:t>100%</w:t>
      </w:r>
      <w:r>
        <w:rPr>
          <w:rFonts w:hint="eastAsia"/>
        </w:rPr>
        <w:t>。</w:t>
      </w:r>
    </w:p>
    <w:p w:rsidR="004E545C" w:rsidRDefault="00E62B5F">
      <w:pPr>
        <w:pStyle w:val="af"/>
        <w:ind w:firstLine="562"/>
        <w:rPr>
          <w:rFonts w:hAnsi="宋体"/>
          <w:szCs w:val="28"/>
        </w:rPr>
      </w:pPr>
      <w:r>
        <w:rPr>
          <w:rFonts w:hint="eastAsia"/>
          <w:b/>
          <w:bCs/>
        </w:rPr>
        <w:t>法治宣传内容知晓度</w:t>
      </w:r>
      <w:r>
        <w:rPr>
          <w:rFonts w:hAnsi="宋体" w:hint="eastAsia"/>
          <w:b/>
          <w:bCs/>
          <w:szCs w:val="28"/>
        </w:rPr>
        <w:t>：</w:t>
      </w:r>
      <w:r>
        <w:rPr>
          <w:rFonts w:hAnsi="宋体" w:hint="eastAsia"/>
          <w:szCs w:val="28"/>
        </w:rPr>
        <w:t>我院持续推进法治宣传，营造诚实守信的法治环境。创建“1324”执行工作机制、分段执行工作法，规范行政案件执行、执行信访案件化解、网拍辅助机构管理，不断提高宣传力度。分值</w:t>
      </w:r>
      <w:r>
        <w:rPr>
          <w:rFonts w:hint="eastAsia"/>
        </w:rPr>
        <w:t>12.5</w:t>
      </w:r>
      <w:r>
        <w:rPr>
          <w:rFonts w:hAnsi="宋体" w:hint="eastAsia"/>
          <w:szCs w:val="28"/>
        </w:rPr>
        <w:t>分，自评得分为</w:t>
      </w:r>
      <w:r>
        <w:rPr>
          <w:rFonts w:hint="eastAsia"/>
        </w:rPr>
        <w:t>12.5</w:t>
      </w:r>
      <w:r>
        <w:rPr>
          <w:rFonts w:hAnsi="宋体" w:hint="eastAsia"/>
          <w:szCs w:val="28"/>
        </w:rPr>
        <w:t>分，得分率为100.00%。</w:t>
      </w:r>
    </w:p>
    <w:p w:rsidR="004E545C" w:rsidRDefault="00E62B5F">
      <w:pPr>
        <w:ind w:firstLine="562"/>
      </w:pPr>
      <w:r>
        <w:rPr>
          <w:rFonts w:cs="仿宋_GB2312" w:hint="eastAsia"/>
          <w:b/>
          <w:bCs/>
          <w:szCs w:val="28"/>
        </w:rPr>
        <w:t>当事人满意度：</w:t>
      </w:r>
      <w:r>
        <w:rPr>
          <w:rFonts w:hint="eastAsia"/>
        </w:rPr>
        <w:t>我院依法审理各类案件，妥善化解矛盾纠纷和行政争议，维护了法院审判工作的有序开展，积极保障人民群众生命财产安全，</w:t>
      </w:r>
      <w:r>
        <w:rPr>
          <w:rFonts w:ascii="宋体" w:eastAsia="宋体" w:hAnsi="宋体" w:cs="宋体" w:hint="eastAsia"/>
          <w:color w:val="333333"/>
          <w:kern w:val="0"/>
          <w:sz w:val="24"/>
          <w:szCs w:val="24"/>
        </w:rPr>
        <w:t>当事人满意度</w:t>
      </w:r>
      <w:r>
        <w:rPr>
          <w:rFonts w:hint="eastAsia"/>
        </w:rPr>
        <w:t>94%，达到目标值。该指标分值5分，自评得分</w:t>
      </w:r>
      <w:r>
        <w:rPr>
          <w:rFonts w:hint="eastAsia"/>
        </w:rPr>
        <w:lastRenderedPageBreak/>
        <w:t>5分，得分率100.00%。</w:t>
      </w:r>
    </w:p>
    <w:p w:rsidR="004E545C" w:rsidRDefault="00E62B5F" w:rsidP="00BB6FA1">
      <w:pPr>
        <w:ind w:firstLine="562"/>
        <w:rPr>
          <w:rFonts w:cs="仿宋_GB2312"/>
          <w:szCs w:val="28"/>
        </w:rPr>
      </w:pPr>
      <w:r>
        <w:rPr>
          <w:rFonts w:cs="仿宋_GB2312" w:hint="eastAsia"/>
          <w:b/>
          <w:bCs/>
          <w:szCs w:val="28"/>
        </w:rPr>
        <w:t>法院工作人员满意度：</w:t>
      </w:r>
      <w:r>
        <w:rPr>
          <w:rFonts w:cs="仿宋_GB2312" w:hint="eastAsia"/>
          <w:szCs w:val="28"/>
        </w:rPr>
        <w:t>我院2023年度各项办案质效不断提升，法院工作人员满意度达到96%。年度目标值为大于等于90%，该指标分值5分，自评得分5分，得分率100.00%。</w:t>
      </w:r>
    </w:p>
    <w:p w:rsidR="004E545C" w:rsidRDefault="00E62B5F">
      <w:pPr>
        <w:ind w:firstLine="562"/>
        <w:rPr>
          <w:rFonts w:hAnsi="宋体"/>
          <w:szCs w:val="28"/>
        </w:rPr>
      </w:pPr>
      <w:r>
        <w:rPr>
          <w:rFonts w:hAnsi="宋体" w:hint="eastAsia"/>
          <w:b/>
          <w:bCs/>
          <w:szCs w:val="28"/>
        </w:rPr>
        <w:t>单位获奖情况：</w:t>
      </w:r>
      <w:r>
        <w:rPr>
          <w:rFonts w:hint="eastAsia"/>
          <w:shd w:val="clear" w:color="auto" w:fill="FFFFFF"/>
        </w:rPr>
        <w:t>2023年度，单位获奖2项，</w:t>
      </w:r>
      <w:r>
        <w:rPr>
          <w:rFonts w:cs="仿宋_GB2312" w:hint="eastAsia"/>
          <w:szCs w:val="28"/>
        </w:rPr>
        <w:t>该指标分值12.5分，自评得分10.14分，得分率为81.12%</w:t>
      </w:r>
      <w:r>
        <w:rPr>
          <w:rFonts w:hAnsi="宋体" w:hint="eastAsia"/>
          <w:szCs w:val="28"/>
        </w:rPr>
        <w:t>。</w:t>
      </w:r>
    </w:p>
    <w:p w:rsidR="004E545C" w:rsidRDefault="00E62B5F">
      <w:pPr>
        <w:keepNext/>
        <w:keepLines/>
        <w:ind w:firstLine="562"/>
        <w:rPr>
          <w:szCs w:val="28"/>
        </w:rPr>
      </w:pPr>
      <w:r>
        <w:rPr>
          <w:rFonts w:hAnsi="宋体" w:hint="eastAsia"/>
          <w:b/>
          <w:bCs/>
          <w:szCs w:val="28"/>
        </w:rPr>
        <w:t>违法违纪情况：</w:t>
      </w:r>
      <w:r>
        <w:rPr>
          <w:rFonts w:cs="仿宋_GB2312" w:hint="eastAsia"/>
          <w:szCs w:val="28"/>
        </w:rPr>
        <w:t>2023年我院未出现违纪违法的情况。该指标分值12.5分，自评得分12.5分，得分率100.00%。</w:t>
      </w:r>
    </w:p>
    <w:p w:rsidR="004E545C" w:rsidRDefault="00E62B5F">
      <w:pPr>
        <w:pStyle w:val="3"/>
        <w:ind w:firstLine="562"/>
      </w:pPr>
      <w:r>
        <w:rPr>
          <w:rFonts w:hint="eastAsia"/>
        </w:rPr>
        <w:t>4.能力建设</w:t>
      </w:r>
    </w:p>
    <w:p w:rsidR="004E545C" w:rsidRDefault="00E62B5F">
      <w:pPr>
        <w:ind w:firstLine="560"/>
      </w:pPr>
      <w:r>
        <w:rPr>
          <w:rFonts w:hint="eastAsia"/>
        </w:rPr>
        <w:t>能力建设指标包括长效管理、人力资源建设、档案管理3个二级指标，下设3个三级指标。能力建设指标分值</w:t>
      </w:r>
      <w:r>
        <w:t>10分，自评得分10分，得分率100%。</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848"/>
        <w:gridCol w:w="2062"/>
        <w:gridCol w:w="975"/>
        <w:gridCol w:w="1150"/>
        <w:gridCol w:w="800"/>
        <w:gridCol w:w="1188"/>
        <w:gridCol w:w="1046"/>
      </w:tblGrid>
      <w:tr w:rsidR="004E545C">
        <w:trPr>
          <w:cantSplit/>
          <w:trHeight w:val="397"/>
          <w:tblHeader/>
          <w:jc w:val="center"/>
        </w:trPr>
        <w:tc>
          <w:tcPr>
            <w:tcW w:w="1848"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二级指标</w:t>
            </w:r>
          </w:p>
        </w:tc>
        <w:tc>
          <w:tcPr>
            <w:tcW w:w="2062"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三级指标</w:t>
            </w:r>
          </w:p>
        </w:tc>
        <w:tc>
          <w:tcPr>
            <w:tcW w:w="975"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年度指标值</w:t>
            </w:r>
          </w:p>
        </w:tc>
        <w:tc>
          <w:tcPr>
            <w:tcW w:w="1150"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实际完成值</w:t>
            </w:r>
          </w:p>
        </w:tc>
        <w:tc>
          <w:tcPr>
            <w:tcW w:w="800"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分值</w:t>
            </w:r>
          </w:p>
        </w:tc>
        <w:tc>
          <w:tcPr>
            <w:tcW w:w="1188"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自评得分</w:t>
            </w:r>
          </w:p>
        </w:tc>
        <w:tc>
          <w:tcPr>
            <w:tcW w:w="1046"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得分率</w:t>
            </w:r>
          </w:p>
        </w:tc>
      </w:tr>
      <w:tr w:rsidR="004E545C">
        <w:trPr>
          <w:cantSplit/>
          <w:trHeight w:val="397"/>
          <w:tblHeader/>
          <w:jc w:val="center"/>
        </w:trPr>
        <w:tc>
          <w:tcPr>
            <w:tcW w:w="184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长效管理</w:t>
            </w:r>
          </w:p>
        </w:tc>
        <w:tc>
          <w:tcPr>
            <w:tcW w:w="2062"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信息化管理覆盖率</w:t>
            </w:r>
          </w:p>
        </w:tc>
        <w:tc>
          <w:tcPr>
            <w:tcW w:w="975"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&gt;=85%</w:t>
            </w:r>
          </w:p>
        </w:tc>
        <w:tc>
          <w:tcPr>
            <w:tcW w:w="11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98%</w:t>
            </w:r>
          </w:p>
        </w:tc>
        <w:tc>
          <w:tcPr>
            <w:tcW w:w="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3.34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3.34</w:t>
            </w:r>
          </w:p>
        </w:tc>
        <w:tc>
          <w:tcPr>
            <w:tcW w:w="1046"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84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人力资源建设</w:t>
            </w:r>
          </w:p>
        </w:tc>
        <w:tc>
          <w:tcPr>
            <w:tcW w:w="2062"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人员培训机制完备性</w:t>
            </w:r>
          </w:p>
        </w:tc>
        <w:tc>
          <w:tcPr>
            <w:tcW w:w="975"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完备</w:t>
            </w:r>
          </w:p>
        </w:tc>
        <w:tc>
          <w:tcPr>
            <w:tcW w:w="11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w:t>
            </w:r>
          </w:p>
        </w:tc>
        <w:tc>
          <w:tcPr>
            <w:tcW w:w="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3.33</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3.33</w:t>
            </w:r>
          </w:p>
        </w:tc>
        <w:tc>
          <w:tcPr>
            <w:tcW w:w="1046"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84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档案管理</w:t>
            </w:r>
          </w:p>
        </w:tc>
        <w:tc>
          <w:tcPr>
            <w:tcW w:w="2062"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档案归档及时性</w:t>
            </w:r>
          </w:p>
        </w:tc>
        <w:tc>
          <w:tcPr>
            <w:tcW w:w="975"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及时</w:t>
            </w:r>
          </w:p>
        </w:tc>
        <w:tc>
          <w:tcPr>
            <w:tcW w:w="115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w:t>
            </w:r>
          </w:p>
        </w:tc>
        <w:tc>
          <w:tcPr>
            <w:tcW w:w="800"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3.33</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3.33</w:t>
            </w:r>
          </w:p>
        </w:tc>
        <w:tc>
          <w:tcPr>
            <w:tcW w:w="1046" w:type="dxa"/>
            <w:vAlign w:val="center"/>
          </w:tcPr>
          <w:p w:rsidR="004E545C" w:rsidRDefault="00E62B5F">
            <w:pPr>
              <w:widowControl/>
              <w:ind w:firstLineChars="0" w:firstLine="0"/>
              <w:jc w:val="left"/>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8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2062"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975"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150"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80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w:t>
            </w:r>
          </w:p>
        </w:tc>
        <w:tc>
          <w:tcPr>
            <w:tcW w:w="1046"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pPr>
        <w:pStyle w:val="af"/>
        <w:ind w:firstLine="562"/>
        <w:rPr>
          <w:rFonts w:hAnsi="宋体"/>
          <w:szCs w:val="28"/>
        </w:rPr>
      </w:pPr>
      <w:r>
        <w:rPr>
          <w:rFonts w:hAnsi="宋体" w:hint="eastAsia"/>
          <w:b/>
          <w:bCs/>
          <w:szCs w:val="28"/>
        </w:rPr>
        <w:t>信息化管理覆盖率：</w:t>
      </w:r>
      <w:r>
        <w:rPr>
          <w:rFonts w:hAnsi="宋体" w:hint="eastAsia"/>
          <w:szCs w:val="28"/>
        </w:rPr>
        <w:t>我院信息化管理覆盖内容全面可行，能够为今后的工作明确目标、方向和内容，达到年度指标值。该指标分值3.34分，自评得分为3.34分，得分率100.00%。</w:t>
      </w:r>
    </w:p>
    <w:p w:rsidR="004E545C" w:rsidRDefault="00E62B5F">
      <w:pPr>
        <w:ind w:firstLine="562"/>
        <w:rPr>
          <w:rFonts w:hAnsi="宋体"/>
          <w:szCs w:val="28"/>
        </w:rPr>
      </w:pPr>
      <w:r>
        <w:rPr>
          <w:rFonts w:hAnsi="宋体" w:hint="eastAsia"/>
          <w:b/>
          <w:bCs/>
          <w:szCs w:val="28"/>
        </w:rPr>
        <w:t>人员培训机制完备性：</w:t>
      </w:r>
      <w:r>
        <w:rPr>
          <w:rFonts w:hAnsi="宋体" w:hint="eastAsia"/>
          <w:szCs w:val="28"/>
        </w:rPr>
        <w:t>我</w:t>
      </w:r>
      <w:r>
        <w:rPr>
          <w:rFonts w:hint="eastAsia"/>
        </w:rPr>
        <w:t>院重视人员培训工作，积极开展，有计</w:t>
      </w:r>
      <w:r>
        <w:rPr>
          <w:rFonts w:hint="eastAsia"/>
        </w:rPr>
        <w:lastRenderedPageBreak/>
        <w:t>划有组织，工作落实情况强，达到年度指标值。</w:t>
      </w:r>
      <w:r>
        <w:rPr>
          <w:rFonts w:hAnsi="宋体" w:hint="eastAsia"/>
          <w:szCs w:val="28"/>
        </w:rPr>
        <w:t>该指标分值3.33分，自评得分3.33分，得分率100.00%。</w:t>
      </w:r>
    </w:p>
    <w:p w:rsidR="004E545C" w:rsidRDefault="00E62B5F">
      <w:pPr>
        <w:ind w:firstLine="562"/>
      </w:pPr>
      <w:r>
        <w:rPr>
          <w:rFonts w:hint="eastAsia"/>
          <w:b/>
          <w:bCs/>
        </w:rPr>
        <w:t>档案归档及时性：</w:t>
      </w:r>
      <w:r>
        <w:rPr>
          <w:rFonts w:hint="eastAsia"/>
        </w:rPr>
        <w:t>我院档案归档及时，达到年度指标值。</w:t>
      </w:r>
      <w:r>
        <w:rPr>
          <w:rFonts w:hAnsi="宋体" w:hint="eastAsia"/>
          <w:szCs w:val="28"/>
        </w:rPr>
        <w:t>该指标分值3.33分，自评得分3.33分，得分率100.00%。</w:t>
      </w:r>
    </w:p>
    <w:p w:rsidR="004E545C" w:rsidRDefault="00E62B5F">
      <w:pPr>
        <w:pStyle w:val="2"/>
        <w:spacing w:before="0" w:after="0"/>
        <w:ind w:firstLine="643"/>
      </w:pPr>
      <w:bookmarkStart w:id="50" w:name="_Toc16731"/>
      <w:bookmarkStart w:id="51" w:name="_Toc3174"/>
      <w:bookmarkStart w:id="52" w:name="_Toc40046035"/>
      <w:bookmarkStart w:id="53" w:name="_Toc16525"/>
      <w:bookmarkStart w:id="54" w:name="_Toc12558"/>
      <w:bookmarkStart w:id="55" w:name="_Toc10840"/>
      <w:r>
        <w:rPr>
          <w:rFonts w:hint="eastAsia"/>
        </w:rPr>
        <w:t>（四）偏离绩效目标的原因及下一步改进措施</w:t>
      </w:r>
      <w:bookmarkEnd w:id="50"/>
      <w:bookmarkEnd w:id="51"/>
      <w:bookmarkEnd w:id="52"/>
      <w:bookmarkEnd w:id="53"/>
      <w:bookmarkEnd w:id="54"/>
      <w:bookmarkEnd w:id="55"/>
    </w:p>
    <w:p w:rsidR="004E545C" w:rsidRDefault="00E62B5F">
      <w:pPr>
        <w:pStyle w:val="af"/>
        <w:ind w:firstLine="560"/>
        <w:rPr>
          <w:rFonts w:hAnsi="宋体"/>
          <w:szCs w:val="28"/>
        </w:rPr>
      </w:pPr>
      <w:r>
        <w:rPr>
          <w:rFonts w:hAnsi="宋体" w:hint="eastAsia"/>
          <w:szCs w:val="28"/>
        </w:rPr>
        <w:t>我院在上报2023年度整体绩效目标时，个别指标设置不合理，结转结余变动率指标设置偏低。我院将进一步细化年初绩效目标设置，合理设置指标分值。</w:t>
      </w:r>
    </w:p>
    <w:p w:rsidR="004E545C" w:rsidRDefault="00E62B5F">
      <w:pPr>
        <w:pStyle w:val="1"/>
        <w:keepNext w:val="0"/>
        <w:keepLines w:val="0"/>
        <w:spacing w:before="0" w:after="0"/>
        <w:ind w:firstLineChars="200" w:firstLine="643"/>
      </w:pPr>
      <w:bookmarkStart w:id="56" w:name="_Toc1910"/>
      <w:r>
        <w:rPr>
          <w:rFonts w:hint="eastAsia"/>
        </w:rPr>
        <w:t>四、部门预算项目支出绩效自评情况分析</w:t>
      </w:r>
      <w:bookmarkEnd w:id="56"/>
    </w:p>
    <w:p w:rsidR="004E545C" w:rsidRDefault="00E62B5F">
      <w:pPr>
        <w:spacing w:line="560" w:lineRule="exact"/>
        <w:ind w:firstLine="560"/>
        <w:rPr>
          <w:rFonts w:cs="仿宋_GB2312"/>
          <w:szCs w:val="28"/>
        </w:rPr>
      </w:pPr>
      <w:r>
        <w:rPr>
          <w:rFonts w:cs="仿宋_GB2312" w:hint="eastAsia"/>
          <w:szCs w:val="28"/>
        </w:rPr>
        <w:t>2023年，我院预算支出项目为2个，通过自评，项目结果为“优”。</w:t>
      </w:r>
    </w:p>
    <w:p w:rsidR="004E545C" w:rsidRDefault="00E62B5F">
      <w:pPr>
        <w:pStyle w:val="2"/>
        <w:spacing w:before="0" w:after="0"/>
        <w:ind w:firstLine="643"/>
      </w:pPr>
      <w:bookmarkStart w:id="57" w:name="_Toc23821"/>
      <w:r>
        <w:rPr>
          <w:rFonts w:hint="eastAsia"/>
        </w:rPr>
        <w:t>（一）全省法院业务费</w:t>
      </w:r>
      <w:bookmarkEnd w:id="57"/>
    </w:p>
    <w:p w:rsidR="004E545C" w:rsidRDefault="00E62B5F">
      <w:pPr>
        <w:ind w:firstLine="560"/>
        <w:rPr>
          <w:rFonts w:ascii="宋体" w:hAnsi="宋体" w:cs="宋体"/>
          <w:b/>
          <w:bCs/>
          <w:kern w:val="0"/>
          <w:sz w:val="24"/>
        </w:rPr>
      </w:pPr>
      <w:bookmarkStart w:id="58" w:name="_Toc18806"/>
      <w:bookmarkStart w:id="59" w:name="_Toc40046064"/>
      <w:bookmarkStart w:id="60" w:name="_Toc22570"/>
      <w:bookmarkStart w:id="61" w:name="_Toc3777"/>
      <w:bookmarkStart w:id="62" w:name="_Toc1889"/>
      <w:bookmarkStart w:id="63" w:name="_Toc40046065"/>
      <w:bookmarkStart w:id="64" w:name="_Toc7144"/>
      <w:r>
        <w:rPr>
          <w:rFonts w:hint="eastAsia"/>
        </w:rPr>
        <w:t>本次绩效自评综合评定2023年业务费项目支出绩效得分为98.52分，绩效等级为“优”。项目支出绩效评价包括</w:t>
      </w:r>
      <w:r>
        <w:rPr>
          <w:rFonts w:cs="仿宋_GB2312" w:hint="eastAsia"/>
        </w:rPr>
        <w:t>项目成本、</w:t>
      </w:r>
      <w:r>
        <w:rPr>
          <w:rFonts w:hint="eastAsia"/>
        </w:rPr>
        <w:t>产出、效益、满意度四个一级指标，下设8个二级指标和17个三级指标。一级指标得分情况详见下表：</w:t>
      </w:r>
    </w:p>
    <w:p w:rsidR="004E545C" w:rsidRDefault="00E62B5F" w:rsidP="00BB6FA1">
      <w:pPr>
        <w:ind w:firstLine="482"/>
        <w:jc w:val="center"/>
        <w:rPr>
          <w:rFonts w:ascii="宋体" w:hAnsi="宋体"/>
        </w:rPr>
      </w:pPr>
      <w:r>
        <w:rPr>
          <w:rFonts w:ascii="宋体" w:hAnsi="宋体" w:cs="宋体" w:hint="eastAsia"/>
          <w:b/>
          <w:bCs/>
          <w:kern w:val="0"/>
          <w:sz w:val="24"/>
        </w:rPr>
        <w:t>2023</w:t>
      </w:r>
      <w:r>
        <w:rPr>
          <w:rFonts w:ascii="宋体" w:hAnsi="宋体" w:cs="宋体" w:hint="eastAsia"/>
          <w:b/>
          <w:bCs/>
          <w:kern w:val="0"/>
          <w:sz w:val="24"/>
        </w:rPr>
        <w:t>年度项目支出绩效评价指标得分情况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4E545C">
        <w:trPr>
          <w:trHeight w:val="397"/>
        </w:trPr>
        <w:tc>
          <w:tcPr>
            <w:tcW w:w="35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一级指标</w:t>
            </w:r>
          </w:p>
        </w:tc>
        <w:tc>
          <w:tcPr>
            <w:tcW w:w="167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分值</w:t>
            </w:r>
          </w:p>
        </w:tc>
        <w:tc>
          <w:tcPr>
            <w:tcW w:w="156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自评得分</w:t>
            </w:r>
          </w:p>
        </w:tc>
        <w:tc>
          <w:tcPr>
            <w:tcW w:w="226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得分率</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预算执行率</w:t>
            </w:r>
          </w:p>
        </w:tc>
        <w:tc>
          <w:tcPr>
            <w:tcW w:w="1678"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60"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268"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100.00%</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成本</w:t>
            </w:r>
          </w:p>
        </w:tc>
        <w:tc>
          <w:tcPr>
            <w:tcW w:w="167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1560"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226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100.00%</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产出指标</w:t>
            </w:r>
          </w:p>
        </w:tc>
        <w:tc>
          <w:tcPr>
            <w:tcW w:w="167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40</w:t>
            </w:r>
          </w:p>
        </w:tc>
        <w:tc>
          <w:tcPr>
            <w:tcW w:w="1560"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38.52</w:t>
            </w:r>
          </w:p>
        </w:tc>
        <w:tc>
          <w:tcPr>
            <w:tcW w:w="226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96.3%</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效益指标</w:t>
            </w:r>
          </w:p>
        </w:tc>
        <w:tc>
          <w:tcPr>
            <w:tcW w:w="167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1560"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20</w:t>
            </w:r>
          </w:p>
        </w:tc>
        <w:tc>
          <w:tcPr>
            <w:tcW w:w="226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100.00%</w:t>
            </w:r>
          </w:p>
        </w:tc>
      </w:tr>
      <w:tr w:rsidR="004E545C">
        <w:trPr>
          <w:trHeight w:val="397"/>
        </w:trPr>
        <w:tc>
          <w:tcPr>
            <w:tcW w:w="3533" w:type="dxa"/>
            <w:vAlign w:val="center"/>
          </w:tcPr>
          <w:p w:rsidR="004E545C" w:rsidRDefault="00E62B5F">
            <w:pPr>
              <w:widowControl/>
              <w:ind w:firstLineChars="0" w:firstLine="0"/>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满意度指标</w:t>
            </w:r>
          </w:p>
        </w:tc>
        <w:tc>
          <w:tcPr>
            <w:tcW w:w="167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1560"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w:t>
            </w:r>
          </w:p>
        </w:tc>
        <w:tc>
          <w:tcPr>
            <w:tcW w:w="2268" w:type="dxa"/>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100.00%</w:t>
            </w:r>
          </w:p>
        </w:tc>
      </w:tr>
      <w:tr w:rsidR="004E545C">
        <w:trPr>
          <w:trHeight w:val="397"/>
        </w:trPr>
        <w:tc>
          <w:tcPr>
            <w:tcW w:w="35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67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c>
          <w:tcPr>
            <w:tcW w:w="156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98.52</w:t>
            </w:r>
          </w:p>
        </w:tc>
        <w:tc>
          <w:tcPr>
            <w:tcW w:w="2268"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98.52%</w:t>
            </w:r>
          </w:p>
        </w:tc>
      </w:tr>
    </w:tbl>
    <w:p w:rsidR="004E545C" w:rsidRDefault="00E62B5F">
      <w:pPr>
        <w:pStyle w:val="3"/>
        <w:ind w:firstLine="562"/>
      </w:pPr>
      <w:r>
        <w:rPr>
          <w:rFonts w:hint="eastAsia"/>
        </w:rPr>
        <w:lastRenderedPageBreak/>
        <w:t>1.项目支出预算总体情况</w:t>
      </w:r>
    </w:p>
    <w:p w:rsidR="004E545C" w:rsidRDefault="00E62B5F">
      <w:pPr>
        <w:ind w:firstLine="560"/>
      </w:pPr>
      <w:r>
        <w:rPr>
          <w:rFonts w:hint="eastAsia"/>
        </w:rPr>
        <w:t>业务费</w:t>
      </w:r>
      <w:r>
        <w:rPr>
          <w:rFonts w:hint="eastAsia"/>
          <w:szCs w:val="28"/>
        </w:rPr>
        <w:t>项目年初预算数为105万元，全年预算数为120万元，全年执行数为120万元，预算执行率100.00</w:t>
      </w:r>
      <w:r>
        <w:rPr>
          <w:szCs w:val="28"/>
        </w:rPr>
        <w:t>%</w:t>
      </w:r>
      <w:r>
        <w:rPr>
          <w:rFonts w:hint="eastAsia"/>
          <w:szCs w:val="28"/>
        </w:rPr>
        <w:t>，满分10分，得分10分，得分率100.00</w:t>
      </w:r>
      <w:r>
        <w:rPr>
          <w:szCs w:val="28"/>
        </w:rPr>
        <w:t>%</w:t>
      </w:r>
      <w:r>
        <w:rPr>
          <w:rFonts w:hint="eastAsia"/>
          <w:szCs w:val="28"/>
        </w:rPr>
        <w:t>。</w:t>
      </w:r>
    </w:p>
    <w:p w:rsidR="004E545C" w:rsidRDefault="00E62B5F">
      <w:pPr>
        <w:pStyle w:val="3"/>
        <w:ind w:firstLine="562"/>
      </w:pPr>
      <w:r>
        <w:rPr>
          <w:rFonts w:hint="eastAsia"/>
        </w:rPr>
        <w:t>2.总体绩效目标完成情况分析</w:t>
      </w:r>
    </w:p>
    <w:p w:rsidR="004E545C" w:rsidRDefault="00E62B5F">
      <w:pPr>
        <w:pStyle w:val="3"/>
        <w:keepNext w:val="0"/>
        <w:keepLines w:val="0"/>
        <w:ind w:firstLine="560"/>
      </w:pPr>
      <w:r>
        <w:rPr>
          <w:rFonts w:hint="eastAsia"/>
          <w:b w:val="0"/>
          <w:bCs w:val="0"/>
          <w:szCs w:val="22"/>
        </w:rPr>
        <w:t>通过2023年度业务费的投入，保障我院正常审判执行工作顺利开展，提高办案效率，从而推动我院各项工作顺利开展。</w:t>
      </w:r>
    </w:p>
    <w:p w:rsidR="004E545C" w:rsidRDefault="00E62B5F">
      <w:pPr>
        <w:pStyle w:val="3"/>
        <w:keepNext w:val="0"/>
        <w:keepLines w:val="0"/>
        <w:ind w:firstLine="562"/>
      </w:pPr>
      <w:r>
        <w:rPr>
          <w:rFonts w:hint="eastAsia"/>
        </w:rPr>
        <w:t>3.各项指标完成情况分析</w:t>
      </w:r>
    </w:p>
    <w:p w:rsidR="004E545C" w:rsidRDefault="00E62B5F">
      <w:pPr>
        <w:pStyle w:val="4"/>
        <w:keepNext w:val="0"/>
        <w:keepLines w:val="0"/>
        <w:spacing w:before="0" w:after="0" w:line="360" w:lineRule="auto"/>
        <w:ind w:firstLine="562"/>
        <w:rPr>
          <w:rFonts w:ascii="仿宋_GB2312" w:eastAsia="仿宋_GB2312" w:hAnsi="仿宋_GB2312" w:cs="仿宋_GB2312"/>
        </w:rPr>
      </w:pPr>
      <w:r>
        <w:rPr>
          <w:rFonts w:ascii="仿宋_GB2312" w:eastAsia="仿宋_GB2312" w:hAnsi="仿宋_GB2312" w:cs="仿宋_GB2312" w:hint="eastAsia"/>
        </w:rPr>
        <w:t>（1）成本指标</w:t>
      </w:r>
    </w:p>
    <w:p w:rsidR="004E545C" w:rsidRDefault="00E62B5F">
      <w:pPr>
        <w:keepNext/>
        <w:ind w:firstLine="560"/>
        <w:jc w:val="left"/>
        <w:rPr>
          <w:rFonts w:cs="仿宋_GB2312"/>
          <w:szCs w:val="28"/>
        </w:rPr>
      </w:pPr>
      <w:r>
        <w:rPr>
          <w:rFonts w:cs="仿宋_GB2312" w:hint="eastAsia"/>
          <w:szCs w:val="28"/>
        </w:rPr>
        <w:t>成本指标下设成本控制情况1个二级指标。总分值20分，得分20分，得分率100</w:t>
      </w:r>
      <w:r>
        <w:rPr>
          <w:rFonts w:cs="仿宋_GB2312"/>
          <w:szCs w:val="28"/>
        </w:rPr>
        <w:t>%</w:t>
      </w:r>
      <w:r>
        <w:rPr>
          <w:rFonts w:cs="仿宋_GB2312" w:hint="eastAsia"/>
          <w:szCs w:val="28"/>
        </w:rPr>
        <w:t>。</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848"/>
        <w:gridCol w:w="2062"/>
        <w:gridCol w:w="975"/>
        <w:gridCol w:w="1150"/>
        <w:gridCol w:w="800"/>
        <w:gridCol w:w="1188"/>
        <w:gridCol w:w="1046"/>
      </w:tblGrid>
      <w:tr w:rsidR="004E545C">
        <w:trPr>
          <w:cantSplit/>
          <w:trHeight w:val="397"/>
          <w:tblHeader/>
          <w:jc w:val="center"/>
        </w:trPr>
        <w:tc>
          <w:tcPr>
            <w:tcW w:w="1848"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二级指标</w:t>
            </w:r>
          </w:p>
        </w:tc>
        <w:tc>
          <w:tcPr>
            <w:tcW w:w="2062"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三级指标</w:t>
            </w:r>
          </w:p>
        </w:tc>
        <w:tc>
          <w:tcPr>
            <w:tcW w:w="975"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年度指标值</w:t>
            </w:r>
          </w:p>
        </w:tc>
        <w:tc>
          <w:tcPr>
            <w:tcW w:w="1150"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实际完成值</w:t>
            </w:r>
          </w:p>
        </w:tc>
        <w:tc>
          <w:tcPr>
            <w:tcW w:w="800"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分值</w:t>
            </w:r>
          </w:p>
        </w:tc>
        <w:tc>
          <w:tcPr>
            <w:tcW w:w="1188"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自评得分</w:t>
            </w:r>
          </w:p>
        </w:tc>
        <w:tc>
          <w:tcPr>
            <w:tcW w:w="1046"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得分率</w:t>
            </w:r>
          </w:p>
        </w:tc>
      </w:tr>
      <w:tr w:rsidR="004E545C">
        <w:trPr>
          <w:cantSplit/>
          <w:trHeight w:val="397"/>
          <w:tblHeader/>
          <w:jc w:val="center"/>
        </w:trPr>
        <w:tc>
          <w:tcPr>
            <w:tcW w:w="1848" w:type="dxa"/>
            <w:vAlign w:val="center"/>
          </w:tcPr>
          <w:p w:rsidR="004E545C" w:rsidRDefault="00E62B5F">
            <w:pPr>
              <w:widowControl/>
              <w:ind w:firstLineChars="0" w:firstLine="0"/>
              <w:textAlignment w:val="center"/>
              <w:rPr>
                <w:rFonts w:ascii="宋体" w:eastAsia="宋体" w:hAnsi="宋体" w:cs="宋体"/>
                <w:color w:val="333333"/>
                <w:kern w:val="0"/>
                <w:sz w:val="22"/>
              </w:rPr>
            </w:pPr>
            <w:r>
              <w:rPr>
                <w:rFonts w:ascii="宋体" w:eastAsia="宋体" w:hAnsi="宋体" w:cs="宋体" w:hint="eastAsia"/>
                <w:color w:val="333333"/>
                <w:kern w:val="0"/>
                <w:sz w:val="22"/>
              </w:rPr>
              <w:t>成本指标</w:t>
            </w:r>
          </w:p>
        </w:tc>
        <w:tc>
          <w:tcPr>
            <w:tcW w:w="2062" w:type="dxa"/>
            <w:vAlign w:val="center"/>
          </w:tcPr>
          <w:p w:rsidR="004E545C" w:rsidRDefault="00E62B5F">
            <w:pPr>
              <w:widowControl/>
              <w:ind w:firstLineChars="0" w:firstLine="0"/>
              <w:textAlignment w:val="center"/>
              <w:rPr>
                <w:rFonts w:ascii="宋体" w:eastAsia="宋体" w:hAnsi="宋体" w:cs="宋体"/>
                <w:color w:val="333333"/>
                <w:kern w:val="0"/>
                <w:sz w:val="22"/>
              </w:rPr>
            </w:pPr>
            <w:r>
              <w:rPr>
                <w:rFonts w:ascii="宋体" w:eastAsia="宋体" w:hAnsi="宋体" w:cs="宋体" w:hint="eastAsia"/>
                <w:color w:val="333333"/>
                <w:kern w:val="0"/>
                <w:sz w:val="22"/>
              </w:rPr>
              <w:t>成本控制情况</w:t>
            </w:r>
          </w:p>
        </w:tc>
        <w:tc>
          <w:tcPr>
            <w:tcW w:w="975" w:type="dxa"/>
            <w:vAlign w:val="center"/>
          </w:tcPr>
          <w:p w:rsidR="004E545C" w:rsidRDefault="00E62B5F">
            <w:pPr>
              <w:widowControl/>
              <w:ind w:firstLineChars="0" w:firstLine="0"/>
              <w:textAlignment w:val="center"/>
              <w:rPr>
                <w:rFonts w:ascii="宋体" w:eastAsia="宋体" w:hAnsi="宋体" w:cs="宋体"/>
                <w:color w:val="333333"/>
                <w:kern w:val="0"/>
                <w:sz w:val="22"/>
              </w:rPr>
            </w:pPr>
            <w:r>
              <w:rPr>
                <w:rFonts w:ascii="宋体" w:eastAsia="宋体" w:hAnsi="宋体" w:cs="宋体" w:hint="eastAsia"/>
                <w:color w:val="333333"/>
                <w:kern w:val="0"/>
                <w:sz w:val="22"/>
              </w:rPr>
              <w:t>定额标准内</w:t>
            </w:r>
          </w:p>
        </w:tc>
        <w:tc>
          <w:tcPr>
            <w:tcW w:w="1150" w:type="dxa"/>
            <w:vAlign w:val="center"/>
          </w:tcPr>
          <w:p w:rsidR="004E545C" w:rsidRDefault="00E62B5F">
            <w:pPr>
              <w:widowControl/>
              <w:ind w:firstLineChars="0" w:firstLine="0"/>
              <w:textAlignment w:val="center"/>
              <w:rPr>
                <w:rFonts w:ascii="宋体" w:eastAsia="宋体" w:hAnsi="宋体" w:cs="宋体"/>
                <w:color w:val="333333"/>
                <w:kern w:val="0"/>
                <w:sz w:val="22"/>
              </w:rPr>
            </w:pPr>
            <w:r>
              <w:rPr>
                <w:rFonts w:ascii="宋体" w:eastAsia="宋体" w:hAnsi="宋体" w:cs="宋体" w:hint="eastAsia"/>
                <w:color w:val="333333"/>
                <w:kern w:val="0"/>
                <w:sz w:val="22"/>
              </w:rPr>
              <w:t>100%</w:t>
            </w:r>
          </w:p>
        </w:tc>
        <w:tc>
          <w:tcPr>
            <w:tcW w:w="800" w:type="dxa"/>
            <w:vAlign w:val="center"/>
          </w:tcPr>
          <w:p w:rsidR="004E545C" w:rsidRDefault="00E62B5F">
            <w:pPr>
              <w:widowControl/>
              <w:ind w:firstLineChars="0" w:firstLine="0"/>
              <w:textAlignment w:val="center"/>
              <w:rPr>
                <w:rFonts w:ascii="宋体" w:eastAsia="宋体" w:hAnsi="宋体" w:cs="宋体"/>
                <w:color w:val="333333"/>
                <w:kern w:val="0"/>
                <w:sz w:val="22"/>
              </w:rPr>
            </w:pPr>
            <w:r>
              <w:rPr>
                <w:rFonts w:ascii="宋体" w:eastAsia="宋体" w:hAnsi="宋体" w:cs="宋体" w:hint="eastAsia"/>
                <w:color w:val="333333"/>
                <w:kern w:val="0"/>
                <w:sz w:val="22"/>
              </w:rPr>
              <w:t>20</w:t>
            </w:r>
          </w:p>
        </w:tc>
        <w:tc>
          <w:tcPr>
            <w:tcW w:w="1188" w:type="dxa"/>
            <w:vAlign w:val="center"/>
          </w:tcPr>
          <w:p w:rsidR="004E545C" w:rsidRDefault="00E62B5F">
            <w:pPr>
              <w:widowControl/>
              <w:ind w:firstLineChars="0" w:firstLine="0"/>
              <w:textAlignment w:val="center"/>
              <w:rPr>
                <w:rFonts w:ascii="宋体" w:eastAsia="宋体" w:hAnsi="宋体" w:cs="宋体"/>
                <w:color w:val="333333"/>
                <w:kern w:val="0"/>
                <w:sz w:val="22"/>
              </w:rPr>
            </w:pPr>
            <w:r>
              <w:rPr>
                <w:rFonts w:ascii="宋体" w:eastAsia="宋体" w:hAnsi="宋体" w:cs="宋体" w:hint="eastAsia"/>
                <w:color w:val="333333"/>
                <w:kern w:val="0"/>
                <w:sz w:val="22"/>
              </w:rPr>
              <w:t>20</w:t>
            </w:r>
          </w:p>
        </w:tc>
        <w:tc>
          <w:tcPr>
            <w:tcW w:w="1046" w:type="dxa"/>
            <w:vAlign w:val="center"/>
          </w:tcPr>
          <w:p w:rsidR="004E545C" w:rsidRDefault="00E62B5F">
            <w:pPr>
              <w:widowControl/>
              <w:ind w:firstLineChars="0" w:firstLine="0"/>
              <w:textAlignment w:val="center"/>
              <w:rPr>
                <w:rFonts w:ascii="宋体" w:eastAsia="宋体" w:hAnsi="宋体" w:cs="宋体"/>
                <w:color w:val="333333"/>
                <w:kern w:val="0"/>
                <w:sz w:val="22"/>
              </w:rPr>
            </w:pPr>
            <w:r>
              <w:rPr>
                <w:rFonts w:ascii="宋体" w:eastAsia="宋体" w:hAnsi="宋体" w:cs="宋体" w:hint="eastAsia"/>
                <w:color w:val="333333"/>
                <w:kern w:val="0"/>
                <w:sz w:val="22"/>
              </w:rPr>
              <w:t>100.00%</w:t>
            </w:r>
          </w:p>
        </w:tc>
      </w:tr>
      <w:tr w:rsidR="004E545C">
        <w:trPr>
          <w:cantSplit/>
          <w:trHeight w:val="397"/>
          <w:tblHeader/>
          <w:jc w:val="center"/>
        </w:trPr>
        <w:tc>
          <w:tcPr>
            <w:tcW w:w="18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2062"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975"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150"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80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046"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pPr>
        <w:ind w:firstLine="562"/>
        <w:rPr>
          <w:rFonts w:hAnsi="宋体"/>
          <w:szCs w:val="28"/>
        </w:rPr>
      </w:pPr>
      <w:r>
        <w:rPr>
          <w:rFonts w:hAnsi="宋体" w:hint="eastAsia"/>
          <w:b/>
          <w:bCs/>
          <w:szCs w:val="28"/>
        </w:rPr>
        <w:t>成本控制情况：</w:t>
      </w:r>
      <w:r>
        <w:rPr>
          <w:rFonts w:hAnsi="宋体" w:hint="eastAsia"/>
          <w:szCs w:val="28"/>
        </w:rPr>
        <w:t>我院2023年全省法院业务费成本控制在全年预算数以内，符合年度指标值的要求。该指标分值20分，自评得分为20分，得分率为100.00%。</w:t>
      </w:r>
    </w:p>
    <w:p w:rsidR="004E545C" w:rsidRDefault="00E62B5F">
      <w:pPr>
        <w:pStyle w:val="4"/>
        <w:keepNext w:val="0"/>
        <w:keepLines w:val="0"/>
        <w:numPr>
          <w:ilvl w:val="0"/>
          <w:numId w:val="1"/>
        </w:numPr>
        <w:spacing w:before="0" w:after="0" w:line="360" w:lineRule="auto"/>
        <w:ind w:firstLine="562"/>
        <w:rPr>
          <w:rFonts w:ascii="仿宋_GB2312" w:eastAsia="仿宋_GB2312" w:hAnsi="仿宋_GB2312" w:cs="仿宋_GB2312"/>
        </w:rPr>
      </w:pPr>
      <w:r>
        <w:rPr>
          <w:rFonts w:ascii="仿宋_GB2312" w:eastAsia="仿宋_GB2312" w:hAnsi="仿宋_GB2312" w:cs="仿宋_GB2312" w:hint="eastAsia"/>
        </w:rPr>
        <w:t>产出指标</w:t>
      </w:r>
    </w:p>
    <w:p w:rsidR="004E545C" w:rsidRDefault="00E62B5F" w:rsidP="00BB6FA1">
      <w:pPr>
        <w:ind w:firstLine="560"/>
        <w:rPr>
          <w:rFonts w:hAnsi="宋体"/>
          <w:szCs w:val="28"/>
        </w:rPr>
      </w:pPr>
      <w:r>
        <w:rPr>
          <w:rFonts w:hAnsi="宋体" w:hint="eastAsia"/>
          <w:szCs w:val="28"/>
        </w:rPr>
        <w:t>产出指标下设数量、质量、时效3个二级指标。总分值40分，得分38.52分，得分率96.3%。</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00"/>
        <w:gridCol w:w="1428"/>
        <w:gridCol w:w="1484"/>
        <w:gridCol w:w="850"/>
        <w:gridCol w:w="1188"/>
        <w:gridCol w:w="1071"/>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二级指标</w:t>
            </w:r>
          </w:p>
        </w:tc>
        <w:tc>
          <w:tcPr>
            <w:tcW w:w="1800"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28"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84"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lastRenderedPageBreak/>
              <w:t>数量指标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结案率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95.2%</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维修维护项目数</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&gt;=3项</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8项</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2.52</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84.00%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物业管理面积</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=5134.6平方米</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5134.6平方米</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信息化运维服务完成率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质量指标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维修维护项目验收合格率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物业管理合格率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信息化运维服务验收合格率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一审服判息诉率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91.7%</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时效指标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法定审限内结案率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&gt;=95%</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维修修护及时性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及时</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800"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28"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84"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40</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38.52</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96.3%</w:t>
            </w:r>
          </w:p>
        </w:tc>
      </w:tr>
    </w:tbl>
    <w:p w:rsidR="004E545C" w:rsidRDefault="00E62B5F" w:rsidP="00BB6FA1">
      <w:pPr>
        <w:ind w:firstLine="562"/>
        <w:rPr>
          <w:rFonts w:hAnsi="宋体"/>
          <w:szCs w:val="28"/>
        </w:rPr>
      </w:pPr>
      <w:r>
        <w:rPr>
          <w:rFonts w:hAnsi="宋体" w:hint="eastAsia"/>
          <w:b/>
          <w:bCs/>
          <w:szCs w:val="28"/>
        </w:rPr>
        <w:t>结案率：</w:t>
      </w:r>
      <w:r>
        <w:rPr>
          <w:rFonts w:hAnsi="宋体" w:hint="eastAsia"/>
          <w:szCs w:val="28"/>
        </w:rPr>
        <w:t>我院2023年度结案率95.2%，达到年度指标值。该指标分值4分，自评得分为4分，得分率为100.00%。</w:t>
      </w:r>
    </w:p>
    <w:p w:rsidR="004E545C" w:rsidRDefault="00E62B5F" w:rsidP="00BB6FA1">
      <w:pPr>
        <w:ind w:firstLine="562"/>
      </w:pPr>
      <w:r>
        <w:rPr>
          <w:rFonts w:hAnsi="宋体" w:hint="eastAsia"/>
          <w:b/>
          <w:bCs/>
          <w:szCs w:val="28"/>
        </w:rPr>
        <w:t>维修维护项目数：</w:t>
      </w:r>
      <w:r>
        <w:rPr>
          <w:rFonts w:hAnsi="宋体" w:hint="eastAsia"/>
          <w:szCs w:val="28"/>
        </w:rPr>
        <w:t>我院2023年度维修项目数8项，年度指标值大于等于3项。该指标分值4分，自评得分为2.52分，得分率为63%。</w:t>
      </w:r>
    </w:p>
    <w:p w:rsidR="004E545C" w:rsidRDefault="00E62B5F">
      <w:pPr>
        <w:ind w:firstLine="562"/>
        <w:rPr>
          <w:rFonts w:hAnsi="宋体"/>
          <w:szCs w:val="28"/>
        </w:rPr>
      </w:pPr>
      <w:r>
        <w:rPr>
          <w:rFonts w:hAnsi="宋体" w:hint="eastAsia"/>
          <w:b/>
          <w:bCs/>
          <w:szCs w:val="28"/>
        </w:rPr>
        <w:t>物业管理面积：</w:t>
      </w:r>
      <w:r>
        <w:rPr>
          <w:rFonts w:hAnsi="宋体" w:hint="eastAsia"/>
          <w:szCs w:val="28"/>
        </w:rPr>
        <w:t>我院我院物业管理面积5134.6平方米，达到目标值。该指标分值4分，自评得分为4分，得分率为100.00%。</w:t>
      </w:r>
    </w:p>
    <w:p w:rsidR="004E545C" w:rsidRDefault="00E62B5F">
      <w:pPr>
        <w:ind w:firstLine="562"/>
        <w:rPr>
          <w:rFonts w:hAnsi="宋体"/>
          <w:szCs w:val="28"/>
        </w:rPr>
      </w:pPr>
      <w:r>
        <w:rPr>
          <w:rFonts w:hAnsi="宋体" w:hint="eastAsia"/>
          <w:b/>
          <w:bCs/>
          <w:szCs w:val="28"/>
        </w:rPr>
        <w:t>信息化运维服务完成率：</w:t>
      </w:r>
      <w:r>
        <w:rPr>
          <w:rFonts w:hAnsi="宋体" w:hint="eastAsia"/>
          <w:szCs w:val="28"/>
        </w:rPr>
        <w:t>我院信息化软件运行维护工作执行到位，积极保障法院信息化软件的运行维护工作，信息化软件运行维护工作完成率为100.00%，达到年度指标值。该指标分值4分，自评得分为</w:t>
      </w:r>
      <w:r>
        <w:rPr>
          <w:rFonts w:hAnsi="宋体" w:hint="eastAsia"/>
          <w:szCs w:val="28"/>
        </w:rPr>
        <w:lastRenderedPageBreak/>
        <w:t>4分，得分率100.00%。</w:t>
      </w:r>
    </w:p>
    <w:p w:rsidR="004E545C" w:rsidRDefault="00E62B5F">
      <w:pPr>
        <w:pStyle w:val="af"/>
        <w:ind w:firstLine="562"/>
        <w:rPr>
          <w:rFonts w:hAnsi="宋体"/>
          <w:b/>
          <w:bCs/>
          <w:szCs w:val="28"/>
        </w:rPr>
      </w:pPr>
      <w:r>
        <w:rPr>
          <w:rFonts w:hAnsi="宋体" w:hint="eastAsia"/>
          <w:b/>
          <w:bCs/>
          <w:szCs w:val="28"/>
        </w:rPr>
        <w:t>维修维护项目验收合格率：</w:t>
      </w:r>
      <w:r>
        <w:rPr>
          <w:rFonts w:hAnsi="宋体" w:hint="eastAsia"/>
          <w:szCs w:val="28"/>
        </w:rPr>
        <w:t>本年度我院维修维护项目已全部通过验收，合格率为100.00%，达到年度指标值。该指标分值4分，自评得分为4分，得分率为100.00%。</w:t>
      </w:r>
    </w:p>
    <w:p w:rsidR="004E545C" w:rsidRDefault="00E62B5F" w:rsidP="00BB6FA1">
      <w:pPr>
        <w:pStyle w:val="6"/>
        <w:ind w:firstLine="562"/>
        <w:rPr>
          <w:rFonts w:hAnsi="宋体" w:cstheme="minorBidi"/>
          <w:color w:val="auto"/>
          <w:sz w:val="28"/>
          <w:szCs w:val="28"/>
        </w:rPr>
      </w:pPr>
      <w:r>
        <w:rPr>
          <w:rFonts w:hAnsi="宋体" w:cstheme="minorBidi" w:hint="eastAsia"/>
          <w:b/>
          <w:bCs/>
          <w:color w:val="auto"/>
          <w:sz w:val="28"/>
          <w:szCs w:val="28"/>
        </w:rPr>
        <w:t>物业管理合格率：</w:t>
      </w:r>
      <w:r>
        <w:rPr>
          <w:rFonts w:hAnsi="宋体" w:cstheme="minorBidi" w:hint="eastAsia"/>
          <w:color w:val="auto"/>
          <w:sz w:val="28"/>
          <w:szCs w:val="28"/>
        </w:rPr>
        <w:t>本年度我院物业管理已全部通过验收，合格率为100.00%，达到年度指标值。该指标分值4分，自评得分为4分，得分率为100.00%。</w:t>
      </w:r>
    </w:p>
    <w:p w:rsidR="004E545C" w:rsidRDefault="00E62B5F" w:rsidP="00BB6FA1">
      <w:pPr>
        <w:ind w:firstLine="562"/>
        <w:rPr>
          <w:rFonts w:hAnsi="宋体"/>
          <w:szCs w:val="28"/>
        </w:rPr>
      </w:pPr>
      <w:r>
        <w:rPr>
          <w:rFonts w:hAnsi="宋体" w:hint="eastAsia"/>
          <w:b/>
          <w:bCs/>
          <w:szCs w:val="28"/>
        </w:rPr>
        <w:t>信息化运维服务验收合格率：</w:t>
      </w:r>
      <w:r>
        <w:rPr>
          <w:rFonts w:hAnsi="宋体" w:hint="eastAsia"/>
          <w:szCs w:val="28"/>
        </w:rPr>
        <w:t>我院本年度的信息化软件运行维护工作均达到办公质量要求，通过验收，验收合格率为100.00%，达到年度指标值。该指标分值4分，自评得分为4分，得分率100.00%。</w:t>
      </w:r>
    </w:p>
    <w:p w:rsidR="004E545C" w:rsidRDefault="00E62B5F">
      <w:pPr>
        <w:ind w:firstLine="562"/>
        <w:rPr>
          <w:rFonts w:hAnsi="宋体"/>
          <w:szCs w:val="28"/>
        </w:rPr>
      </w:pPr>
      <w:r>
        <w:rPr>
          <w:rFonts w:hAnsi="宋体" w:hint="eastAsia"/>
          <w:b/>
          <w:bCs/>
          <w:szCs w:val="28"/>
        </w:rPr>
        <w:t>一审服判息诉率：</w:t>
      </w:r>
      <w:r>
        <w:rPr>
          <w:rFonts w:hAnsi="宋体" w:hint="eastAsia"/>
          <w:szCs w:val="28"/>
        </w:rPr>
        <w:t>我院2023年审限内结案率91.7%。各项审判执行质效指标持续保持高位运行，达到年度指标值。该指标分值4分，自评得分为4分，得分率为100.00%。</w:t>
      </w:r>
    </w:p>
    <w:p w:rsidR="004E545C" w:rsidRDefault="00E62B5F">
      <w:pPr>
        <w:ind w:firstLine="562"/>
        <w:rPr>
          <w:rFonts w:hAnsi="宋体"/>
          <w:color w:val="000000" w:themeColor="text1"/>
          <w:szCs w:val="28"/>
        </w:rPr>
      </w:pPr>
      <w:r>
        <w:rPr>
          <w:rFonts w:hAnsi="宋体" w:hint="eastAsia"/>
          <w:b/>
          <w:bCs/>
          <w:color w:val="000000" w:themeColor="text1"/>
          <w:szCs w:val="28"/>
        </w:rPr>
        <w:t>法定审限内结案率：</w:t>
      </w:r>
      <w:r>
        <w:rPr>
          <w:rFonts w:hAnsi="宋体" w:hint="eastAsia"/>
          <w:color w:val="000000" w:themeColor="text1"/>
          <w:szCs w:val="28"/>
        </w:rPr>
        <w:t>对符合法律规定条件的案件，我院均在法律规定的审限内进行了立案，并在法律规定的期限内进行开庭审理结案，做到了有案必立、有诉必理。该指标分值4分，自评得分为4分，得分率为100.00%。</w:t>
      </w:r>
    </w:p>
    <w:p w:rsidR="004E545C" w:rsidRDefault="00E62B5F">
      <w:pPr>
        <w:ind w:firstLine="562"/>
        <w:rPr>
          <w:rFonts w:hAnsi="宋体"/>
          <w:color w:val="000000" w:themeColor="text1"/>
          <w:szCs w:val="28"/>
        </w:rPr>
      </w:pPr>
      <w:r>
        <w:rPr>
          <w:rFonts w:hAnsi="宋体" w:hint="eastAsia"/>
          <w:b/>
          <w:bCs/>
          <w:color w:val="000000" w:themeColor="text1"/>
          <w:szCs w:val="28"/>
        </w:rPr>
        <w:t>维修修护及时性：</w:t>
      </w:r>
      <w:r>
        <w:rPr>
          <w:rFonts w:hAnsi="宋体" w:hint="eastAsia"/>
          <w:color w:val="000000" w:themeColor="text1"/>
          <w:szCs w:val="28"/>
        </w:rPr>
        <w:t>我院维修维护工作开展及时，均在响应时间内进行维护工作，达到年度指标值。该指标分值4分，自评得分为4分，得分率为100.00%。</w:t>
      </w:r>
    </w:p>
    <w:p w:rsidR="004E545C" w:rsidRDefault="00E62B5F">
      <w:pPr>
        <w:pStyle w:val="4"/>
        <w:keepNext w:val="0"/>
        <w:keepLines w:val="0"/>
        <w:numPr>
          <w:ilvl w:val="0"/>
          <w:numId w:val="1"/>
        </w:numPr>
        <w:spacing w:before="0" w:after="0" w:line="360" w:lineRule="auto"/>
        <w:ind w:firstLine="562"/>
        <w:rPr>
          <w:rFonts w:ascii="仿宋_GB2312" w:eastAsia="仿宋_GB2312" w:hAnsi="仿宋_GB2312" w:cs="仿宋_GB2312"/>
        </w:rPr>
      </w:pPr>
      <w:r>
        <w:rPr>
          <w:rFonts w:ascii="仿宋_GB2312" w:eastAsia="仿宋_GB2312" w:hAnsi="仿宋_GB2312" w:cs="仿宋_GB2312" w:hint="eastAsia"/>
        </w:rPr>
        <w:t>效益指标</w:t>
      </w:r>
    </w:p>
    <w:p w:rsidR="004E545C" w:rsidRDefault="00E62B5F" w:rsidP="00BB6FA1">
      <w:pPr>
        <w:ind w:firstLine="560"/>
        <w:rPr>
          <w:rFonts w:hAnsi="宋体"/>
          <w:szCs w:val="28"/>
        </w:rPr>
      </w:pPr>
      <w:r>
        <w:rPr>
          <w:rFonts w:hAnsi="宋体" w:hint="eastAsia"/>
          <w:szCs w:val="28"/>
        </w:rPr>
        <w:t>产出指标下设经济效益、社会效益指标、生态效益指标3个二级</w:t>
      </w:r>
      <w:r>
        <w:rPr>
          <w:rFonts w:hAnsi="宋体" w:hint="eastAsia"/>
          <w:szCs w:val="28"/>
        </w:rPr>
        <w:lastRenderedPageBreak/>
        <w:t>指标。总分值20分，得分20分，得分率100.00%。</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45"/>
        <w:gridCol w:w="1467"/>
        <w:gridCol w:w="1466"/>
        <w:gridCol w:w="717"/>
        <w:gridCol w:w="1233"/>
        <w:gridCol w:w="1093"/>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二级指标</w:t>
            </w:r>
          </w:p>
        </w:tc>
        <w:tc>
          <w:tcPr>
            <w:tcW w:w="1845"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67"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66"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109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经济效益指标</w:t>
            </w: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资金使用规范性</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规范</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71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社会效益指标</w:t>
            </w: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维护社会稳定</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良好</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71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有效保障审判服务</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有效保障</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71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生态效益指标</w:t>
            </w: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打击生态犯罪，维护生态秩序</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有效维护</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71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845"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7"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6"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093" w:type="dxa"/>
            <w:shd w:val="clear" w:color="auto" w:fill="BDD6EE"/>
            <w:vAlign w:val="center"/>
          </w:tcPr>
          <w:p w:rsidR="004E545C" w:rsidRDefault="00E62B5F">
            <w:pPr>
              <w:widowControl/>
              <w:ind w:firstLineChars="0" w:firstLine="0"/>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pPr>
        <w:ind w:firstLine="562"/>
        <w:rPr>
          <w:rFonts w:hAnsi="宋体"/>
          <w:szCs w:val="28"/>
        </w:rPr>
      </w:pPr>
      <w:r>
        <w:rPr>
          <w:rFonts w:hAnsi="宋体" w:hint="eastAsia"/>
          <w:b/>
          <w:bCs/>
          <w:szCs w:val="28"/>
        </w:rPr>
        <w:t>资金使用规范性：</w:t>
      </w:r>
      <w:r>
        <w:rPr>
          <w:rFonts w:hAnsi="宋体" w:hint="eastAsia"/>
          <w:szCs w:val="28"/>
        </w:rPr>
        <w:t>我院资金支出总体上审批程序合规、手续齐全，支出内容符合省财政预算批复规定的用途，严格使用公务卡报销，有效提高了财务资金使用的合理性和规范性,防止了国有资金流失。该指标分值5分，自评得分5分，得分率为100%。</w:t>
      </w:r>
    </w:p>
    <w:p w:rsidR="004E545C" w:rsidRDefault="00E62B5F">
      <w:pPr>
        <w:ind w:firstLine="562"/>
        <w:rPr>
          <w:rFonts w:hAnsi="宋体"/>
          <w:szCs w:val="28"/>
        </w:rPr>
      </w:pPr>
      <w:r>
        <w:rPr>
          <w:rFonts w:hAnsi="宋体" w:hint="eastAsia"/>
          <w:b/>
          <w:bCs/>
          <w:szCs w:val="28"/>
        </w:rPr>
        <w:t>维护社会稳定：</w:t>
      </w:r>
      <w:r>
        <w:rPr>
          <w:rFonts w:hAnsi="宋体" w:hint="eastAsia"/>
          <w:szCs w:val="28"/>
        </w:rPr>
        <w:t>我院积极优化审判资源，狠抓执法办案第一要务，妥善化解纠纷，贯彻“调解优先、调判结合”的民事审判方针，加大涉弱势群体保护力度，切实维护稳定有序的社会环境，达到年度指标值。该指标分值5分，自评得分为5分，得分率为100.00%。</w:t>
      </w:r>
    </w:p>
    <w:p w:rsidR="004E545C" w:rsidRDefault="00E62B5F">
      <w:pPr>
        <w:ind w:firstLine="562"/>
        <w:rPr>
          <w:rFonts w:hAnsi="宋体"/>
          <w:szCs w:val="28"/>
        </w:rPr>
      </w:pPr>
      <w:r>
        <w:rPr>
          <w:rFonts w:hAnsi="宋体" w:hint="eastAsia"/>
          <w:b/>
          <w:bCs/>
          <w:szCs w:val="28"/>
        </w:rPr>
        <w:t>有效保障审判服务：</w:t>
      </w:r>
      <w:r>
        <w:rPr>
          <w:rFonts w:hAnsi="宋体" w:hint="eastAsia"/>
          <w:szCs w:val="28"/>
        </w:rPr>
        <w:t>我院积极开展法院审判工作，有效保障审判服务，达到年度指标值。该指标分值5分，自评得分为5分，得分率为100.00%。</w:t>
      </w:r>
    </w:p>
    <w:p w:rsidR="004E545C" w:rsidRDefault="00E62B5F" w:rsidP="00BB6FA1">
      <w:pPr>
        <w:pStyle w:val="6"/>
        <w:ind w:firstLine="562"/>
        <w:rPr>
          <w:rFonts w:hAnsi="宋体"/>
          <w:b/>
          <w:bCs/>
          <w:sz w:val="28"/>
          <w:szCs w:val="28"/>
        </w:rPr>
      </w:pPr>
      <w:r>
        <w:rPr>
          <w:rFonts w:hint="eastAsia"/>
          <w:b/>
          <w:bCs/>
          <w:color w:val="000000" w:themeColor="text1"/>
          <w:sz w:val="28"/>
          <w:szCs w:val="28"/>
        </w:rPr>
        <w:t>打击生态犯罪，维护生态秩序：</w:t>
      </w:r>
      <w:r>
        <w:rPr>
          <w:rFonts w:hint="eastAsia"/>
          <w:color w:val="000000" w:themeColor="text1"/>
          <w:sz w:val="28"/>
          <w:szCs w:val="28"/>
        </w:rPr>
        <w:t>我院加强法制宣传防止犯罪力度、打击生态犯罪，维护生态秩序，让人民时时刻刻都感受到法制氛围的力量，尽可能帮助人民在了解法的情况下减少犯罪活动，遏制犯罪动</w:t>
      </w:r>
      <w:r>
        <w:rPr>
          <w:rFonts w:hint="eastAsia"/>
          <w:color w:val="000000" w:themeColor="text1"/>
          <w:sz w:val="28"/>
          <w:szCs w:val="28"/>
        </w:rPr>
        <w:lastRenderedPageBreak/>
        <w:t>机，维护生态秩序，达到年度指标值。该指标分值5分，自评得分为5分，得分率为100.00%。</w:t>
      </w:r>
    </w:p>
    <w:p w:rsidR="004E545C" w:rsidRDefault="00E62B5F">
      <w:pPr>
        <w:pStyle w:val="af"/>
        <w:numPr>
          <w:ilvl w:val="0"/>
          <w:numId w:val="1"/>
        </w:numPr>
        <w:ind w:firstLine="562"/>
        <w:rPr>
          <w:rFonts w:cs="仿宋_GB2312"/>
          <w:b/>
          <w:bCs/>
          <w:szCs w:val="28"/>
        </w:rPr>
      </w:pPr>
      <w:r>
        <w:rPr>
          <w:rFonts w:cs="仿宋_GB2312" w:hint="eastAsia"/>
          <w:b/>
          <w:bCs/>
          <w:szCs w:val="28"/>
        </w:rPr>
        <w:t>服务对象满意度</w:t>
      </w:r>
    </w:p>
    <w:p w:rsidR="004E545C" w:rsidRDefault="00E62B5F">
      <w:pPr>
        <w:pStyle w:val="af"/>
        <w:ind w:firstLine="560"/>
        <w:rPr>
          <w:rFonts w:hAnsi="宋体"/>
          <w:szCs w:val="28"/>
        </w:rPr>
      </w:pPr>
      <w:r>
        <w:rPr>
          <w:rFonts w:hAnsi="宋体" w:hint="eastAsia"/>
          <w:szCs w:val="28"/>
        </w:rPr>
        <w:t>服务对象满意度指标指标根据我院向社会提供公共产品和服务的主要对象，服务对象满意度主要考察案件当事人满意度和干警满意度。该指标分值合计10分，自评得分10分，得分率100.00%。</w:t>
      </w:r>
    </w:p>
    <w:p w:rsidR="004E545C" w:rsidRDefault="004E545C" w:rsidP="00BB6FA1">
      <w:pPr>
        <w:spacing w:line="121" w:lineRule="exact"/>
        <w:ind w:firstLine="560"/>
      </w:pP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45"/>
        <w:gridCol w:w="1467"/>
        <w:gridCol w:w="1466"/>
        <w:gridCol w:w="717"/>
        <w:gridCol w:w="1233"/>
        <w:gridCol w:w="1093"/>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二级指标</w:t>
            </w:r>
          </w:p>
        </w:tc>
        <w:tc>
          <w:tcPr>
            <w:tcW w:w="1845"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67"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66"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109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Merge w:val="restart"/>
            <w:vAlign w:val="center"/>
          </w:tcPr>
          <w:p w:rsidR="004E545C" w:rsidRDefault="00E62B5F">
            <w:pPr>
              <w:widowControl/>
              <w:ind w:firstLineChars="0" w:firstLine="0"/>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服务对象满意度指标</w:t>
            </w: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当事人满意程度</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&gt;=90%</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94%</w:t>
            </w:r>
          </w:p>
        </w:tc>
        <w:tc>
          <w:tcPr>
            <w:tcW w:w="71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textAlignment w:val="center"/>
              <w:rPr>
                <w:rFonts w:ascii="宋体" w:eastAsia="宋体" w:hAnsi="宋体" w:cs="宋体"/>
                <w:color w:val="000000"/>
                <w:kern w:val="0"/>
                <w:sz w:val="24"/>
                <w:szCs w:val="28"/>
              </w:rPr>
            </w:pP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干警满意程度</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&gt;=95%</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96%</w:t>
            </w:r>
          </w:p>
        </w:tc>
        <w:tc>
          <w:tcPr>
            <w:tcW w:w="71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845"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7"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6"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w:t>
            </w:r>
          </w:p>
        </w:tc>
        <w:tc>
          <w:tcPr>
            <w:tcW w:w="1093" w:type="dxa"/>
            <w:shd w:val="clear" w:color="auto" w:fill="BDD6EE"/>
            <w:vAlign w:val="center"/>
          </w:tcPr>
          <w:p w:rsidR="004E545C" w:rsidRDefault="00E62B5F">
            <w:pPr>
              <w:widowControl/>
              <w:ind w:firstLineChars="0" w:firstLine="0"/>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rsidP="00BB6FA1">
      <w:pPr>
        <w:ind w:firstLine="562"/>
        <w:rPr>
          <w:rFonts w:cs="仿宋_GB2312"/>
          <w:szCs w:val="28"/>
        </w:rPr>
      </w:pPr>
      <w:r>
        <w:rPr>
          <w:rFonts w:cs="仿宋_GB2312" w:hint="eastAsia"/>
          <w:b/>
          <w:bCs/>
          <w:szCs w:val="28"/>
        </w:rPr>
        <w:t>当事人满意度：</w:t>
      </w:r>
      <w:r>
        <w:rPr>
          <w:rFonts w:hint="eastAsia"/>
        </w:rPr>
        <w:t>我院依法审理各类案件，妥善化解矛盾纠纷和行政争议，维护了法院审判工作的有序开展，积极保障人民群众生命财产安全，</w:t>
      </w:r>
      <w:r>
        <w:rPr>
          <w:rFonts w:ascii="宋体" w:eastAsia="宋体" w:hAnsi="宋体" w:cs="宋体" w:hint="eastAsia"/>
          <w:color w:val="333333"/>
          <w:kern w:val="0"/>
          <w:sz w:val="24"/>
          <w:szCs w:val="24"/>
        </w:rPr>
        <w:t>当事人满意度</w:t>
      </w:r>
      <w:r>
        <w:rPr>
          <w:rFonts w:hint="eastAsia"/>
        </w:rPr>
        <w:t>94%，达到目标值。该指标分值5分，自评得分5分，得分率100.00%。</w:t>
      </w:r>
    </w:p>
    <w:p w:rsidR="004E545C" w:rsidRDefault="00E62B5F" w:rsidP="00BB6FA1">
      <w:pPr>
        <w:ind w:firstLine="562"/>
        <w:rPr>
          <w:rFonts w:cs="仿宋_GB2312"/>
          <w:szCs w:val="28"/>
        </w:rPr>
      </w:pPr>
      <w:r>
        <w:rPr>
          <w:rFonts w:cs="仿宋_GB2312" w:hint="eastAsia"/>
          <w:b/>
          <w:bCs/>
          <w:szCs w:val="28"/>
        </w:rPr>
        <w:t>干警满意度：</w:t>
      </w:r>
      <w:r>
        <w:rPr>
          <w:rFonts w:cs="仿宋_GB2312" w:hint="eastAsia"/>
          <w:szCs w:val="28"/>
        </w:rPr>
        <w:t>我院2023年度各项办案质效不断提升，干警满意度达到96%。年度目标值为大于等于95%，该指标分值5分，自评得分5分，得分率100.00%。</w:t>
      </w:r>
    </w:p>
    <w:p w:rsidR="004E545C" w:rsidRDefault="00E62B5F">
      <w:pPr>
        <w:pStyle w:val="3"/>
        <w:ind w:firstLine="562"/>
      </w:pPr>
      <w:r>
        <w:rPr>
          <w:rFonts w:hint="eastAsia"/>
        </w:rPr>
        <w:t>4.偏离绩效目标的原因及下一步改进措施</w:t>
      </w:r>
    </w:p>
    <w:p w:rsidR="004E545C" w:rsidRDefault="00E62B5F">
      <w:pPr>
        <w:pStyle w:val="af"/>
        <w:ind w:firstLine="560"/>
        <w:rPr>
          <w:rFonts w:cs="仿宋_GB2312"/>
          <w:szCs w:val="28"/>
        </w:rPr>
      </w:pPr>
      <w:r>
        <w:rPr>
          <w:rFonts w:hAnsi="宋体" w:hint="eastAsia"/>
          <w:szCs w:val="28"/>
        </w:rPr>
        <w:t>我院在上报2023年度全省法院业务费项目绩效目标时，个别指标设置不合理，维修维护项目数指标设置偏低。我院将进一步细化年初绩效目标设置，合理设置指标分值。</w:t>
      </w:r>
    </w:p>
    <w:p w:rsidR="004E545C" w:rsidRDefault="00E62B5F">
      <w:pPr>
        <w:pStyle w:val="2"/>
        <w:spacing w:before="0" w:after="0"/>
        <w:ind w:firstLine="643"/>
      </w:pPr>
      <w:bookmarkStart w:id="65" w:name="_Toc24609"/>
      <w:r>
        <w:rPr>
          <w:rFonts w:hint="eastAsia"/>
        </w:rPr>
        <w:lastRenderedPageBreak/>
        <w:t>（二）法庭运维费</w:t>
      </w:r>
      <w:bookmarkEnd w:id="65"/>
    </w:p>
    <w:p w:rsidR="004E545C" w:rsidRDefault="00E62B5F" w:rsidP="00BB6FA1">
      <w:pPr>
        <w:pStyle w:val="6"/>
        <w:ind w:firstLine="560"/>
        <w:rPr>
          <w:color w:val="auto"/>
          <w:sz w:val="28"/>
          <w:szCs w:val="28"/>
        </w:rPr>
      </w:pPr>
      <w:r>
        <w:rPr>
          <w:rFonts w:hint="eastAsia"/>
          <w:color w:val="auto"/>
          <w:sz w:val="28"/>
          <w:szCs w:val="28"/>
        </w:rPr>
        <w:t>本次绩效自评综合评定2023年法庭运维费项目支出绩效得分为100分，绩效等级为“优”。项目支出绩效评价包括成本、产出、效益、满意度四个一级指标，下设6个二级指标和13个三级指标。一级指标得分情况详见下表：</w:t>
      </w:r>
    </w:p>
    <w:tbl>
      <w:tblPr>
        <w:tblW w:w="8528"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2334"/>
        <w:gridCol w:w="2064"/>
        <w:gridCol w:w="2064"/>
        <w:gridCol w:w="2066"/>
      </w:tblGrid>
      <w:tr w:rsidR="004E545C">
        <w:trPr>
          <w:cantSplit/>
          <w:trHeight w:val="397"/>
          <w:tblHeader/>
          <w:jc w:val="center"/>
        </w:trPr>
        <w:tc>
          <w:tcPr>
            <w:tcW w:w="2334"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一级指标</w:t>
            </w:r>
          </w:p>
        </w:tc>
        <w:tc>
          <w:tcPr>
            <w:tcW w:w="2064"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2064"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2066"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2334" w:type="dxa"/>
            <w:vAlign w:val="center"/>
          </w:tcPr>
          <w:p w:rsidR="004E545C" w:rsidRDefault="00E62B5F">
            <w:pPr>
              <w:widowControl/>
              <w:ind w:firstLineChars="0" w:firstLine="0"/>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预算执行率</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066"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100.00%</w:t>
            </w:r>
          </w:p>
        </w:tc>
      </w:tr>
      <w:tr w:rsidR="004E545C">
        <w:trPr>
          <w:cantSplit/>
          <w:trHeight w:val="397"/>
          <w:tblHeader/>
          <w:jc w:val="center"/>
        </w:trPr>
        <w:tc>
          <w:tcPr>
            <w:tcW w:w="2334" w:type="dxa"/>
            <w:vAlign w:val="center"/>
          </w:tcPr>
          <w:p w:rsidR="004E545C" w:rsidRDefault="00E62B5F">
            <w:pPr>
              <w:widowControl/>
              <w:ind w:firstLineChars="0" w:firstLine="0"/>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成本指标</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066"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100.00%</w:t>
            </w:r>
          </w:p>
        </w:tc>
      </w:tr>
      <w:tr w:rsidR="004E545C">
        <w:trPr>
          <w:cantSplit/>
          <w:trHeight w:val="397"/>
          <w:tblHeader/>
          <w:jc w:val="center"/>
        </w:trPr>
        <w:tc>
          <w:tcPr>
            <w:tcW w:w="2334" w:type="dxa"/>
            <w:vAlign w:val="center"/>
          </w:tcPr>
          <w:p w:rsidR="004E545C" w:rsidRDefault="00E62B5F">
            <w:pPr>
              <w:widowControl/>
              <w:ind w:firstLineChars="0" w:firstLine="0"/>
              <w:jc w:val="center"/>
              <w:textAlignment w:val="center"/>
              <w:rPr>
                <w:rFonts w:ascii="宋体" w:eastAsia="宋体" w:hAnsi="宋体" w:cs="宋体"/>
                <w:color w:val="000000"/>
                <w:kern w:val="0"/>
                <w:sz w:val="24"/>
                <w:szCs w:val="28"/>
              </w:rPr>
            </w:pPr>
            <w:r>
              <w:rPr>
                <w:rFonts w:ascii="宋体" w:eastAsia="宋体" w:hAnsi="宋体" w:cs="宋体" w:hint="eastAsia"/>
                <w:color w:val="000000"/>
                <w:kern w:val="0"/>
                <w:sz w:val="24"/>
                <w:szCs w:val="24"/>
              </w:rPr>
              <w:t>产出指标</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2066"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100.00%</w:t>
            </w:r>
          </w:p>
        </w:tc>
      </w:tr>
      <w:tr w:rsidR="004E545C">
        <w:trPr>
          <w:cantSplit/>
          <w:trHeight w:val="397"/>
          <w:tblHeader/>
          <w:jc w:val="center"/>
        </w:trPr>
        <w:tc>
          <w:tcPr>
            <w:tcW w:w="2334" w:type="dxa"/>
            <w:vAlign w:val="center"/>
          </w:tcPr>
          <w:p w:rsidR="004E545C" w:rsidRDefault="00E62B5F">
            <w:pPr>
              <w:widowControl/>
              <w:ind w:firstLineChars="0" w:firstLine="0"/>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效益指标</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2066"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100.00%</w:t>
            </w:r>
          </w:p>
        </w:tc>
      </w:tr>
      <w:tr w:rsidR="004E545C">
        <w:trPr>
          <w:cantSplit/>
          <w:trHeight w:val="397"/>
          <w:tblHeader/>
          <w:jc w:val="center"/>
        </w:trPr>
        <w:tc>
          <w:tcPr>
            <w:tcW w:w="2334" w:type="dxa"/>
            <w:vAlign w:val="center"/>
          </w:tcPr>
          <w:p w:rsidR="004E545C" w:rsidRDefault="00E62B5F">
            <w:pPr>
              <w:widowControl/>
              <w:ind w:firstLineChars="0" w:firstLine="0"/>
              <w:jc w:val="center"/>
              <w:textAlignment w:val="center"/>
              <w:rPr>
                <w:rFonts w:ascii="宋体" w:eastAsia="宋体" w:hAnsi="宋体" w:cs="宋体"/>
                <w:color w:val="000000"/>
                <w:kern w:val="0"/>
                <w:sz w:val="24"/>
                <w:szCs w:val="28"/>
              </w:rPr>
            </w:pPr>
            <w:r>
              <w:rPr>
                <w:rFonts w:ascii="宋体" w:eastAsia="宋体" w:hAnsi="宋体" w:cs="宋体" w:hint="eastAsia"/>
                <w:color w:val="000000"/>
                <w:kern w:val="0"/>
                <w:sz w:val="24"/>
                <w:szCs w:val="24"/>
              </w:rPr>
              <w:t>满意度指标</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064"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066"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100.00%</w:t>
            </w:r>
          </w:p>
        </w:tc>
      </w:tr>
      <w:tr w:rsidR="004E545C">
        <w:trPr>
          <w:cantSplit/>
          <w:trHeight w:val="435"/>
          <w:tblHeader/>
          <w:jc w:val="center"/>
        </w:trPr>
        <w:tc>
          <w:tcPr>
            <w:tcW w:w="2334"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2064"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c>
          <w:tcPr>
            <w:tcW w:w="2064"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100</w:t>
            </w:r>
          </w:p>
        </w:tc>
        <w:tc>
          <w:tcPr>
            <w:tcW w:w="2066"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color w:val="000000"/>
                <w:kern w:val="0"/>
                <w:sz w:val="22"/>
              </w:rPr>
              <w:t>100.00%</w:t>
            </w:r>
          </w:p>
        </w:tc>
      </w:tr>
    </w:tbl>
    <w:p w:rsidR="004E545C" w:rsidRDefault="00E62B5F" w:rsidP="00BB6FA1">
      <w:pPr>
        <w:pStyle w:val="3"/>
        <w:ind w:firstLine="562"/>
      </w:pPr>
      <w:r>
        <w:t>1、项目支出预算执行情况</w:t>
      </w:r>
    </w:p>
    <w:p w:rsidR="004E545C" w:rsidRDefault="00E62B5F">
      <w:pPr>
        <w:spacing w:before="294" w:line="624" w:lineRule="exact"/>
        <w:ind w:right="74" w:firstLine="540"/>
        <w:rPr>
          <w:rFonts w:ascii="仿宋" w:eastAsia="仿宋" w:hAnsi="仿宋" w:cs="仿宋"/>
          <w:spacing w:val="-5"/>
          <w:position w:val="26"/>
          <w:szCs w:val="28"/>
        </w:rPr>
      </w:pPr>
      <w:r>
        <w:rPr>
          <w:rFonts w:ascii="仿宋" w:eastAsia="仿宋" w:hAnsi="仿宋" w:cs="仿宋" w:hint="eastAsia"/>
          <w:spacing w:val="-5"/>
          <w:position w:val="26"/>
          <w:szCs w:val="28"/>
        </w:rPr>
        <w:t>我院法庭运维费项目年初预算数、全年预算数和全年执行数均为32.00万元，预算执行率100.00%，满分10分，得分10分。</w:t>
      </w:r>
    </w:p>
    <w:p w:rsidR="004E545C" w:rsidRDefault="00E62B5F" w:rsidP="00BB6FA1">
      <w:pPr>
        <w:pStyle w:val="3"/>
        <w:ind w:firstLine="562"/>
      </w:pPr>
      <w:r>
        <w:t>2、总体绩效目标完成情况分析</w:t>
      </w:r>
    </w:p>
    <w:p w:rsidR="004E545C" w:rsidRDefault="00E62B5F">
      <w:pPr>
        <w:spacing w:before="294" w:line="624" w:lineRule="exact"/>
        <w:ind w:right="74" w:firstLine="540"/>
        <w:rPr>
          <w:rFonts w:ascii="仿宋" w:eastAsia="仿宋" w:hAnsi="仿宋" w:cs="仿宋"/>
          <w:spacing w:val="-5"/>
          <w:position w:val="26"/>
          <w:szCs w:val="28"/>
        </w:rPr>
      </w:pPr>
      <w:r>
        <w:rPr>
          <w:rFonts w:ascii="仿宋" w:eastAsia="仿宋" w:hAnsi="仿宋" w:cs="仿宋" w:hint="eastAsia"/>
          <w:spacing w:val="-5"/>
          <w:position w:val="26"/>
          <w:szCs w:val="28"/>
        </w:rPr>
        <w:t>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p>
    <w:p w:rsidR="004E545C" w:rsidRDefault="00E62B5F" w:rsidP="00BB6FA1">
      <w:pPr>
        <w:pStyle w:val="3"/>
        <w:numPr>
          <w:ilvl w:val="0"/>
          <w:numId w:val="2"/>
        </w:numPr>
        <w:ind w:firstLine="562"/>
      </w:pPr>
      <w:r>
        <w:t>各项指标完成情况分析</w:t>
      </w:r>
    </w:p>
    <w:p w:rsidR="004E545C" w:rsidRDefault="00E62B5F">
      <w:pPr>
        <w:ind w:firstLine="562"/>
        <w:rPr>
          <w:rFonts w:hAnsi="宋体"/>
          <w:b/>
          <w:bCs/>
          <w:szCs w:val="28"/>
        </w:rPr>
      </w:pPr>
      <w:r>
        <w:rPr>
          <w:rFonts w:hAnsi="宋体" w:hint="eastAsia"/>
          <w:b/>
          <w:bCs/>
          <w:szCs w:val="28"/>
        </w:rPr>
        <w:t>（1）成本指标</w:t>
      </w:r>
    </w:p>
    <w:p w:rsidR="004E545C" w:rsidRDefault="00E62B5F" w:rsidP="00BB6FA1">
      <w:pPr>
        <w:ind w:firstLine="560"/>
        <w:rPr>
          <w:rFonts w:hAnsi="宋体"/>
          <w:szCs w:val="28"/>
        </w:rPr>
      </w:pPr>
      <w:r>
        <w:rPr>
          <w:rFonts w:hAnsi="宋体" w:hint="eastAsia"/>
          <w:szCs w:val="28"/>
        </w:rPr>
        <w:lastRenderedPageBreak/>
        <w:t>成本指标下设1个二级指标，1个三级指标，指标权重合计20分，自评得分20分，得分率为100.00%。</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848"/>
        <w:gridCol w:w="2062"/>
        <w:gridCol w:w="975"/>
        <w:gridCol w:w="1150"/>
        <w:gridCol w:w="800"/>
        <w:gridCol w:w="1188"/>
        <w:gridCol w:w="1046"/>
      </w:tblGrid>
      <w:tr w:rsidR="004E545C">
        <w:trPr>
          <w:cantSplit/>
          <w:trHeight w:val="397"/>
          <w:tblHeader/>
          <w:jc w:val="center"/>
        </w:trPr>
        <w:tc>
          <w:tcPr>
            <w:tcW w:w="1848"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二级指标</w:t>
            </w:r>
          </w:p>
        </w:tc>
        <w:tc>
          <w:tcPr>
            <w:tcW w:w="2062"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三级指标</w:t>
            </w:r>
          </w:p>
        </w:tc>
        <w:tc>
          <w:tcPr>
            <w:tcW w:w="975"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年度指标值</w:t>
            </w:r>
          </w:p>
        </w:tc>
        <w:tc>
          <w:tcPr>
            <w:tcW w:w="1150" w:type="dxa"/>
            <w:shd w:val="clear" w:color="auto" w:fill="BDD6EE"/>
            <w:vAlign w:val="center"/>
          </w:tcPr>
          <w:p w:rsidR="004E545C" w:rsidRDefault="00E62B5F">
            <w:pPr>
              <w:widowControl/>
              <w:ind w:firstLineChars="0" w:firstLine="0"/>
              <w:jc w:val="center"/>
              <w:textAlignment w:val="center"/>
              <w:rPr>
                <w:rFonts w:hAnsi="宋体" w:cs="仿宋_GB2312"/>
                <w:b/>
                <w:bCs/>
                <w:color w:val="000000"/>
                <w:kern w:val="0"/>
                <w:sz w:val="24"/>
                <w:szCs w:val="24"/>
              </w:rPr>
            </w:pPr>
            <w:r>
              <w:rPr>
                <w:rFonts w:hAnsi="宋体" w:cs="仿宋_GB2312" w:hint="eastAsia"/>
                <w:b/>
                <w:bCs/>
                <w:color w:val="000000"/>
                <w:kern w:val="0"/>
                <w:sz w:val="24"/>
                <w:szCs w:val="24"/>
              </w:rPr>
              <w:t>实际完成值</w:t>
            </w:r>
          </w:p>
        </w:tc>
        <w:tc>
          <w:tcPr>
            <w:tcW w:w="800"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分值</w:t>
            </w:r>
          </w:p>
        </w:tc>
        <w:tc>
          <w:tcPr>
            <w:tcW w:w="1188"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自评得分</w:t>
            </w:r>
          </w:p>
        </w:tc>
        <w:tc>
          <w:tcPr>
            <w:tcW w:w="1046" w:type="dxa"/>
            <w:shd w:val="clear" w:color="auto" w:fill="BDD6EE"/>
            <w:vAlign w:val="center"/>
          </w:tcPr>
          <w:p w:rsidR="004E545C" w:rsidRDefault="00E62B5F">
            <w:pPr>
              <w:widowControl/>
              <w:ind w:firstLineChars="0" w:firstLine="0"/>
              <w:jc w:val="center"/>
              <w:textAlignment w:val="center"/>
              <w:rPr>
                <w:rFonts w:ascii="宋体" w:hAnsi="宋体" w:cs="宋体"/>
                <w:b/>
                <w:color w:val="000000"/>
                <w:kern w:val="0"/>
                <w:sz w:val="24"/>
              </w:rPr>
            </w:pPr>
            <w:r>
              <w:rPr>
                <w:rFonts w:hAnsi="宋体" w:cs="仿宋_GB2312" w:hint="eastAsia"/>
                <w:b/>
                <w:bCs/>
                <w:color w:val="000000"/>
                <w:kern w:val="0"/>
                <w:sz w:val="24"/>
                <w:szCs w:val="24"/>
              </w:rPr>
              <w:t>得分率</w:t>
            </w:r>
          </w:p>
        </w:tc>
      </w:tr>
      <w:tr w:rsidR="004E545C">
        <w:trPr>
          <w:cantSplit/>
          <w:trHeight w:val="397"/>
          <w:tblHeader/>
          <w:jc w:val="center"/>
        </w:trPr>
        <w:tc>
          <w:tcPr>
            <w:tcW w:w="1848" w:type="dxa"/>
            <w:vAlign w:val="center"/>
          </w:tcPr>
          <w:p w:rsidR="004E545C" w:rsidRDefault="00E62B5F">
            <w:pPr>
              <w:widowControl/>
              <w:ind w:firstLineChars="0" w:firstLine="0"/>
              <w:textAlignment w:val="center"/>
              <w:rPr>
                <w:rFonts w:ascii="宋体" w:eastAsia="宋体" w:hAnsi="宋体" w:cs="宋体"/>
                <w:color w:val="000000"/>
                <w:kern w:val="0"/>
                <w:sz w:val="22"/>
              </w:rPr>
            </w:pPr>
            <w:r>
              <w:rPr>
                <w:rFonts w:ascii="宋体" w:eastAsia="宋体" w:hAnsi="宋体" w:cs="宋体" w:hint="eastAsia"/>
                <w:color w:val="000000"/>
                <w:kern w:val="0"/>
                <w:sz w:val="22"/>
              </w:rPr>
              <w:t>经济成本指标</w:t>
            </w:r>
          </w:p>
        </w:tc>
        <w:tc>
          <w:tcPr>
            <w:tcW w:w="2062" w:type="dxa"/>
            <w:vAlign w:val="center"/>
          </w:tcPr>
          <w:p w:rsidR="004E545C" w:rsidRDefault="00E62B5F">
            <w:pPr>
              <w:widowControl/>
              <w:ind w:firstLineChars="0" w:firstLine="0"/>
              <w:textAlignment w:val="center"/>
              <w:rPr>
                <w:rFonts w:ascii="宋体" w:eastAsia="宋体" w:hAnsi="宋体" w:cs="宋体"/>
                <w:color w:val="000000"/>
                <w:kern w:val="0"/>
                <w:sz w:val="22"/>
              </w:rPr>
            </w:pPr>
            <w:r>
              <w:rPr>
                <w:rFonts w:ascii="宋体" w:eastAsia="宋体" w:hAnsi="宋体" w:cs="宋体" w:hint="eastAsia"/>
                <w:color w:val="000000"/>
                <w:kern w:val="0"/>
                <w:sz w:val="22"/>
              </w:rPr>
              <w:t>年度预算控制率</w:t>
            </w:r>
          </w:p>
        </w:tc>
        <w:tc>
          <w:tcPr>
            <w:tcW w:w="975"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&gt;=90%</w:t>
            </w:r>
          </w:p>
        </w:tc>
        <w:tc>
          <w:tcPr>
            <w:tcW w:w="1150"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800"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88"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046" w:type="dxa"/>
            <w:vAlign w:val="center"/>
          </w:tcPr>
          <w:p w:rsidR="004E545C" w:rsidRDefault="00E62B5F">
            <w:pPr>
              <w:widowControl/>
              <w:ind w:firstLineChars="0" w:firstLine="0"/>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100.00%</w:t>
            </w:r>
          </w:p>
        </w:tc>
      </w:tr>
      <w:tr w:rsidR="004E545C">
        <w:trPr>
          <w:cantSplit/>
          <w:trHeight w:val="397"/>
          <w:tblHeader/>
          <w:jc w:val="center"/>
        </w:trPr>
        <w:tc>
          <w:tcPr>
            <w:tcW w:w="18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2062"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975"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150"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80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046"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pPr>
        <w:ind w:firstLine="562"/>
        <w:rPr>
          <w:rFonts w:ascii="仿宋" w:eastAsia="仿宋" w:hAnsi="仿宋" w:cs="仿宋"/>
          <w:szCs w:val="28"/>
        </w:rPr>
      </w:pPr>
      <w:r>
        <w:rPr>
          <w:rFonts w:hAnsi="宋体" w:hint="eastAsia"/>
          <w:b/>
          <w:bCs/>
          <w:szCs w:val="28"/>
        </w:rPr>
        <w:t>年度预算控制率：</w:t>
      </w:r>
      <w:r>
        <w:rPr>
          <w:rFonts w:hAnsi="宋体" w:hint="eastAsia"/>
          <w:szCs w:val="28"/>
        </w:rPr>
        <w:t>我院法庭运维费全年预算数和实际支出为32万</w:t>
      </w:r>
      <w:r>
        <w:rPr>
          <w:rFonts w:ascii="仿宋" w:eastAsia="仿宋" w:hAnsi="仿宋" w:cs="仿宋" w:hint="eastAsia"/>
          <w:szCs w:val="28"/>
        </w:rPr>
        <w:t>元，成本控制在全年预算数以内，符合年度指标值的要求。该指标分值20分，自评得分为20分，得分率为100.00%。</w:t>
      </w:r>
    </w:p>
    <w:p w:rsidR="004E545C" w:rsidRDefault="00E62B5F">
      <w:pPr>
        <w:ind w:firstLine="562"/>
        <w:rPr>
          <w:rFonts w:hAnsi="宋体"/>
          <w:b/>
          <w:bCs/>
          <w:szCs w:val="28"/>
        </w:rPr>
      </w:pPr>
      <w:r>
        <w:rPr>
          <w:rFonts w:hAnsi="宋体" w:hint="eastAsia"/>
          <w:b/>
          <w:bCs/>
          <w:szCs w:val="28"/>
        </w:rPr>
        <w:t>（2）产出指标</w:t>
      </w:r>
    </w:p>
    <w:p w:rsidR="004E545C" w:rsidRDefault="00E62B5F" w:rsidP="00BB6FA1">
      <w:pPr>
        <w:ind w:firstLine="540"/>
        <w:rPr>
          <w:rFonts w:ascii="仿宋" w:eastAsia="仿宋" w:hAnsi="仿宋" w:cs="仿宋"/>
          <w:spacing w:val="-5"/>
          <w:position w:val="26"/>
          <w:szCs w:val="28"/>
        </w:rPr>
      </w:pPr>
      <w:r>
        <w:rPr>
          <w:rFonts w:ascii="仿宋" w:eastAsia="仿宋" w:hAnsi="仿宋" w:cs="仿宋" w:hint="eastAsia"/>
          <w:spacing w:val="-5"/>
          <w:position w:val="26"/>
          <w:szCs w:val="28"/>
        </w:rPr>
        <w:t>产出指标主要包括数量、质量、时效3个二级指标。总分值40分，得分40分，得分率100.00%。</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00"/>
        <w:gridCol w:w="1428"/>
        <w:gridCol w:w="1484"/>
        <w:gridCol w:w="850"/>
        <w:gridCol w:w="1188"/>
        <w:gridCol w:w="1071"/>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二级指标</w:t>
            </w:r>
          </w:p>
        </w:tc>
        <w:tc>
          <w:tcPr>
            <w:tcW w:w="1800"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28"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84"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数量指标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保障供暖面积</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=2887.67平方米</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2887.67平方米</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保障基层法庭个数</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=4个</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4个</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4.48</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4.48</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维修维护工作完成率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&gt;=95%</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95%</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质量指标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法庭正常运转保障率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水电暖服务保障率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维修维护合格率</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4.44</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时效指标</w:t>
            </w: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法庭运维及时性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法庭运维及时性</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98%</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日常维护工作完成及时性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及时</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98%</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0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水电暖服务保障工作及时性</w:t>
            </w:r>
          </w:p>
        </w:tc>
        <w:tc>
          <w:tcPr>
            <w:tcW w:w="142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及时</w:t>
            </w:r>
          </w:p>
        </w:tc>
        <w:tc>
          <w:tcPr>
            <w:tcW w:w="1484"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850"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18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71"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800"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28"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84"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850"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40</w:t>
            </w:r>
          </w:p>
        </w:tc>
        <w:tc>
          <w:tcPr>
            <w:tcW w:w="118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40</w:t>
            </w:r>
          </w:p>
        </w:tc>
        <w:tc>
          <w:tcPr>
            <w:tcW w:w="1071" w:type="dxa"/>
            <w:shd w:val="clear" w:color="auto" w:fill="BDD6EE"/>
            <w:vAlign w:val="center"/>
          </w:tcPr>
          <w:p w:rsidR="004E545C" w:rsidRDefault="00E62B5F">
            <w:pPr>
              <w:widowControl/>
              <w:ind w:firstLineChars="0" w:firstLine="0"/>
              <w:jc w:val="center"/>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pPr>
        <w:ind w:firstLine="562"/>
        <w:rPr>
          <w:rFonts w:ascii="仿宋" w:eastAsia="仿宋" w:hAnsi="仿宋" w:cs="仿宋"/>
          <w:shd w:val="clear" w:color="auto" w:fill="FFFFFF"/>
        </w:rPr>
      </w:pPr>
      <w:r>
        <w:rPr>
          <w:rFonts w:ascii="仿宋" w:eastAsia="仿宋" w:hAnsi="仿宋" w:cs="仿宋" w:hint="eastAsia"/>
          <w:b/>
          <w:bCs/>
          <w:shd w:val="clear" w:color="auto" w:fill="FFFFFF"/>
        </w:rPr>
        <w:t>数量指标:</w:t>
      </w:r>
      <w:r>
        <w:rPr>
          <w:rFonts w:ascii="仿宋" w:eastAsia="仿宋" w:hAnsi="仿宋" w:cs="仿宋" w:hint="eastAsia"/>
          <w:shd w:val="clear" w:color="auto" w:fill="FFFFFF"/>
        </w:rPr>
        <w:t>下设保障供暖面积、保障法庭个数、维修维护工作完成率3个三级指标。该指标分值13.36分，按评价标准自评得分为13.36分，得分率为100%。</w:t>
      </w:r>
    </w:p>
    <w:p w:rsidR="004E545C" w:rsidRDefault="00E62B5F">
      <w:pPr>
        <w:ind w:firstLine="562"/>
        <w:rPr>
          <w:rFonts w:ascii="仿宋" w:eastAsia="仿宋" w:hAnsi="仿宋" w:cs="仿宋"/>
          <w:shd w:val="clear" w:color="auto" w:fill="FFFFFF"/>
        </w:rPr>
      </w:pPr>
      <w:r>
        <w:rPr>
          <w:rFonts w:ascii="仿宋" w:eastAsia="仿宋" w:hAnsi="仿宋" w:cs="仿宋" w:hint="eastAsia"/>
          <w:b/>
          <w:bCs/>
          <w:shd w:val="clear" w:color="auto" w:fill="FFFFFF"/>
        </w:rPr>
        <w:t>质量指标:</w:t>
      </w:r>
      <w:r>
        <w:rPr>
          <w:rFonts w:ascii="仿宋" w:eastAsia="仿宋" w:hAnsi="仿宋" w:cs="仿宋" w:hint="eastAsia"/>
          <w:shd w:val="clear" w:color="auto" w:fill="FFFFFF"/>
        </w:rPr>
        <w:t>下设法庭正常运转保障率、水电暖服务保障率、维修维护验收合格率3个三级指标。该指标分值13.32分，按评价标准自评得分为13.32分，得分率为100%。</w:t>
      </w:r>
    </w:p>
    <w:p w:rsidR="004E545C" w:rsidRDefault="00E62B5F">
      <w:pPr>
        <w:ind w:firstLine="562"/>
        <w:rPr>
          <w:rFonts w:ascii="仿宋" w:eastAsia="仿宋" w:hAnsi="仿宋" w:cs="仿宋"/>
          <w:shd w:val="clear" w:color="auto" w:fill="FFFFFF"/>
        </w:rPr>
      </w:pPr>
      <w:r>
        <w:rPr>
          <w:rFonts w:ascii="仿宋" w:eastAsia="仿宋" w:hAnsi="仿宋" w:cs="仿宋" w:hint="eastAsia"/>
          <w:b/>
          <w:bCs/>
          <w:shd w:val="clear" w:color="auto" w:fill="FFFFFF"/>
        </w:rPr>
        <w:t>时效指标:</w:t>
      </w:r>
      <w:r>
        <w:rPr>
          <w:rFonts w:ascii="仿宋" w:eastAsia="仿宋" w:hAnsi="仿宋" w:cs="仿宋" w:hint="eastAsia"/>
          <w:shd w:val="clear" w:color="auto" w:fill="FFFFFF"/>
        </w:rPr>
        <w:t>下设法庭运维及时性、日常维护工作完成及时性、水电暖服务保障工作及时性3个三级指标，该指标分值13.32分，按评价标准自评得分为13.32分，得分率为100%。</w:t>
      </w:r>
    </w:p>
    <w:p w:rsidR="004E545C" w:rsidRDefault="00E62B5F">
      <w:pPr>
        <w:ind w:leftChars="114" w:left="319" w:firstLineChars="100" w:firstLine="281"/>
        <w:rPr>
          <w:rFonts w:ascii="仿宋" w:eastAsia="仿宋" w:hAnsi="仿宋"/>
          <w:b/>
          <w:bCs/>
          <w:szCs w:val="28"/>
        </w:rPr>
      </w:pPr>
      <w:r>
        <w:rPr>
          <w:rFonts w:ascii="仿宋" w:eastAsia="仿宋" w:hAnsi="仿宋" w:hint="eastAsia"/>
          <w:b/>
          <w:bCs/>
          <w:szCs w:val="28"/>
        </w:rPr>
        <w:t>（3</w:t>
      </w:r>
      <w:r>
        <w:rPr>
          <w:rFonts w:ascii="仿宋" w:eastAsia="仿宋" w:hAnsi="仿宋"/>
          <w:b/>
          <w:bCs/>
          <w:szCs w:val="28"/>
        </w:rPr>
        <w:t>）效益指标</w:t>
      </w:r>
    </w:p>
    <w:p w:rsidR="004E545C" w:rsidRDefault="00E62B5F">
      <w:pPr>
        <w:ind w:firstLine="560"/>
        <w:rPr>
          <w:shd w:val="clear" w:color="auto" w:fill="FFFFFF"/>
        </w:rPr>
      </w:pPr>
      <w:r>
        <w:rPr>
          <w:rFonts w:hint="eastAsia"/>
          <w:shd w:val="clear" w:color="auto" w:fill="FFFFFF"/>
        </w:rPr>
        <w:t>效益指标包括社会效益1个二级指标。总分值20</w:t>
      </w:r>
      <w:r>
        <w:rPr>
          <w:shd w:val="clear" w:color="auto" w:fill="FFFFFF"/>
        </w:rPr>
        <w:t>分，得分</w:t>
      </w:r>
      <w:r>
        <w:rPr>
          <w:rFonts w:hint="eastAsia"/>
          <w:shd w:val="clear" w:color="auto" w:fill="FFFFFF"/>
        </w:rPr>
        <w:t>20</w:t>
      </w:r>
      <w:r>
        <w:rPr>
          <w:shd w:val="clear" w:color="auto" w:fill="FFFFFF"/>
        </w:rPr>
        <w:t>分，得分率</w:t>
      </w:r>
      <w:r>
        <w:rPr>
          <w:rFonts w:hint="eastAsia"/>
          <w:shd w:val="clear" w:color="auto" w:fill="FFFFFF"/>
        </w:rPr>
        <w:t>100</w:t>
      </w:r>
      <w:r>
        <w:rPr>
          <w:shd w:val="clear" w:color="auto" w:fill="FFFFFF"/>
        </w:rPr>
        <w:t>%。</w:t>
      </w: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45"/>
        <w:gridCol w:w="1467"/>
        <w:gridCol w:w="1466"/>
        <w:gridCol w:w="717"/>
        <w:gridCol w:w="1233"/>
        <w:gridCol w:w="1093"/>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二级指标</w:t>
            </w:r>
          </w:p>
        </w:tc>
        <w:tc>
          <w:tcPr>
            <w:tcW w:w="1845"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67"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66"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109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社会效益指标</w:t>
            </w: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有效保障审判服务</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有效</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w:t>
            </w:r>
          </w:p>
        </w:tc>
        <w:tc>
          <w:tcPr>
            <w:tcW w:w="717"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20</w:t>
            </w:r>
          </w:p>
        </w:tc>
        <w:tc>
          <w:tcPr>
            <w:tcW w:w="1233"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20</w:t>
            </w:r>
          </w:p>
        </w:tc>
        <w:tc>
          <w:tcPr>
            <w:tcW w:w="1093"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845"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7"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6"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20</w:t>
            </w:r>
          </w:p>
        </w:tc>
        <w:tc>
          <w:tcPr>
            <w:tcW w:w="1093" w:type="dxa"/>
            <w:shd w:val="clear" w:color="auto" w:fill="BDD6EE"/>
            <w:vAlign w:val="center"/>
          </w:tcPr>
          <w:p w:rsidR="004E545C" w:rsidRDefault="00E62B5F">
            <w:pPr>
              <w:widowControl/>
              <w:ind w:firstLineChars="0" w:firstLine="0"/>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pPr>
        <w:ind w:firstLine="562"/>
      </w:pPr>
      <w:r>
        <w:rPr>
          <w:rFonts w:hAnsi="宋体" w:hint="eastAsia"/>
          <w:b/>
          <w:bCs/>
          <w:szCs w:val="28"/>
        </w:rPr>
        <w:t>有效保障审判服务：</w:t>
      </w:r>
      <w:r>
        <w:rPr>
          <w:rFonts w:hAnsi="宋体" w:hint="eastAsia"/>
          <w:szCs w:val="28"/>
        </w:rPr>
        <w:t>我院积极开展法院审判工作，有效保障审判服务，达到年度指标值。该指标分值20分，自评得分为20分，得分率为100.00%。</w:t>
      </w:r>
    </w:p>
    <w:p w:rsidR="004E545C" w:rsidRDefault="00E62B5F" w:rsidP="00BB6FA1">
      <w:pPr>
        <w:pStyle w:val="4"/>
        <w:ind w:firstLine="562"/>
        <w:rPr>
          <w:rFonts w:ascii="仿宋" w:eastAsia="仿宋" w:hAnsi="仿宋" w:cstheme="minorBidi"/>
        </w:rPr>
      </w:pPr>
      <w:r>
        <w:rPr>
          <w:rFonts w:ascii="仿宋" w:eastAsia="仿宋" w:hAnsi="仿宋" w:cstheme="minorBidi" w:hint="eastAsia"/>
        </w:rPr>
        <w:lastRenderedPageBreak/>
        <w:t>（4）服务对象满意度指标</w:t>
      </w:r>
    </w:p>
    <w:p w:rsidR="004E545C" w:rsidRDefault="00E62B5F">
      <w:pPr>
        <w:pStyle w:val="af"/>
        <w:ind w:firstLine="560"/>
        <w:rPr>
          <w:rFonts w:hAnsi="宋体"/>
          <w:szCs w:val="28"/>
        </w:rPr>
      </w:pPr>
      <w:r>
        <w:rPr>
          <w:rFonts w:hAnsi="宋体" w:hint="eastAsia"/>
          <w:szCs w:val="28"/>
        </w:rPr>
        <w:t>服务对象满意度指标指标根据我院向社会提供公共产品和服务的主要对象，服务对象满意度主要考察服务群众对审判工作满意度和派出法庭工作人员满意度。该指标分值合计10分，自评得分10分，得分率100.00%。</w:t>
      </w:r>
    </w:p>
    <w:p w:rsidR="004E545C" w:rsidRDefault="004E545C" w:rsidP="00BB6FA1">
      <w:pPr>
        <w:spacing w:line="121" w:lineRule="exact"/>
        <w:ind w:firstLine="560"/>
      </w:pPr>
    </w:p>
    <w:tbl>
      <w:tblPr>
        <w:tblW w:w="906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1248"/>
        <w:gridCol w:w="1845"/>
        <w:gridCol w:w="1467"/>
        <w:gridCol w:w="1466"/>
        <w:gridCol w:w="717"/>
        <w:gridCol w:w="1233"/>
        <w:gridCol w:w="1093"/>
      </w:tblGrid>
      <w:tr w:rsidR="004E545C">
        <w:trPr>
          <w:cantSplit/>
          <w:trHeight w:val="397"/>
          <w:tblHeader/>
          <w:jc w:val="center"/>
        </w:trPr>
        <w:tc>
          <w:tcPr>
            <w:tcW w:w="1248"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二级指标</w:t>
            </w:r>
          </w:p>
        </w:tc>
        <w:tc>
          <w:tcPr>
            <w:tcW w:w="1845"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三级指标</w:t>
            </w:r>
          </w:p>
        </w:tc>
        <w:tc>
          <w:tcPr>
            <w:tcW w:w="1467"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年度指标值</w:t>
            </w:r>
          </w:p>
        </w:tc>
        <w:tc>
          <w:tcPr>
            <w:tcW w:w="1466" w:type="dxa"/>
            <w:shd w:val="clear" w:color="auto" w:fill="BDD6EE"/>
            <w:vAlign w:val="center"/>
          </w:tcPr>
          <w:p w:rsidR="004E545C" w:rsidRDefault="00E62B5F">
            <w:pPr>
              <w:widowControl/>
              <w:ind w:firstLineChars="0" w:firstLine="0"/>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实际完成值</w:t>
            </w: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分值</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自评得分</w:t>
            </w:r>
          </w:p>
        </w:tc>
        <w:tc>
          <w:tcPr>
            <w:tcW w:w="109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4"/>
              </w:rPr>
            </w:pPr>
            <w:r>
              <w:rPr>
                <w:rFonts w:ascii="宋体" w:eastAsia="宋体" w:hAnsi="宋体" w:cs="宋体" w:hint="eastAsia"/>
                <w:b/>
                <w:bCs/>
                <w:color w:val="000000"/>
                <w:kern w:val="0"/>
                <w:sz w:val="24"/>
                <w:szCs w:val="24"/>
              </w:rPr>
              <w:t>得分率</w:t>
            </w:r>
          </w:p>
        </w:tc>
      </w:tr>
      <w:tr w:rsidR="004E545C">
        <w:trPr>
          <w:cantSplit/>
          <w:trHeight w:val="397"/>
          <w:tblHeader/>
          <w:jc w:val="center"/>
        </w:trPr>
        <w:tc>
          <w:tcPr>
            <w:tcW w:w="1248" w:type="dxa"/>
            <w:vMerge w:val="restart"/>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服务对象满意度指标</w:t>
            </w: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服务群众对审判工作满意度</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&gt;=90%</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94%</w:t>
            </w:r>
          </w:p>
        </w:tc>
        <w:tc>
          <w:tcPr>
            <w:tcW w:w="717"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vMerge/>
            <w:vAlign w:val="center"/>
          </w:tcPr>
          <w:p w:rsidR="004E545C" w:rsidRDefault="004E545C">
            <w:pPr>
              <w:widowControl/>
              <w:ind w:firstLineChars="0" w:firstLine="0"/>
              <w:jc w:val="left"/>
              <w:textAlignment w:val="center"/>
              <w:rPr>
                <w:rFonts w:ascii="宋体" w:eastAsia="宋体" w:hAnsi="宋体" w:cs="宋体"/>
                <w:color w:val="333333"/>
                <w:kern w:val="0"/>
                <w:sz w:val="20"/>
                <w:szCs w:val="20"/>
              </w:rPr>
            </w:pPr>
          </w:p>
        </w:tc>
        <w:tc>
          <w:tcPr>
            <w:tcW w:w="1845"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派出法庭工作人员满意度</w:t>
            </w:r>
          </w:p>
        </w:tc>
        <w:tc>
          <w:tcPr>
            <w:tcW w:w="1467"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&gt;=95%</w:t>
            </w:r>
          </w:p>
        </w:tc>
        <w:tc>
          <w:tcPr>
            <w:tcW w:w="1466" w:type="dxa"/>
            <w:vAlign w:val="center"/>
          </w:tcPr>
          <w:p w:rsidR="004E545C" w:rsidRDefault="00E62B5F">
            <w:pPr>
              <w:widowControl/>
              <w:ind w:firstLineChars="0" w:firstLine="0"/>
              <w:jc w:val="left"/>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98%</w:t>
            </w:r>
          </w:p>
        </w:tc>
        <w:tc>
          <w:tcPr>
            <w:tcW w:w="717"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233"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5</w:t>
            </w:r>
          </w:p>
        </w:tc>
        <w:tc>
          <w:tcPr>
            <w:tcW w:w="1093" w:type="dxa"/>
            <w:vAlign w:val="center"/>
          </w:tcPr>
          <w:p w:rsidR="004E545C" w:rsidRDefault="00E62B5F">
            <w:pPr>
              <w:widowControl/>
              <w:ind w:firstLineChars="0" w:firstLine="0"/>
              <w:jc w:val="center"/>
              <w:textAlignment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100.00%</w:t>
            </w:r>
          </w:p>
        </w:tc>
      </w:tr>
      <w:tr w:rsidR="004E545C">
        <w:trPr>
          <w:cantSplit/>
          <w:trHeight w:val="397"/>
          <w:tblHeader/>
          <w:jc w:val="center"/>
        </w:trPr>
        <w:tc>
          <w:tcPr>
            <w:tcW w:w="1248" w:type="dxa"/>
            <w:shd w:val="clear" w:color="auto" w:fill="BDD6EE"/>
            <w:vAlign w:val="center"/>
          </w:tcPr>
          <w:p w:rsidR="004E545C" w:rsidRDefault="00E62B5F">
            <w:pPr>
              <w:widowControl/>
              <w:ind w:firstLine="442"/>
              <w:jc w:val="center"/>
              <w:textAlignment w:val="center"/>
              <w:rPr>
                <w:rFonts w:ascii="宋体" w:eastAsia="宋体" w:hAnsi="宋体" w:cs="宋体"/>
                <w:b/>
                <w:color w:val="000000"/>
                <w:kern w:val="0"/>
                <w:sz w:val="22"/>
              </w:rPr>
            </w:pPr>
            <w:r>
              <w:rPr>
                <w:rFonts w:ascii="宋体" w:eastAsia="宋体" w:hAnsi="宋体" w:cs="宋体" w:hint="eastAsia"/>
                <w:b/>
                <w:bCs/>
                <w:color w:val="000000"/>
                <w:kern w:val="0"/>
                <w:sz w:val="22"/>
              </w:rPr>
              <w:t>合计</w:t>
            </w:r>
          </w:p>
        </w:tc>
        <w:tc>
          <w:tcPr>
            <w:tcW w:w="1845"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7"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1466" w:type="dxa"/>
            <w:shd w:val="clear" w:color="auto" w:fill="BDD6EE"/>
            <w:vAlign w:val="center"/>
          </w:tcPr>
          <w:p w:rsidR="004E545C" w:rsidRDefault="004E545C">
            <w:pPr>
              <w:widowControl/>
              <w:ind w:firstLine="442"/>
              <w:jc w:val="center"/>
              <w:textAlignment w:val="center"/>
              <w:rPr>
                <w:rFonts w:ascii="宋体" w:eastAsia="宋体" w:hAnsi="宋体" w:cs="宋体"/>
                <w:b/>
                <w:color w:val="000000"/>
                <w:kern w:val="0"/>
                <w:sz w:val="22"/>
              </w:rPr>
            </w:pPr>
          </w:p>
        </w:tc>
        <w:tc>
          <w:tcPr>
            <w:tcW w:w="717"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w:t>
            </w:r>
          </w:p>
        </w:tc>
        <w:tc>
          <w:tcPr>
            <w:tcW w:w="1233" w:type="dxa"/>
            <w:shd w:val="clear" w:color="auto" w:fill="BDD6EE"/>
            <w:vAlign w:val="center"/>
          </w:tcPr>
          <w:p w:rsidR="004E545C" w:rsidRDefault="00E62B5F">
            <w:pPr>
              <w:widowControl/>
              <w:ind w:firstLineChars="0" w:firstLine="0"/>
              <w:jc w:val="center"/>
              <w:textAlignment w:val="center"/>
              <w:rPr>
                <w:rFonts w:ascii="宋体" w:eastAsia="宋体" w:hAnsi="宋体" w:cs="宋体"/>
                <w:b/>
                <w:color w:val="000000"/>
                <w:kern w:val="0"/>
                <w:sz w:val="22"/>
              </w:rPr>
            </w:pPr>
            <w:r>
              <w:rPr>
                <w:rFonts w:ascii="宋体" w:eastAsia="宋体" w:hAnsi="宋体" w:cs="宋体" w:hint="eastAsia"/>
                <w:b/>
                <w:color w:val="000000"/>
                <w:kern w:val="0"/>
                <w:sz w:val="22"/>
              </w:rPr>
              <w:t>10</w:t>
            </w:r>
          </w:p>
        </w:tc>
        <w:tc>
          <w:tcPr>
            <w:tcW w:w="1093" w:type="dxa"/>
            <w:shd w:val="clear" w:color="auto" w:fill="BDD6EE"/>
            <w:vAlign w:val="center"/>
          </w:tcPr>
          <w:p w:rsidR="004E545C" w:rsidRDefault="00E62B5F">
            <w:pPr>
              <w:widowControl/>
              <w:ind w:firstLineChars="0" w:firstLine="0"/>
              <w:textAlignment w:val="center"/>
              <w:rPr>
                <w:rFonts w:ascii="宋体" w:eastAsia="宋体" w:hAnsi="宋体" w:cs="宋体"/>
                <w:kern w:val="0"/>
                <w:sz w:val="22"/>
              </w:rPr>
            </w:pPr>
            <w:r>
              <w:rPr>
                <w:rFonts w:ascii="宋体" w:eastAsia="宋体" w:hAnsi="宋体" w:cs="宋体" w:hint="eastAsia"/>
                <w:b/>
                <w:bCs/>
                <w:color w:val="000000"/>
                <w:kern w:val="0"/>
                <w:sz w:val="22"/>
              </w:rPr>
              <w:t>100.00%</w:t>
            </w:r>
          </w:p>
        </w:tc>
      </w:tr>
    </w:tbl>
    <w:p w:rsidR="004E545C" w:rsidRDefault="00E62B5F" w:rsidP="00BB6FA1">
      <w:pPr>
        <w:ind w:firstLine="562"/>
        <w:rPr>
          <w:rFonts w:cs="仿宋_GB2312"/>
          <w:szCs w:val="28"/>
        </w:rPr>
      </w:pPr>
      <w:r>
        <w:rPr>
          <w:rFonts w:cs="仿宋_GB2312" w:hint="eastAsia"/>
          <w:b/>
          <w:bCs/>
          <w:szCs w:val="28"/>
        </w:rPr>
        <w:t>服务群众对审判工作满意度：</w:t>
      </w:r>
      <w:r>
        <w:rPr>
          <w:rFonts w:hint="eastAsia"/>
        </w:rPr>
        <w:t>基层法院依法审理各类案件，妥善化解矛盾纠纷和行政争议，维护了法院审判工作的有序开展，积极保障人民群众生命财产安全，服务群众对审判工作满意度为94%，达到目标值。该指标分值5分，自评得分5分，得分率100.00%。</w:t>
      </w:r>
    </w:p>
    <w:p w:rsidR="004E545C" w:rsidRDefault="00E62B5F" w:rsidP="00BB6FA1">
      <w:pPr>
        <w:ind w:firstLine="562"/>
        <w:rPr>
          <w:rFonts w:cs="仿宋_GB2312"/>
          <w:szCs w:val="28"/>
        </w:rPr>
      </w:pPr>
      <w:r>
        <w:rPr>
          <w:rFonts w:cs="仿宋_GB2312" w:hint="eastAsia"/>
          <w:b/>
          <w:bCs/>
          <w:szCs w:val="28"/>
        </w:rPr>
        <w:t>派出法庭工作人员满意度：</w:t>
      </w:r>
      <w:r>
        <w:rPr>
          <w:rFonts w:hint="eastAsia"/>
        </w:rPr>
        <w:t>基层法院</w:t>
      </w:r>
      <w:r>
        <w:rPr>
          <w:rFonts w:cs="仿宋_GB2312" w:hint="eastAsia"/>
          <w:szCs w:val="28"/>
        </w:rPr>
        <w:t>2023年度各项办案质效不断提升，派出法庭工作人员满意度达到98%。年度目标值为大于等于95%，该指标分值5分，自评得分5分，得分率100.00%。</w:t>
      </w:r>
    </w:p>
    <w:p w:rsidR="004E545C" w:rsidRDefault="00E62B5F" w:rsidP="00BB6FA1">
      <w:pPr>
        <w:pStyle w:val="3"/>
        <w:ind w:firstLine="562"/>
      </w:pPr>
      <w:r>
        <w:t>4、偏离绩效目标的原因及下一步改进措施</w:t>
      </w:r>
    </w:p>
    <w:p w:rsidR="004E545C" w:rsidRDefault="00E62B5F" w:rsidP="00BB6FA1">
      <w:pPr>
        <w:ind w:firstLine="560"/>
      </w:pPr>
      <w:bookmarkStart w:id="66" w:name="_Toc11086"/>
      <w:r>
        <w:rPr>
          <w:rFonts w:hint="eastAsia"/>
        </w:rPr>
        <w:t>无</w:t>
      </w:r>
    </w:p>
    <w:p w:rsidR="004E545C" w:rsidRDefault="00BA4F2E">
      <w:pPr>
        <w:pStyle w:val="1"/>
        <w:spacing w:before="0" w:after="0"/>
      </w:pPr>
      <w:bookmarkStart w:id="67" w:name="_Toc6252"/>
      <w:bookmarkStart w:id="68" w:name="_Toc32543"/>
      <w:bookmarkStart w:id="69" w:name="_Toc26665"/>
      <w:bookmarkStart w:id="70" w:name="_Toc7955"/>
      <w:bookmarkEnd w:id="58"/>
      <w:bookmarkEnd w:id="59"/>
      <w:bookmarkEnd w:id="60"/>
      <w:bookmarkEnd w:id="61"/>
      <w:bookmarkEnd w:id="62"/>
      <w:bookmarkEnd w:id="66"/>
      <w:r>
        <w:rPr>
          <w:rFonts w:hint="eastAsia"/>
        </w:rPr>
        <w:lastRenderedPageBreak/>
        <w:t>五</w:t>
      </w:r>
      <w:r w:rsidR="00E62B5F">
        <w:rPr>
          <w:rFonts w:hint="eastAsia"/>
        </w:rPr>
        <w:t>、绩效自评结果拟应用和公开情况</w:t>
      </w:r>
      <w:bookmarkEnd w:id="63"/>
      <w:bookmarkEnd w:id="64"/>
      <w:bookmarkEnd w:id="67"/>
      <w:bookmarkEnd w:id="68"/>
      <w:bookmarkEnd w:id="69"/>
      <w:bookmarkEnd w:id="70"/>
    </w:p>
    <w:p w:rsidR="004E545C" w:rsidRDefault="00E62B5F">
      <w:pPr>
        <w:widowControl/>
        <w:ind w:firstLine="560"/>
        <w:rPr>
          <w:rFonts w:hAnsi="宋体"/>
          <w:szCs w:val="28"/>
        </w:rPr>
      </w:pPr>
      <w:r>
        <w:rPr>
          <w:rFonts w:hAnsi="宋体" w:hint="eastAsia"/>
          <w:szCs w:val="28"/>
        </w:rPr>
        <w:t>绩效自评结果的应用是部门完善政策和改进管理的重要依据，部门要加强评价结果的应用。根据政策文件规定，我院绩效自评结果将编入2023年度决算中，随同2023年度部门决算同步公开。</w:t>
      </w:r>
    </w:p>
    <w:p w:rsidR="004E545C" w:rsidRDefault="00BA4F2E">
      <w:pPr>
        <w:pStyle w:val="1"/>
        <w:spacing w:before="0" w:after="0"/>
      </w:pPr>
      <w:bookmarkStart w:id="71" w:name="_Toc40046066"/>
      <w:bookmarkStart w:id="72" w:name="_Toc17889"/>
      <w:bookmarkStart w:id="73" w:name="_Toc17181"/>
      <w:bookmarkStart w:id="74" w:name="_Toc6781"/>
      <w:bookmarkStart w:id="75" w:name="_Toc4491"/>
      <w:bookmarkStart w:id="76" w:name="_Toc21490"/>
      <w:r>
        <w:rPr>
          <w:rFonts w:hint="eastAsia"/>
        </w:rPr>
        <w:t>六</w:t>
      </w:r>
      <w:r w:rsidR="00E62B5F">
        <w:rPr>
          <w:rFonts w:hint="eastAsia"/>
        </w:rPr>
        <w:t>、其他需要说明的问题</w:t>
      </w:r>
      <w:bookmarkEnd w:id="71"/>
      <w:bookmarkEnd w:id="72"/>
      <w:bookmarkEnd w:id="73"/>
      <w:bookmarkEnd w:id="74"/>
      <w:bookmarkEnd w:id="75"/>
      <w:bookmarkEnd w:id="76"/>
    </w:p>
    <w:p w:rsidR="004E545C" w:rsidRDefault="00E62B5F">
      <w:pPr>
        <w:widowControl/>
        <w:ind w:firstLine="560"/>
      </w:pPr>
      <w:r>
        <w:rPr>
          <w:rFonts w:hAnsi="宋体" w:hint="eastAsia"/>
          <w:szCs w:val="28"/>
        </w:rPr>
        <w:t>无</w:t>
      </w:r>
    </w:p>
    <w:sectPr w:rsidR="004E545C" w:rsidSect="004E545C">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491" w:rsidRDefault="00C43491">
      <w:pPr>
        <w:spacing w:line="240" w:lineRule="auto"/>
        <w:ind w:firstLine="560"/>
      </w:pPr>
      <w:r>
        <w:separator/>
      </w:r>
    </w:p>
  </w:endnote>
  <w:endnote w:type="continuationSeparator" w:id="0">
    <w:p w:rsidR="00C43491" w:rsidRDefault="00C4349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4E545C">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4E545C">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4E545C">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4E545C">
    <w:pPr>
      <w:pStyle w:val="a8"/>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17213B">
    <w:pPr>
      <w:pStyle w:val="a8"/>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sdt>
                <w:sdtPr>
                  <w:id w:val="1888059213"/>
                </w:sdtPr>
                <w:sdtContent>
                  <w:p w:rsidR="004E545C" w:rsidRDefault="0017213B">
                    <w:pPr>
                      <w:pStyle w:val="a8"/>
                      <w:ind w:firstLine="360"/>
                      <w:jc w:val="center"/>
                    </w:pPr>
                    <w:r>
                      <w:fldChar w:fldCharType="begin"/>
                    </w:r>
                    <w:r w:rsidR="00E62B5F">
                      <w:instrText>PAGE   \* MERGEFORMAT</w:instrText>
                    </w:r>
                    <w:r>
                      <w:fldChar w:fldCharType="separate"/>
                    </w:r>
                    <w:r w:rsidR="00BA4F2E" w:rsidRPr="00BA4F2E">
                      <w:rPr>
                        <w:noProof/>
                        <w:lang w:val="zh-CN"/>
                      </w:rPr>
                      <w:t>1</w:t>
                    </w:r>
                    <w:r>
                      <w:fldChar w:fldCharType="end"/>
                    </w:r>
                  </w:p>
                </w:sdtContent>
              </w:sdt>
              <w:p w:rsidR="004E545C" w:rsidRDefault="004E545C">
                <w:pPr>
                  <w:pStyle w:val="6"/>
                </w:pPr>
              </w:p>
            </w:txbxContent>
          </v:textbox>
          <w10:wrap anchorx="margin"/>
        </v:shape>
      </w:pict>
    </w:r>
  </w:p>
  <w:p w:rsidR="004E545C" w:rsidRDefault="004E545C">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491" w:rsidRDefault="00C43491">
      <w:pPr>
        <w:ind w:firstLine="560"/>
      </w:pPr>
      <w:r>
        <w:separator/>
      </w:r>
    </w:p>
  </w:footnote>
  <w:footnote w:type="continuationSeparator" w:id="0">
    <w:p w:rsidR="00C43491" w:rsidRDefault="00C43491">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4E545C">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4E545C">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5C" w:rsidRDefault="004E545C">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D3CA2"/>
    <w:multiLevelType w:val="singleLevel"/>
    <w:tmpl w:val="BF1D3CA2"/>
    <w:lvl w:ilvl="0">
      <w:start w:val="2"/>
      <w:numFmt w:val="decimal"/>
      <w:suff w:val="nothing"/>
      <w:lvlText w:val="（%1）"/>
      <w:lvlJc w:val="left"/>
    </w:lvl>
  </w:abstractNum>
  <w:abstractNum w:abstractNumId="1">
    <w:nsid w:val="E3209D48"/>
    <w:multiLevelType w:val="singleLevel"/>
    <w:tmpl w:val="E3209D48"/>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U0NTk1N2I5NTdiYjQ3ZjZmYzliMzFiYjhkZWVmZGUifQ=="/>
  </w:docVars>
  <w:rsids>
    <w:rsidRoot w:val="00172A27"/>
    <w:rsid w:val="EEB3F4F2"/>
    <w:rsid w:val="F97FDFFD"/>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13B"/>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45C"/>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4F2E"/>
    <w:rsid w:val="00BA5306"/>
    <w:rsid w:val="00BA582C"/>
    <w:rsid w:val="00BB0D22"/>
    <w:rsid w:val="00BB1279"/>
    <w:rsid w:val="00BB2292"/>
    <w:rsid w:val="00BB57C0"/>
    <w:rsid w:val="00BB6FA1"/>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3491"/>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2B5F"/>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94218E"/>
    <w:rsid w:val="02CA7215"/>
    <w:rsid w:val="02D93C69"/>
    <w:rsid w:val="0305754E"/>
    <w:rsid w:val="032D4760"/>
    <w:rsid w:val="032D7033"/>
    <w:rsid w:val="0333242E"/>
    <w:rsid w:val="03586C8C"/>
    <w:rsid w:val="03B80F4C"/>
    <w:rsid w:val="03B93EF4"/>
    <w:rsid w:val="03DE64EE"/>
    <w:rsid w:val="04417E07"/>
    <w:rsid w:val="045D1075"/>
    <w:rsid w:val="046D109D"/>
    <w:rsid w:val="04AE1CD1"/>
    <w:rsid w:val="04AE6573"/>
    <w:rsid w:val="04C826FC"/>
    <w:rsid w:val="04D710AE"/>
    <w:rsid w:val="05431AC5"/>
    <w:rsid w:val="055B4129"/>
    <w:rsid w:val="058F525E"/>
    <w:rsid w:val="05D64F65"/>
    <w:rsid w:val="06347F2F"/>
    <w:rsid w:val="064F716B"/>
    <w:rsid w:val="068B5D38"/>
    <w:rsid w:val="06B8742D"/>
    <w:rsid w:val="06D575E9"/>
    <w:rsid w:val="06E8731C"/>
    <w:rsid w:val="06F265AD"/>
    <w:rsid w:val="06F90833"/>
    <w:rsid w:val="071E5658"/>
    <w:rsid w:val="07930250"/>
    <w:rsid w:val="07957020"/>
    <w:rsid w:val="07AF39D1"/>
    <w:rsid w:val="07DE28D4"/>
    <w:rsid w:val="080E4270"/>
    <w:rsid w:val="084A7B62"/>
    <w:rsid w:val="087F1930"/>
    <w:rsid w:val="088272FC"/>
    <w:rsid w:val="08A7247E"/>
    <w:rsid w:val="08A728CF"/>
    <w:rsid w:val="08A84A40"/>
    <w:rsid w:val="08F834BD"/>
    <w:rsid w:val="09077DF6"/>
    <w:rsid w:val="091241C8"/>
    <w:rsid w:val="09376339"/>
    <w:rsid w:val="09B13A45"/>
    <w:rsid w:val="09B72FD5"/>
    <w:rsid w:val="09BE6112"/>
    <w:rsid w:val="0A6C3DC0"/>
    <w:rsid w:val="0AAC7535"/>
    <w:rsid w:val="0AE41BA8"/>
    <w:rsid w:val="0AFD6D5D"/>
    <w:rsid w:val="0B0D109F"/>
    <w:rsid w:val="0B3D575C"/>
    <w:rsid w:val="0B4E404E"/>
    <w:rsid w:val="0B8D6294"/>
    <w:rsid w:val="0B904D38"/>
    <w:rsid w:val="0B987180"/>
    <w:rsid w:val="0BA35E5E"/>
    <w:rsid w:val="0BA70E60"/>
    <w:rsid w:val="0BE1433A"/>
    <w:rsid w:val="0C040E46"/>
    <w:rsid w:val="0C0645DB"/>
    <w:rsid w:val="0C126BE9"/>
    <w:rsid w:val="0C6032F9"/>
    <w:rsid w:val="0C6C6699"/>
    <w:rsid w:val="0C8F023A"/>
    <w:rsid w:val="0DD248FB"/>
    <w:rsid w:val="0DD423A8"/>
    <w:rsid w:val="0DE74A3D"/>
    <w:rsid w:val="0DF0188C"/>
    <w:rsid w:val="0DF46805"/>
    <w:rsid w:val="0E071816"/>
    <w:rsid w:val="0E130328"/>
    <w:rsid w:val="0E14510B"/>
    <w:rsid w:val="0E5E4367"/>
    <w:rsid w:val="0E791344"/>
    <w:rsid w:val="0E975183"/>
    <w:rsid w:val="0E9E4764"/>
    <w:rsid w:val="0EB9159E"/>
    <w:rsid w:val="0ECB20BE"/>
    <w:rsid w:val="0ECC7523"/>
    <w:rsid w:val="0F087E2F"/>
    <w:rsid w:val="0F0E7B3C"/>
    <w:rsid w:val="0F5301E5"/>
    <w:rsid w:val="0F821592"/>
    <w:rsid w:val="0F96368D"/>
    <w:rsid w:val="0FAD1102"/>
    <w:rsid w:val="0FBE7ED7"/>
    <w:rsid w:val="0FC91CB4"/>
    <w:rsid w:val="0FE30140"/>
    <w:rsid w:val="106D6186"/>
    <w:rsid w:val="10953945"/>
    <w:rsid w:val="109A22B0"/>
    <w:rsid w:val="10ED0DA6"/>
    <w:rsid w:val="115B7B4E"/>
    <w:rsid w:val="119368FA"/>
    <w:rsid w:val="11A11963"/>
    <w:rsid w:val="11C03DEA"/>
    <w:rsid w:val="11C20FE9"/>
    <w:rsid w:val="11CF41B2"/>
    <w:rsid w:val="11E85901"/>
    <w:rsid w:val="126D4DDF"/>
    <w:rsid w:val="12F942BB"/>
    <w:rsid w:val="13DA4490"/>
    <w:rsid w:val="14055456"/>
    <w:rsid w:val="1410241B"/>
    <w:rsid w:val="146A4AEC"/>
    <w:rsid w:val="14A1264A"/>
    <w:rsid w:val="14A14FAE"/>
    <w:rsid w:val="14A237DC"/>
    <w:rsid w:val="14C17805"/>
    <w:rsid w:val="15455939"/>
    <w:rsid w:val="154D47EE"/>
    <w:rsid w:val="1578500A"/>
    <w:rsid w:val="15937A9B"/>
    <w:rsid w:val="15B716F5"/>
    <w:rsid w:val="160A3D95"/>
    <w:rsid w:val="16133C89"/>
    <w:rsid w:val="169A0A5A"/>
    <w:rsid w:val="16EA10E2"/>
    <w:rsid w:val="171A2DA3"/>
    <w:rsid w:val="17364B64"/>
    <w:rsid w:val="17400B06"/>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B901AA"/>
    <w:rsid w:val="1ABA3711"/>
    <w:rsid w:val="1AC72488"/>
    <w:rsid w:val="1ACC2EC5"/>
    <w:rsid w:val="1B3604F2"/>
    <w:rsid w:val="1B367A94"/>
    <w:rsid w:val="1B391536"/>
    <w:rsid w:val="1B7D7F7E"/>
    <w:rsid w:val="1C770035"/>
    <w:rsid w:val="1C934265"/>
    <w:rsid w:val="1CA9356C"/>
    <w:rsid w:val="1CB60D97"/>
    <w:rsid w:val="1CC41839"/>
    <w:rsid w:val="1CCC06EE"/>
    <w:rsid w:val="1CD540C4"/>
    <w:rsid w:val="1CE82FAE"/>
    <w:rsid w:val="1D172F01"/>
    <w:rsid w:val="1D4B7A4A"/>
    <w:rsid w:val="1D6B5FA6"/>
    <w:rsid w:val="1DE5415D"/>
    <w:rsid w:val="1E0730ED"/>
    <w:rsid w:val="1E2C7696"/>
    <w:rsid w:val="1E4A23BC"/>
    <w:rsid w:val="1E5875C1"/>
    <w:rsid w:val="1EC73863"/>
    <w:rsid w:val="1EFC175F"/>
    <w:rsid w:val="201C2D22"/>
    <w:rsid w:val="204131A1"/>
    <w:rsid w:val="20462111"/>
    <w:rsid w:val="205A1343"/>
    <w:rsid w:val="206A11BC"/>
    <w:rsid w:val="20B724D5"/>
    <w:rsid w:val="21132B7C"/>
    <w:rsid w:val="215313DE"/>
    <w:rsid w:val="216E0AF3"/>
    <w:rsid w:val="21A10725"/>
    <w:rsid w:val="21D94E53"/>
    <w:rsid w:val="21E94BEF"/>
    <w:rsid w:val="229E73AB"/>
    <w:rsid w:val="22C541CF"/>
    <w:rsid w:val="22F26762"/>
    <w:rsid w:val="22F3461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C0782D"/>
    <w:rsid w:val="29D52BB5"/>
    <w:rsid w:val="29E81930"/>
    <w:rsid w:val="29F55728"/>
    <w:rsid w:val="29FA3933"/>
    <w:rsid w:val="2A273408"/>
    <w:rsid w:val="2A723A7C"/>
    <w:rsid w:val="2A731D21"/>
    <w:rsid w:val="2A7F3244"/>
    <w:rsid w:val="2A823733"/>
    <w:rsid w:val="2AB949A8"/>
    <w:rsid w:val="2ACD0453"/>
    <w:rsid w:val="2ACE3A90"/>
    <w:rsid w:val="2B0A5203"/>
    <w:rsid w:val="2B1238AE"/>
    <w:rsid w:val="2B252A91"/>
    <w:rsid w:val="2B4017F0"/>
    <w:rsid w:val="2B6348E0"/>
    <w:rsid w:val="2B970537"/>
    <w:rsid w:val="2BE76212"/>
    <w:rsid w:val="2C09185D"/>
    <w:rsid w:val="2C0F7531"/>
    <w:rsid w:val="2C7A0167"/>
    <w:rsid w:val="2C8F33BD"/>
    <w:rsid w:val="2C8F54B1"/>
    <w:rsid w:val="2D03015C"/>
    <w:rsid w:val="2D5662C8"/>
    <w:rsid w:val="2DF56335"/>
    <w:rsid w:val="2DF9286A"/>
    <w:rsid w:val="2ED6443A"/>
    <w:rsid w:val="2EE138F7"/>
    <w:rsid w:val="2F0C4BE3"/>
    <w:rsid w:val="2F26199F"/>
    <w:rsid w:val="2F2B5748"/>
    <w:rsid w:val="2F377CAB"/>
    <w:rsid w:val="2F4D1ED1"/>
    <w:rsid w:val="2FCB61DD"/>
    <w:rsid w:val="30952D41"/>
    <w:rsid w:val="30DD0CC4"/>
    <w:rsid w:val="30E271B6"/>
    <w:rsid w:val="31397F4B"/>
    <w:rsid w:val="31541DBA"/>
    <w:rsid w:val="315471D8"/>
    <w:rsid w:val="317070E4"/>
    <w:rsid w:val="31775428"/>
    <w:rsid w:val="318F7220"/>
    <w:rsid w:val="31B63FAB"/>
    <w:rsid w:val="31D25FD2"/>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3277FD"/>
    <w:rsid w:val="365E57FF"/>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2B55A8"/>
    <w:rsid w:val="403A4B1E"/>
    <w:rsid w:val="40516350"/>
    <w:rsid w:val="4081490E"/>
    <w:rsid w:val="408F79A5"/>
    <w:rsid w:val="40B17223"/>
    <w:rsid w:val="40C96B6F"/>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90793F"/>
    <w:rsid w:val="44A571E8"/>
    <w:rsid w:val="45343151"/>
    <w:rsid w:val="456F5F37"/>
    <w:rsid w:val="45BE1410"/>
    <w:rsid w:val="45CA5863"/>
    <w:rsid w:val="45E00434"/>
    <w:rsid w:val="45F047F0"/>
    <w:rsid w:val="45F4583A"/>
    <w:rsid w:val="46054912"/>
    <w:rsid w:val="46112717"/>
    <w:rsid w:val="46307B3F"/>
    <w:rsid w:val="46317690"/>
    <w:rsid w:val="466513CA"/>
    <w:rsid w:val="469448BA"/>
    <w:rsid w:val="46C422B2"/>
    <w:rsid w:val="46C818F2"/>
    <w:rsid w:val="46DC1289"/>
    <w:rsid w:val="472655E6"/>
    <w:rsid w:val="477D2815"/>
    <w:rsid w:val="47982EAF"/>
    <w:rsid w:val="47CA38F8"/>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1E7270"/>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CC09F8"/>
    <w:rsid w:val="53DC53F9"/>
    <w:rsid w:val="543071D9"/>
    <w:rsid w:val="543C16DA"/>
    <w:rsid w:val="54843081"/>
    <w:rsid w:val="54E720BB"/>
    <w:rsid w:val="551B4A12"/>
    <w:rsid w:val="5588094F"/>
    <w:rsid w:val="558A2919"/>
    <w:rsid w:val="5634588C"/>
    <w:rsid w:val="56615E0C"/>
    <w:rsid w:val="567846EC"/>
    <w:rsid w:val="56AC0B61"/>
    <w:rsid w:val="56B45E9F"/>
    <w:rsid w:val="5714693E"/>
    <w:rsid w:val="57272B15"/>
    <w:rsid w:val="5748545F"/>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541C5"/>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5E4DB7"/>
    <w:rsid w:val="5D611791"/>
    <w:rsid w:val="5D755C5D"/>
    <w:rsid w:val="5D761FEA"/>
    <w:rsid w:val="5DAE0264"/>
    <w:rsid w:val="5DD5494D"/>
    <w:rsid w:val="5DDE74C5"/>
    <w:rsid w:val="5E8819C0"/>
    <w:rsid w:val="5E916AC6"/>
    <w:rsid w:val="5E9640DD"/>
    <w:rsid w:val="5E992621"/>
    <w:rsid w:val="5EC67DA5"/>
    <w:rsid w:val="5ED247CC"/>
    <w:rsid w:val="5F3A0F0C"/>
    <w:rsid w:val="5F58262D"/>
    <w:rsid w:val="5F6419A2"/>
    <w:rsid w:val="5F6817F6"/>
    <w:rsid w:val="5F775691"/>
    <w:rsid w:val="600414DC"/>
    <w:rsid w:val="603319A6"/>
    <w:rsid w:val="605F1472"/>
    <w:rsid w:val="60A12843"/>
    <w:rsid w:val="60BA744E"/>
    <w:rsid w:val="60BB23FA"/>
    <w:rsid w:val="60FB49D2"/>
    <w:rsid w:val="6138147B"/>
    <w:rsid w:val="618164DD"/>
    <w:rsid w:val="61D16CFC"/>
    <w:rsid w:val="61D474C9"/>
    <w:rsid w:val="61F77A0A"/>
    <w:rsid w:val="62950A8E"/>
    <w:rsid w:val="629774D1"/>
    <w:rsid w:val="62B339C2"/>
    <w:rsid w:val="62BE64F4"/>
    <w:rsid w:val="62C9714A"/>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C3DE9"/>
    <w:rsid w:val="65715BFD"/>
    <w:rsid w:val="65732D00"/>
    <w:rsid w:val="65B34C8C"/>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B73860"/>
    <w:rsid w:val="6EF255E1"/>
    <w:rsid w:val="6F3C1C82"/>
    <w:rsid w:val="6F4B5004"/>
    <w:rsid w:val="6F586B49"/>
    <w:rsid w:val="6F9E02F2"/>
    <w:rsid w:val="6FF00AC7"/>
    <w:rsid w:val="700F01D3"/>
    <w:rsid w:val="7015387B"/>
    <w:rsid w:val="705A41AE"/>
    <w:rsid w:val="70B30B1E"/>
    <w:rsid w:val="70D07922"/>
    <w:rsid w:val="70E14841"/>
    <w:rsid w:val="7113156F"/>
    <w:rsid w:val="711F4749"/>
    <w:rsid w:val="713A123F"/>
    <w:rsid w:val="718524BB"/>
    <w:rsid w:val="718631F8"/>
    <w:rsid w:val="71CE1DE8"/>
    <w:rsid w:val="71E60A7F"/>
    <w:rsid w:val="72A11576"/>
    <w:rsid w:val="72B56CCB"/>
    <w:rsid w:val="72D46929"/>
    <w:rsid w:val="72D57472"/>
    <w:rsid w:val="72D729DB"/>
    <w:rsid w:val="72EC0317"/>
    <w:rsid w:val="73353469"/>
    <w:rsid w:val="73644117"/>
    <w:rsid w:val="736D3FC9"/>
    <w:rsid w:val="73BF6E3A"/>
    <w:rsid w:val="73D03795"/>
    <w:rsid w:val="74026044"/>
    <w:rsid w:val="74035919"/>
    <w:rsid w:val="741D30BD"/>
    <w:rsid w:val="74213FF1"/>
    <w:rsid w:val="74962374"/>
    <w:rsid w:val="7499627D"/>
    <w:rsid w:val="74FB38D2"/>
    <w:rsid w:val="750E0A19"/>
    <w:rsid w:val="75606932"/>
    <w:rsid w:val="75685790"/>
    <w:rsid w:val="756E5918"/>
    <w:rsid w:val="75712C55"/>
    <w:rsid w:val="75734D20"/>
    <w:rsid w:val="757B7431"/>
    <w:rsid w:val="75D7226C"/>
    <w:rsid w:val="76332FB4"/>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7F1A71"/>
    <w:rsid w:val="7AAC0AB8"/>
    <w:rsid w:val="7AAF2356"/>
    <w:rsid w:val="7AD06AA1"/>
    <w:rsid w:val="7B011F41"/>
    <w:rsid w:val="7B101CDA"/>
    <w:rsid w:val="7B587A97"/>
    <w:rsid w:val="7B7209AE"/>
    <w:rsid w:val="7BD644A9"/>
    <w:rsid w:val="7C162517"/>
    <w:rsid w:val="7C2D3A49"/>
    <w:rsid w:val="7C5950EA"/>
    <w:rsid w:val="7D657644"/>
    <w:rsid w:val="7D670C49"/>
    <w:rsid w:val="7D9A5540"/>
    <w:rsid w:val="7DA16686"/>
    <w:rsid w:val="7DB40352"/>
    <w:rsid w:val="7DF67493"/>
    <w:rsid w:val="7E3B4056"/>
    <w:rsid w:val="7E8640F9"/>
    <w:rsid w:val="7E8E06E9"/>
    <w:rsid w:val="7EA31D98"/>
    <w:rsid w:val="7EC81C39"/>
    <w:rsid w:val="7EF700DD"/>
    <w:rsid w:val="7F2655FA"/>
    <w:rsid w:val="7F951BF0"/>
    <w:rsid w:val="7FBD6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uiPriority="0" w:unhideWhenUsed="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autoRedefine/>
    <w:qFormat/>
    <w:rsid w:val="004E545C"/>
    <w:pPr>
      <w:widowControl w:val="0"/>
      <w:spacing w:line="360" w:lineRule="auto"/>
      <w:ind w:firstLineChars="200" w:firstLine="200"/>
      <w:jc w:val="both"/>
    </w:pPr>
    <w:rPr>
      <w:rFonts w:ascii="仿宋_GB2312" w:eastAsia="仿宋_GB2312" w:hAnsi="仿宋_GB2312" w:cstheme="minorBidi"/>
      <w:kern w:val="2"/>
      <w:sz w:val="28"/>
      <w:szCs w:val="22"/>
    </w:rPr>
  </w:style>
  <w:style w:type="paragraph" w:styleId="1">
    <w:name w:val="heading 1"/>
    <w:basedOn w:val="a"/>
    <w:next w:val="a"/>
    <w:link w:val="1Char"/>
    <w:autoRedefine/>
    <w:uiPriority w:val="9"/>
    <w:qFormat/>
    <w:rsid w:val="004E545C"/>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Char"/>
    <w:autoRedefine/>
    <w:uiPriority w:val="9"/>
    <w:unhideWhenUsed/>
    <w:qFormat/>
    <w:rsid w:val="004E545C"/>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autoRedefine/>
    <w:uiPriority w:val="9"/>
    <w:unhideWhenUsed/>
    <w:qFormat/>
    <w:rsid w:val="004E545C"/>
    <w:pPr>
      <w:keepNext/>
      <w:keepLines/>
      <w:outlineLvl w:val="2"/>
    </w:pPr>
    <w:rPr>
      <w:b/>
      <w:bCs/>
      <w:szCs w:val="32"/>
    </w:rPr>
  </w:style>
  <w:style w:type="paragraph" w:styleId="4">
    <w:name w:val="heading 4"/>
    <w:basedOn w:val="a"/>
    <w:next w:val="a"/>
    <w:link w:val="4Char"/>
    <w:autoRedefine/>
    <w:uiPriority w:val="9"/>
    <w:unhideWhenUsed/>
    <w:qFormat/>
    <w:rsid w:val="004E545C"/>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Char"/>
    <w:autoRedefine/>
    <w:uiPriority w:val="9"/>
    <w:unhideWhenUsed/>
    <w:qFormat/>
    <w:rsid w:val="004E545C"/>
    <w:pPr>
      <w:keepNext/>
      <w:keepLines/>
      <w:spacing w:before="280" w:after="290" w:line="376" w:lineRule="auto"/>
      <w:outlineLvl w:val="4"/>
    </w:pPr>
    <w:rPr>
      <w:b/>
      <w:bCs/>
      <w:szCs w:val="28"/>
    </w:rPr>
  </w:style>
  <w:style w:type="paragraph" w:styleId="60">
    <w:name w:val="heading 6"/>
    <w:basedOn w:val="a"/>
    <w:next w:val="a"/>
    <w:autoRedefine/>
    <w:uiPriority w:val="9"/>
    <w:unhideWhenUsed/>
    <w:qFormat/>
    <w:rsid w:val="004E545C"/>
    <w:pPr>
      <w:keepNext/>
      <w:keepLines/>
      <w:outlineLvl w:val="5"/>
    </w:pPr>
    <w:rPr>
      <w:rFonts w:ascii="Cambria" w:hAnsi="Cambria"/>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autoRedefine/>
    <w:semiHidden/>
    <w:qFormat/>
    <w:rsid w:val="004E545C"/>
    <w:pPr>
      <w:ind w:firstLine="640"/>
    </w:pPr>
    <w:rPr>
      <w:rFonts w:cs="仿宋_GB2312"/>
      <w:color w:val="0000FF"/>
      <w:sz w:val="32"/>
      <w:szCs w:val="32"/>
    </w:rPr>
  </w:style>
  <w:style w:type="paragraph" w:styleId="a3">
    <w:name w:val="caption"/>
    <w:basedOn w:val="a"/>
    <w:next w:val="a"/>
    <w:autoRedefine/>
    <w:unhideWhenUsed/>
    <w:qFormat/>
    <w:rsid w:val="004E545C"/>
    <w:rPr>
      <w:rFonts w:asciiTheme="majorHAnsi" w:eastAsia="黑体" w:hAnsiTheme="majorHAnsi" w:cstheme="majorBidi"/>
      <w:sz w:val="20"/>
      <w:szCs w:val="20"/>
    </w:rPr>
  </w:style>
  <w:style w:type="paragraph" w:styleId="a4">
    <w:name w:val="annotation text"/>
    <w:basedOn w:val="a"/>
    <w:link w:val="Char"/>
    <w:autoRedefine/>
    <w:uiPriority w:val="99"/>
    <w:unhideWhenUsed/>
    <w:qFormat/>
    <w:rsid w:val="004E545C"/>
    <w:pPr>
      <w:jc w:val="left"/>
    </w:pPr>
  </w:style>
  <w:style w:type="paragraph" w:styleId="a5">
    <w:name w:val="Body Text"/>
    <w:basedOn w:val="a"/>
    <w:next w:val="a"/>
    <w:autoRedefine/>
    <w:uiPriority w:val="99"/>
    <w:qFormat/>
    <w:rsid w:val="004E545C"/>
    <w:rPr>
      <w:szCs w:val="21"/>
    </w:rPr>
  </w:style>
  <w:style w:type="paragraph" w:styleId="a6">
    <w:name w:val="Body Text Indent"/>
    <w:basedOn w:val="a"/>
    <w:link w:val="Char0"/>
    <w:autoRedefine/>
    <w:qFormat/>
    <w:rsid w:val="004E545C"/>
    <w:pPr>
      <w:ind w:leftChars="200" w:left="200"/>
    </w:pPr>
    <w:rPr>
      <w:szCs w:val="21"/>
    </w:rPr>
  </w:style>
  <w:style w:type="paragraph" w:styleId="a7">
    <w:name w:val="Plain Text"/>
    <w:basedOn w:val="a"/>
    <w:autoRedefine/>
    <w:qFormat/>
    <w:rsid w:val="004E545C"/>
    <w:rPr>
      <w:rFonts w:ascii="宋体" w:eastAsia="宋体" w:hAnsi="Courier New" w:cs="Times New Roman" w:hint="eastAsia"/>
      <w:szCs w:val="20"/>
    </w:rPr>
  </w:style>
  <w:style w:type="paragraph" w:styleId="20">
    <w:name w:val="Body Text Indent 2"/>
    <w:basedOn w:val="a"/>
    <w:next w:val="a7"/>
    <w:autoRedefine/>
    <w:qFormat/>
    <w:rsid w:val="004E545C"/>
    <w:pPr>
      <w:ind w:leftChars="-342" w:left="-718" w:firstLineChars="225" w:firstLine="720"/>
      <w:jc w:val="left"/>
    </w:pPr>
    <w:rPr>
      <w:sz w:val="32"/>
      <w:szCs w:val="32"/>
    </w:rPr>
  </w:style>
  <w:style w:type="paragraph" w:styleId="a8">
    <w:name w:val="footer"/>
    <w:basedOn w:val="a"/>
    <w:link w:val="Char1"/>
    <w:autoRedefine/>
    <w:uiPriority w:val="99"/>
    <w:unhideWhenUsed/>
    <w:qFormat/>
    <w:rsid w:val="004E545C"/>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rsid w:val="004E54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4E545C"/>
    <w:pPr>
      <w:tabs>
        <w:tab w:val="right" w:leader="dot" w:pos="8296"/>
      </w:tabs>
      <w:ind w:firstLineChars="0" w:firstLine="0"/>
    </w:pPr>
    <w:rPr>
      <w:rFonts w:hAnsi="宋体"/>
      <w:b/>
      <w:bCs/>
    </w:rPr>
  </w:style>
  <w:style w:type="paragraph" w:styleId="21">
    <w:name w:val="toc 2"/>
    <w:basedOn w:val="a"/>
    <w:next w:val="a"/>
    <w:autoRedefine/>
    <w:uiPriority w:val="39"/>
    <w:unhideWhenUsed/>
    <w:qFormat/>
    <w:rsid w:val="004E545C"/>
    <w:pPr>
      <w:tabs>
        <w:tab w:val="right" w:leader="dot" w:pos="8296"/>
      </w:tabs>
      <w:ind w:leftChars="200" w:left="560" w:firstLineChars="0" w:firstLine="0"/>
    </w:pPr>
  </w:style>
  <w:style w:type="paragraph" w:styleId="HTML">
    <w:name w:val="HTML Preformatted"/>
    <w:basedOn w:val="a"/>
    <w:autoRedefine/>
    <w:uiPriority w:val="99"/>
    <w:semiHidden/>
    <w:unhideWhenUsed/>
    <w:qFormat/>
    <w:rsid w:val="004E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autoRedefine/>
    <w:uiPriority w:val="99"/>
    <w:semiHidden/>
    <w:unhideWhenUsed/>
    <w:qFormat/>
    <w:rsid w:val="004E545C"/>
    <w:pPr>
      <w:spacing w:beforeAutospacing="1" w:afterAutospacing="1"/>
      <w:jc w:val="left"/>
    </w:pPr>
    <w:rPr>
      <w:rFonts w:cs="Times New Roman"/>
      <w:kern w:val="0"/>
      <w:sz w:val="24"/>
    </w:rPr>
  </w:style>
  <w:style w:type="paragraph" w:styleId="11">
    <w:name w:val="index 1"/>
    <w:basedOn w:val="a"/>
    <w:next w:val="a"/>
    <w:autoRedefine/>
    <w:qFormat/>
    <w:rsid w:val="004E545C"/>
  </w:style>
  <w:style w:type="paragraph" w:styleId="ab">
    <w:name w:val="annotation subject"/>
    <w:basedOn w:val="a4"/>
    <w:next w:val="a4"/>
    <w:link w:val="Char3"/>
    <w:autoRedefine/>
    <w:uiPriority w:val="99"/>
    <w:semiHidden/>
    <w:unhideWhenUsed/>
    <w:qFormat/>
    <w:rsid w:val="004E545C"/>
    <w:rPr>
      <w:b/>
      <w:bCs/>
    </w:rPr>
  </w:style>
  <w:style w:type="paragraph" w:styleId="22">
    <w:name w:val="Body Text First Indent 2"/>
    <w:basedOn w:val="a6"/>
    <w:link w:val="2Char0"/>
    <w:autoRedefine/>
    <w:unhideWhenUsed/>
    <w:qFormat/>
    <w:rsid w:val="004E545C"/>
    <w:pPr>
      <w:spacing w:after="120"/>
      <w:ind w:left="420" w:firstLine="420"/>
    </w:pPr>
    <w:rPr>
      <w:szCs w:val="22"/>
    </w:rPr>
  </w:style>
  <w:style w:type="table" w:styleId="ac">
    <w:name w:val="Table Grid"/>
    <w:basedOn w:val="a1"/>
    <w:autoRedefine/>
    <w:uiPriority w:val="39"/>
    <w:qFormat/>
    <w:rsid w:val="004E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autoRedefine/>
    <w:uiPriority w:val="99"/>
    <w:unhideWhenUsed/>
    <w:qFormat/>
    <w:rsid w:val="004E545C"/>
    <w:rPr>
      <w:color w:val="0563C1" w:themeColor="hyperlink"/>
      <w:u w:val="single"/>
    </w:rPr>
  </w:style>
  <w:style w:type="character" w:styleId="ae">
    <w:name w:val="annotation reference"/>
    <w:basedOn w:val="a0"/>
    <w:autoRedefine/>
    <w:uiPriority w:val="99"/>
    <w:semiHidden/>
    <w:unhideWhenUsed/>
    <w:qFormat/>
    <w:rsid w:val="004E545C"/>
    <w:rPr>
      <w:sz w:val="21"/>
      <w:szCs w:val="21"/>
    </w:rPr>
  </w:style>
  <w:style w:type="paragraph" w:customStyle="1" w:styleId="210">
    <w:name w:val="正文文本首行缩进 21"/>
    <w:basedOn w:val="a"/>
    <w:autoRedefine/>
    <w:qFormat/>
    <w:rsid w:val="004E545C"/>
    <w:pPr>
      <w:ind w:leftChars="200" w:left="420" w:firstLine="420"/>
    </w:pPr>
  </w:style>
  <w:style w:type="paragraph" w:customStyle="1" w:styleId="BodyTextFirstIndent21">
    <w:name w:val="Body Text First Indent 21"/>
    <w:basedOn w:val="a"/>
    <w:autoRedefine/>
    <w:qFormat/>
    <w:rsid w:val="004E545C"/>
    <w:pPr>
      <w:ind w:leftChars="200" w:left="420" w:firstLine="420"/>
    </w:pPr>
  </w:style>
  <w:style w:type="paragraph" w:customStyle="1" w:styleId="BodyTextIndent">
    <w:name w:val="BodyTextIndent"/>
    <w:basedOn w:val="a"/>
    <w:autoRedefine/>
    <w:qFormat/>
    <w:rsid w:val="004E545C"/>
    <w:pPr>
      <w:widowControl/>
      <w:ind w:leftChars="200" w:left="200"/>
      <w:textAlignment w:val="baseline"/>
    </w:pPr>
    <w:rPr>
      <w:sz w:val="21"/>
      <w:szCs w:val="21"/>
    </w:rPr>
  </w:style>
  <w:style w:type="character" w:customStyle="1" w:styleId="Char2">
    <w:name w:val="页眉 Char"/>
    <w:basedOn w:val="a0"/>
    <w:link w:val="a9"/>
    <w:autoRedefine/>
    <w:uiPriority w:val="99"/>
    <w:qFormat/>
    <w:rsid w:val="004E545C"/>
    <w:rPr>
      <w:sz w:val="18"/>
      <w:szCs w:val="18"/>
    </w:rPr>
  </w:style>
  <w:style w:type="character" w:customStyle="1" w:styleId="Char1">
    <w:name w:val="页脚 Char"/>
    <w:basedOn w:val="a0"/>
    <w:link w:val="a8"/>
    <w:autoRedefine/>
    <w:uiPriority w:val="99"/>
    <w:qFormat/>
    <w:rsid w:val="004E545C"/>
    <w:rPr>
      <w:sz w:val="18"/>
      <w:szCs w:val="18"/>
    </w:rPr>
  </w:style>
  <w:style w:type="paragraph" w:customStyle="1" w:styleId="TOC1">
    <w:name w:val="TOC 标题1"/>
    <w:basedOn w:val="1"/>
    <w:next w:val="a"/>
    <w:autoRedefine/>
    <w:uiPriority w:val="39"/>
    <w:unhideWhenUsed/>
    <w:qFormat/>
    <w:rsid w:val="004E545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1Char">
    <w:name w:val="标题 1 Char"/>
    <w:basedOn w:val="a0"/>
    <w:link w:val="1"/>
    <w:autoRedefine/>
    <w:uiPriority w:val="9"/>
    <w:qFormat/>
    <w:rsid w:val="004E545C"/>
    <w:rPr>
      <w:rFonts w:ascii="黑体" w:eastAsia="黑体" w:hAnsi="黑体"/>
      <w:b/>
      <w:bCs/>
      <w:kern w:val="44"/>
      <w:sz w:val="32"/>
      <w:szCs w:val="44"/>
    </w:rPr>
  </w:style>
  <w:style w:type="character" w:customStyle="1" w:styleId="2Char">
    <w:name w:val="标题 2 Char"/>
    <w:basedOn w:val="a0"/>
    <w:link w:val="2"/>
    <w:autoRedefine/>
    <w:uiPriority w:val="9"/>
    <w:qFormat/>
    <w:rsid w:val="004E545C"/>
    <w:rPr>
      <w:rFonts w:ascii="楷体" w:eastAsia="楷体" w:hAnsi="楷体" w:cstheme="majorBidi"/>
      <w:b/>
      <w:bCs/>
      <w:sz w:val="32"/>
      <w:szCs w:val="32"/>
    </w:rPr>
  </w:style>
  <w:style w:type="character" w:customStyle="1" w:styleId="3Char">
    <w:name w:val="标题 3 Char"/>
    <w:basedOn w:val="a0"/>
    <w:link w:val="3"/>
    <w:autoRedefine/>
    <w:uiPriority w:val="9"/>
    <w:qFormat/>
    <w:rsid w:val="004E545C"/>
    <w:rPr>
      <w:rFonts w:ascii="仿宋_GB2312" w:eastAsia="仿宋_GB2312" w:hAnsi="仿宋_GB2312"/>
      <w:b/>
      <w:bCs/>
      <w:sz w:val="28"/>
      <w:szCs w:val="32"/>
    </w:rPr>
  </w:style>
  <w:style w:type="character" w:customStyle="1" w:styleId="font01">
    <w:name w:val="font01"/>
    <w:basedOn w:val="a0"/>
    <w:autoRedefine/>
    <w:qFormat/>
    <w:rsid w:val="004E545C"/>
    <w:rPr>
      <w:rFonts w:ascii="宋体" w:eastAsia="宋体" w:hAnsi="宋体" w:cs="宋体" w:hint="eastAsia"/>
      <w:color w:val="000000"/>
      <w:sz w:val="21"/>
      <w:szCs w:val="21"/>
      <w:u w:val="none"/>
    </w:rPr>
  </w:style>
  <w:style w:type="character" w:customStyle="1" w:styleId="Char">
    <w:name w:val="批注文字 Char"/>
    <w:basedOn w:val="a0"/>
    <w:link w:val="a4"/>
    <w:autoRedefine/>
    <w:uiPriority w:val="99"/>
    <w:qFormat/>
    <w:rsid w:val="004E545C"/>
    <w:rPr>
      <w:rFonts w:ascii="仿宋_GB2312" w:eastAsia="仿宋_GB2312" w:hAnsi="仿宋_GB2312" w:cstheme="minorBidi"/>
      <w:kern w:val="2"/>
      <w:sz w:val="28"/>
      <w:szCs w:val="22"/>
    </w:rPr>
  </w:style>
  <w:style w:type="character" w:customStyle="1" w:styleId="Char3">
    <w:name w:val="批注主题 Char"/>
    <w:basedOn w:val="Char"/>
    <w:link w:val="ab"/>
    <w:autoRedefine/>
    <w:uiPriority w:val="99"/>
    <w:semiHidden/>
    <w:qFormat/>
    <w:rsid w:val="004E545C"/>
    <w:rPr>
      <w:rFonts w:ascii="仿宋_GB2312" w:eastAsia="仿宋_GB2312" w:hAnsi="仿宋_GB2312" w:cstheme="minorBidi"/>
      <w:b/>
      <w:bCs/>
      <w:kern w:val="2"/>
      <w:sz w:val="28"/>
      <w:szCs w:val="22"/>
    </w:rPr>
  </w:style>
  <w:style w:type="paragraph" w:customStyle="1" w:styleId="NormalIndent">
    <w:name w:val="NormalIndent"/>
    <w:basedOn w:val="a"/>
    <w:autoRedefine/>
    <w:uiPriority w:val="99"/>
    <w:qFormat/>
    <w:rsid w:val="004E545C"/>
    <w:pPr>
      <w:ind w:firstLine="420"/>
      <w:textAlignment w:val="baseline"/>
    </w:pPr>
    <w:rPr>
      <w:szCs w:val="21"/>
    </w:rPr>
  </w:style>
  <w:style w:type="character" w:customStyle="1" w:styleId="content1">
    <w:name w:val="content1"/>
    <w:basedOn w:val="a0"/>
    <w:autoRedefine/>
    <w:qFormat/>
    <w:rsid w:val="004E545C"/>
    <w:rPr>
      <w:rFonts w:hint="default"/>
      <w:sz w:val="21"/>
    </w:rPr>
  </w:style>
  <w:style w:type="paragraph" w:customStyle="1" w:styleId="Char20">
    <w:name w:val="Char2"/>
    <w:basedOn w:val="a"/>
    <w:autoRedefine/>
    <w:qFormat/>
    <w:rsid w:val="004E545C"/>
    <w:rPr>
      <w:rFonts w:ascii="Courier" w:hAnsi="Courier" w:cs="Courier"/>
      <w:szCs w:val="21"/>
    </w:rPr>
  </w:style>
  <w:style w:type="character" w:customStyle="1" w:styleId="NormalCharacter">
    <w:name w:val="NormalCharacter"/>
    <w:autoRedefine/>
    <w:semiHidden/>
    <w:qFormat/>
    <w:rsid w:val="004E545C"/>
  </w:style>
  <w:style w:type="paragraph" w:customStyle="1" w:styleId="NormalIndent1">
    <w:name w:val="Normal Indent1"/>
    <w:basedOn w:val="a"/>
    <w:autoRedefine/>
    <w:uiPriority w:val="99"/>
    <w:qFormat/>
    <w:rsid w:val="004E545C"/>
    <w:pPr>
      <w:ind w:firstLine="420"/>
    </w:pPr>
  </w:style>
  <w:style w:type="paragraph" w:styleId="af">
    <w:name w:val="List Paragraph"/>
    <w:basedOn w:val="a"/>
    <w:autoRedefine/>
    <w:uiPriority w:val="99"/>
    <w:qFormat/>
    <w:rsid w:val="004E545C"/>
    <w:pPr>
      <w:ind w:firstLine="420"/>
    </w:pPr>
  </w:style>
  <w:style w:type="character" w:customStyle="1" w:styleId="4Char">
    <w:name w:val="标题 4 Char"/>
    <w:basedOn w:val="a0"/>
    <w:link w:val="4"/>
    <w:autoRedefine/>
    <w:uiPriority w:val="9"/>
    <w:qFormat/>
    <w:rsid w:val="004E545C"/>
    <w:rPr>
      <w:rFonts w:asciiTheme="majorHAnsi" w:eastAsiaTheme="majorEastAsia" w:hAnsiTheme="majorHAnsi" w:cstheme="majorBidi"/>
      <w:b/>
      <w:bCs/>
      <w:kern w:val="2"/>
      <w:sz w:val="28"/>
      <w:szCs w:val="28"/>
    </w:rPr>
  </w:style>
  <w:style w:type="character" w:customStyle="1" w:styleId="5Char">
    <w:name w:val="标题 5 Char"/>
    <w:basedOn w:val="a0"/>
    <w:link w:val="5"/>
    <w:autoRedefine/>
    <w:uiPriority w:val="9"/>
    <w:qFormat/>
    <w:rsid w:val="004E545C"/>
    <w:rPr>
      <w:rFonts w:ascii="仿宋_GB2312" w:eastAsia="仿宋_GB2312" w:hAnsi="仿宋_GB2312" w:cstheme="minorBidi"/>
      <w:b/>
      <w:bCs/>
      <w:kern w:val="2"/>
      <w:sz w:val="28"/>
      <w:szCs w:val="28"/>
    </w:rPr>
  </w:style>
  <w:style w:type="character" w:customStyle="1" w:styleId="Char0">
    <w:name w:val="正文文本缩进 Char"/>
    <w:basedOn w:val="a0"/>
    <w:link w:val="a6"/>
    <w:autoRedefine/>
    <w:qFormat/>
    <w:rsid w:val="004E545C"/>
    <w:rPr>
      <w:rFonts w:ascii="仿宋_GB2312" w:eastAsia="仿宋_GB2312" w:hAnsi="仿宋_GB2312" w:cstheme="minorBidi"/>
      <w:kern w:val="2"/>
      <w:sz w:val="28"/>
      <w:szCs w:val="21"/>
    </w:rPr>
  </w:style>
  <w:style w:type="character" w:customStyle="1" w:styleId="2Char0">
    <w:name w:val="正文首行缩进 2 Char"/>
    <w:basedOn w:val="Char0"/>
    <w:link w:val="22"/>
    <w:autoRedefine/>
    <w:qFormat/>
    <w:rsid w:val="004E545C"/>
    <w:rPr>
      <w:rFonts w:ascii="仿宋_GB2312" w:eastAsia="仿宋_GB2312" w:hAnsi="仿宋_GB2312" w:cstheme="minorBidi"/>
      <w:kern w:val="2"/>
      <w:sz w:val="28"/>
      <w:szCs w:val="22"/>
    </w:rPr>
  </w:style>
  <w:style w:type="paragraph" w:customStyle="1" w:styleId="211">
    <w:name w:val="正文首行缩进 21"/>
    <w:basedOn w:val="a"/>
    <w:autoRedefine/>
    <w:qFormat/>
    <w:rsid w:val="004E545C"/>
    <w:pPr>
      <w:ind w:leftChars="200" w:left="420" w:firstLine="420"/>
    </w:pPr>
  </w:style>
  <w:style w:type="character" w:customStyle="1" w:styleId="font41">
    <w:name w:val="font41"/>
    <w:basedOn w:val="a0"/>
    <w:autoRedefine/>
    <w:qFormat/>
    <w:rsid w:val="004E545C"/>
    <w:rPr>
      <w:rFonts w:ascii="仿宋_GB2312" w:eastAsia="仿宋_GB2312" w:cs="仿宋_GB2312" w:hint="eastAsia"/>
      <w:b/>
      <w:bCs/>
      <w:color w:val="000000"/>
      <w:sz w:val="24"/>
      <w:szCs w:val="24"/>
      <w:u w:val="none"/>
    </w:rPr>
  </w:style>
  <w:style w:type="character" w:customStyle="1" w:styleId="font31">
    <w:name w:val="font31"/>
    <w:basedOn w:val="a0"/>
    <w:autoRedefine/>
    <w:qFormat/>
    <w:rsid w:val="004E545C"/>
    <w:rPr>
      <w:rFonts w:ascii="仿宋_GB2312" w:eastAsia="仿宋_GB2312" w:cs="仿宋_GB2312" w:hint="eastAsia"/>
      <w:color w:val="000000"/>
      <w:sz w:val="24"/>
      <w:szCs w:val="24"/>
      <w:u w:val="none"/>
    </w:rPr>
  </w:style>
  <w:style w:type="character" w:customStyle="1" w:styleId="font21">
    <w:name w:val="font21"/>
    <w:basedOn w:val="a0"/>
    <w:autoRedefine/>
    <w:qFormat/>
    <w:rsid w:val="004E545C"/>
    <w:rPr>
      <w:rFonts w:ascii="仿宋_GB2312" w:eastAsia="仿宋_GB2312" w:cs="仿宋_GB2312" w:hint="eastAsia"/>
      <w:b/>
      <w:bCs/>
      <w:color w:val="000000"/>
      <w:sz w:val="24"/>
      <w:szCs w:val="24"/>
      <w:u w:val="none"/>
    </w:rPr>
  </w:style>
  <w:style w:type="paragraph" w:customStyle="1" w:styleId="12">
    <w:name w:val="列出段落1"/>
    <w:basedOn w:val="a"/>
    <w:autoRedefine/>
    <w:qFormat/>
    <w:rsid w:val="004E545C"/>
    <w:pPr>
      <w:ind w:firstLine="420"/>
    </w:pPr>
    <w:rPr>
      <w:rFonts w:ascii="Calibri" w:eastAsia="宋体" w:hAnsi="Calibri" w:cs="Times New Roman"/>
    </w:rPr>
  </w:style>
  <w:style w:type="table" w:customStyle="1" w:styleId="TableNormal">
    <w:name w:val="Table Normal"/>
    <w:autoRedefine/>
    <w:semiHidden/>
    <w:unhideWhenUsed/>
    <w:qFormat/>
    <w:rsid w:val="004E545C"/>
    <w:tblPr>
      <w:tblCellMar>
        <w:top w:w="0" w:type="dxa"/>
        <w:left w:w="0" w:type="dxa"/>
        <w:bottom w:w="0" w:type="dxa"/>
        <w:right w:w="0" w:type="dxa"/>
      </w:tblCellMar>
    </w:tblPr>
  </w:style>
  <w:style w:type="paragraph" w:styleId="af0">
    <w:name w:val="Balloon Text"/>
    <w:basedOn w:val="a"/>
    <w:link w:val="Char4"/>
    <w:uiPriority w:val="99"/>
    <w:semiHidden/>
    <w:unhideWhenUsed/>
    <w:rsid w:val="00BB6FA1"/>
    <w:pPr>
      <w:spacing w:line="240" w:lineRule="auto"/>
    </w:pPr>
    <w:rPr>
      <w:sz w:val="18"/>
      <w:szCs w:val="18"/>
    </w:rPr>
  </w:style>
  <w:style w:type="character" w:customStyle="1" w:styleId="Char4">
    <w:name w:val="批注框文本 Char"/>
    <w:basedOn w:val="a0"/>
    <w:link w:val="af0"/>
    <w:uiPriority w:val="99"/>
    <w:semiHidden/>
    <w:rsid w:val="00BB6FA1"/>
    <w:rPr>
      <w:rFonts w:ascii="仿宋_GB2312" w:eastAsia="仿宋_GB2312" w:hAnsi="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B3864-C2AD-478D-B220-ABAE50C0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1802</Words>
  <Characters>10276</Characters>
  <Application>Microsoft Office Word</Application>
  <DocSecurity>0</DocSecurity>
  <Lines>85</Lines>
  <Paragraphs>24</Paragraphs>
  <ScaleCrop>false</ScaleCrop>
  <Company>china</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张敏</dc:creator>
  <cp:lastModifiedBy>Administrator</cp:lastModifiedBy>
  <cp:revision>1086</cp:revision>
  <cp:lastPrinted>2024-04-06T23:51:00Z</cp:lastPrinted>
  <dcterms:created xsi:type="dcterms:W3CDTF">2021-02-04T23:55:00Z</dcterms:created>
  <dcterms:modified xsi:type="dcterms:W3CDTF">2024-08-12T02:27:00Z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B524D6BC58844E959EE33C390AA16C66_13</vt:lpwstr>
  </property>
</Properties>
</file>