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5AC53">
      <w:pPr>
        <w:spacing w:before="100" w:beforeLines="0" w:after="100" w:afterLines="0"/>
        <w:jc w:val="center"/>
        <w:rPr>
          <w:rFonts w:hint="eastAsia" w:ascii="宋体" w:hAnsi="宋体"/>
          <w:sz w:val="24"/>
          <w:szCs w:val="24"/>
          <w:lang w:val="zh-CN"/>
        </w:rPr>
      </w:pPr>
    </w:p>
    <w:p w14:paraId="4CFFAB45">
      <w:pPr>
        <w:spacing w:before="100" w:beforeLines="0" w:after="100" w:afterLines="0"/>
        <w:jc w:val="center"/>
        <w:rPr>
          <w:rFonts w:hint="eastAsia" w:ascii="宋体" w:hAnsi="宋体"/>
          <w:sz w:val="24"/>
          <w:szCs w:val="24"/>
          <w:lang w:val="zh-CN"/>
        </w:rPr>
      </w:pPr>
    </w:p>
    <w:p w14:paraId="3DA2BB53">
      <w:pPr>
        <w:spacing w:before="100" w:beforeLines="0" w:after="100" w:afterLines="0"/>
        <w:jc w:val="center"/>
        <w:rPr>
          <w:rFonts w:hint="eastAsia" w:ascii="宋体" w:hAnsi="宋体"/>
          <w:sz w:val="24"/>
          <w:szCs w:val="24"/>
          <w:lang w:val="zh-CN"/>
        </w:rPr>
      </w:pPr>
    </w:p>
    <w:p w14:paraId="24DC0128">
      <w:pPr>
        <w:spacing w:before="100" w:beforeLines="0" w:after="100" w:afterLines="0"/>
        <w:jc w:val="center"/>
        <w:rPr>
          <w:rFonts w:hint="eastAsia" w:ascii="宋体" w:hAnsi="宋体"/>
          <w:sz w:val="24"/>
          <w:szCs w:val="24"/>
          <w:lang w:val="zh-CN"/>
        </w:rPr>
      </w:pPr>
    </w:p>
    <w:p w14:paraId="40093A56">
      <w:pPr>
        <w:spacing w:before="100" w:beforeLines="0" w:after="100" w:afterLines="0"/>
        <w:jc w:val="center"/>
        <w:rPr>
          <w:rFonts w:hint="eastAsia" w:ascii="宋体" w:hAnsi="宋体"/>
          <w:sz w:val="24"/>
          <w:szCs w:val="24"/>
          <w:lang w:val="zh-CN"/>
        </w:rPr>
      </w:pPr>
    </w:p>
    <w:p w14:paraId="4D346917">
      <w:pPr>
        <w:spacing w:before="100" w:beforeLines="0" w:after="100" w:afterLines="0"/>
        <w:jc w:val="center"/>
        <w:rPr>
          <w:rFonts w:hint="eastAsia" w:ascii="宋体" w:hAnsi="宋体"/>
          <w:sz w:val="24"/>
          <w:szCs w:val="24"/>
          <w:lang w:val="zh-CN"/>
        </w:rPr>
      </w:pPr>
    </w:p>
    <w:p w14:paraId="6EC2CAAE">
      <w:pPr>
        <w:spacing w:before="100" w:beforeLines="0" w:after="100" w:afterLines="0"/>
        <w:jc w:val="center"/>
        <w:rPr>
          <w:rFonts w:hint="eastAsia" w:ascii="宋体" w:hAnsi="宋体"/>
          <w:sz w:val="24"/>
          <w:szCs w:val="24"/>
          <w:lang w:val="zh-CN"/>
        </w:rPr>
      </w:pPr>
    </w:p>
    <w:p w14:paraId="3647DF43">
      <w:pPr>
        <w:spacing w:before="100" w:beforeLines="0" w:after="100" w:afterLines="0"/>
        <w:jc w:val="center"/>
        <w:rPr>
          <w:rFonts w:hint="eastAsia" w:ascii="宋体" w:hAnsi="宋体"/>
          <w:sz w:val="24"/>
          <w:szCs w:val="24"/>
          <w:lang w:val="zh-CN"/>
        </w:rPr>
      </w:pPr>
    </w:p>
    <w:p w14:paraId="27865EF4">
      <w:pPr>
        <w:spacing w:before="100" w:beforeLines="0" w:after="100" w:afterLines="0"/>
        <w:jc w:val="center"/>
        <w:rPr>
          <w:rFonts w:hint="eastAsia" w:ascii="宋体" w:hAnsi="宋体"/>
          <w:sz w:val="24"/>
          <w:szCs w:val="24"/>
          <w:lang w:val="zh-CN"/>
        </w:rPr>
      </w:pPr>
    </w:p>
    <w:p w14:paraId="33F95048">
      <w:pPr>
        <w:spacing w:before="100" w:beforeLines="0" w:after="100" w:afterLines="0"/>
        <w:jc w:val="center"/>
        <w:rPr>
          <w:rFonts w:hint="eastAsia" w:ascii="宋体" w:hAnsi="宋体"/>
          <w:sz w:val="24"/>
          <w:szCs w:val="24"/>
          <w:lang w:val="zh-CN"/>
        </w:rPr>
      </w:pPr>
    </w:p>
    <w:p w14:paraId="5E70239D">
      <w:pPr>
        <w:spacing w:before="100" w:beforeLines="0" w:after="100" w:afterLines="0"/>
        <w:jc w:val="center"/>
        <w:rPr>
          <w:rFonts w:hint="eastAsia" w:ascii="宋体" w:hAnsi="宋体"/>
          <w:sz w:val="24"/>
          <w:szCs w:val="24"/>
          <w:lang w:val="zh-CN"/>
        </w:rPr>
      </w:pPr>
    </w:p>
    <w:p w14:paraId="4AD919CA">
      <w:pPr>
        <w:spacing w:before="100" w:beforeLines="0" w:after="100" w:afterLines="0"/>
        <w:jc w:val="center"/>
        <w:rPr>
          <w:rFonts w:hint="eastAsia" w:ascii="宋体" w:hAnsi="宋体"/>
          <w:sz w:val="24"/>
          <w:szCs w:val="24"/>
          <w:lang w:val="zh-CN"/>
        </w:rPr>
      </w:pPr>
    </w:p>
    <w:p w14:paraId="0DA810B1">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75F62305">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天祝藏族自治县人民法院部门决算</w:t>
      </w:r>
    </w:p>
    <w:p w14:paraId="29ACF533">
      <w:pPr>
        <w:spacing w:before="100" w:beforeLines="0" w:after="100" w:afterLines="0"/>
        <w:jc w:val="center"/>
        <w:rPr>
          <w:rFonts w:hint="eastAsia" w:ascii="宋体" w:hAnsi="宋体"/>
          <w:sz w:val="24"/>
          <w:szCs w:val="24"/>
          <w:lang w:val="zh-CN"/>
        </w:rPr>
      </w:pPr>
    </w:p>
    <w:p w14:paraId="42F4E481">
      <w:pPr>
        <w:spacing w:before="100" w:beforeLines="0" w:after="100" w:afterLines="0"/>
        <w:jc w:val="center"/>
        <w:rPr>
          <w:rFonts w:hint="eastAsia" w:ascii="宋体" w:hAnsi="宋体"/>
          <w:sz w:val="24"/>
          <w:szCs w:val="24"/>
          <w:lang w:val="zh-CN"/>
        </w:rPr>
      </w:pPr>
    </w:p>
    <w:p w14:paraId="60F88852">
      <w:pPr>
        <w:spacing w:before="100" w:beforeLines="0" w:after="100" w:afterLines="0"/>
        <w:jc w:val="center"/>
        <w:rPr>
          <w:rFonts w:hint="eastAsia" w:ascii="宋体" w:hAnsi="宋体"/>
          <w:sz w:val="24"/>
          <w:szCs w:val="24"/>
          <w:lang w:val="zh-CN"/>
        </w:rPr>
      </w:pPr>
    </w:p>
    <w:p w14:paraId="770A4F1D">
      <w:pPr>
        <w:spacing w:before="100" w:beforeLines="0" w:after="100" w:afterLines="0"/>
        <w:jc w:val="center"/>
        <w:rPr>
          <w:rFonts w:hint="eastAsia" w:ascii="宋体" w:hAnsi="宋体"/>
          <w:sz w:val="24"/>
          <w:szCs w:val="24"/>
          <w:lang w:val="zh-CN"/>
        </w:rPr>
      </w:pPr>
    </w:p>
    <w:p w14:paraId="71984551">
      <w:pPr>
        <w:spacing w:before="100" w:beforeLines="0" w:after="100" w:afterLines="0"/>
        <w:jc w:val="center"/>
        <w:rPr>
          <w:rFonts w:hint="eastAsia" w:ascii="宋体" w:hAnsi="宋体"/>
          <w:sz w:val="24"/>
          <w:szCs w:val="24"/>
          <w:lang w:val="zh-CN"/>
        </w:rPr>
      </w:pPr>
    </w:p>
    <w:p w14:paraId="608D588D">
      <w:pPr>
        <w:spacing w:before="100" w:beforeLines="0" w:after="100" w:afterLines="0"/>
        <w:jc w:val="center"/>
        <w:rPr>
          <w:rFonts w:hint="eastAsia" w:ascii="宋体" w:hAnsi="宋体"/>
          <w:sz w:val="24"/>
          <w:szCs w:val="24"/>
          <w:lang w:val="zh-CN"/>
        </w:rPr>
      </w:pPr>
    </w:p>
    <w:p w14:paraId="0BCA350C">
      <w:pPr>
        <w:spacing w:before="100" w:beforeLines="0" w:after="100" w:afterLines="0"/>
        <w:jc w:val="center"/>
        <w:rPr>
          <w:rFonts w:hint="eastAsia" w:ascii="宋体" w:hAnsi="宋体"/>
          <w:sz w:val="24"/>
          <w:szCs w:val="24"/>
          <w:lang w:val="zh-CN"/>
        </w:rPr>
      </w:pPr>
    </w:p>
    <w:p w14:paraId="19E3F191">
      <w:pPr>
        <w:spacing w:before="100" w:beforeLines="0" w:after="100" w:afterLines="0"/>
        <w:jc w:val="center"/>
        <w:rPr>
          <w:rFonts w:hint="eastAsia" w:ascii="宋体" w:hAnsi="宋体"/>
          <w:sz w:val="24"/>
          <w:szCs w:val="24"/>
          <w:lang w:val="zh-CN"/>
        </w:rPr>
      </w:pPr>
    </w:p>
    <w:p w14:paraId="399749A0">
      <w:pPr>
        <w:spacing w:before="100" w:beforeLines="0" w:after="100" w:afterLines="0"/>
        <w:jc w:val="center"/>
        <w:rPr>
          <w:rFonts w:hint="eastAsia" w:ascii="宋体" w:hAnsi="宋体"/>
          <w:sz w:val="24"/>
          <w:szCs w:val="24"/>
          <w:lang w:val="zh-CN"/>
        </w:rPr>
      </w:pPr>
    </w:p>
    <w:p w14:paraId="2E44FB6B">
      <w:pPr>
        <w:spacing w:before="100" w:beforeLines="0" w:after="100" w:afterLines="0"/>
        <w:jc w:val="center"/>
        <w:rPr>
          <w:rFonts w:hint="eastAsia" w:ascii="宋体" w:hAnsi="宋体"/>
          <w:sz w:val="24"/>
          <w:szCs w:val="24"/>
          <w:lang w:val="zh-CN"/>
        </w:rPr>
      </w:pPr>
    </w:p>
    <w:p w14:paraId="482628B7">
      <w:pPr>
        <w:spacing w:before="100" w:beforeLines="0" w:after="100" w:afterLines="0"/>
        <w:jc w:val="center"/>
        <w:rPr>
          <w:rFonts w:hint="eastAsia" w:ascii="宋体" w:hAnsi="宋体"/>
          <w:sz w:val="24"/>
          <w:szCs w:val="24"/>
          <w:lang w:val="zh-CN"/>
        </w:rPr>
      </w:pPr>
    </w:p>
    <w:p w14:paraId="480DF293">
      <w:pPr>
        <w:spacing w:before="100" w:beforeLines="0" w:after="100" w:afterLines="0"/>
        <w:jc w:val="center"/>
        <w:rPr>
          <w:rFonts w:hint="eastAsia" w:ascii="宋体" w:hAnsi="宋体"/>
          <w:sz w:val="24"/>
          <w:szCs w:val="24"/>
          <w:lang w:val="zh-CN"/>
        </w:rPr>
      </w:pPr>
    </w:p>
    <w:p w14:paraId="3E6AA41B">
      <w:pPr>
        <w:spacing w:before="100" w:beforeLines="0" w:after="100" w:afterLines="0"/>
        <w:jc w:val="center"/>
        <w:rPr>
          <w:rFonts w:hint="eastAsia" w:ascii="宋体" w:hAnsi="宋体"/>
          <w:sz w:val="24"/>
          <w:szCs w:val="24"/>
          <w:lang w:val="zh-CN"/>
        </w:rPr>
      </w:pPr>
    </w:p>
    <w:p w14:paraId="033771EA">
      <w:pPr>
        <w:spacing w:before="100" w:beforeLines="0" w:after="100" w:afterLines="0"/>
        <w:jc w:val="center"/>
        <w:rPr>
          <w:rFonts w:hint="eastAsia" w:ascii="宋体" w:hAnsi="宋体"/>
          <w:sz w:val="24"/>
          <w:szCs w:val="24"/>
          <w:lang w:val="zh-CN"/>
        </w:rPr>
      </w:pPr>
    </w:p>
    <w:p w14:paraId="4BA3B749">
      <w:pPr>
        <w:spacing w:before="100" w:beforeLines="0" w:after="100" w:afterLines="0"/>
        <w:jc w:val="center"/>
        <w:rPr>
          <w:rFonts w:hint="eastAsia" w:ascii="宋体" w:hAnsi="宋体"/>
          <w:sz w:val="24"/>
          <w:szCs w:val="24"/>
          <w:lang w:val="zh-CN"/>
        </w:rPr>
      </w:pPr>
    </w:p>
    <w:p w14:paraId="25598670">
      <w:pPr>
        <w:spacing w:before="100" w:beforeLines="0" w:after="100" w:afterLines="0"/>
        <w:jc w:val="center"/>
        <w:rPr>
          <w:rFonts w:hint="eastAsia" w:ascii="宋体" w:hAnsi="宋体"/>
          <w:sz w:val="24"/>
          <w:szCs w:val="24"/>
          <w:lang w:val="zh-CN"/>
        </w:rPr>
      </w:pPr>
    </w:p>
    <w:p w14:paraId="7B78AFFE">
      <w:pPr>
        <w:spacing w:before="100" w:beforeLines="0" w:after="100" w:afterLines="0"/>
        <w:jc w:val="center"/>
        <w:rPr>
          <w:rFonts w:hint="eastAsia" w:ascii="宋体" w:hAnsi="宋体"/>
          <w:sz w:val="24"/>
          <w:szCs w:val="24"/>
          <w:lang w:val="zh-CN"/>
        </w:rPr>
      </w:pPr>
    </w:p>
    <w:p w14:paraId="33BCDCF4">
      <w:pPr>
        <w:spacing w:before="100" w:beforeLines="0" w:after="100" w:afterLines="0"/>
        <w:jc w:val="center"/>
        <w:rPr>
          <w:rFonts w:hint="eastAsia" w:ascii="宋体" w:hAnsi="宋体"/>
          <w:sz w:val="24"/>
          <w:szCs w:val="24"/>
          <w:lang w:val="zh-CN"/>
        </w:rPr>
      </w:pPr>
    </w:p>
    <w:p w14:paraId="1CF7F9FB">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5161C1D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5ED3B31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88145D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6B66477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6EE8B18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7E64BF4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752E494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5712483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3CDF3DB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1F34BFD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C65462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0A605AC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3AA7A2A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72FEAFF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188118F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3BBB2BA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0AFBC0A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E0AA1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2A52C7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6A3FD8F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399989A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七、政府性基金预算财政拨款收支决算情况说明</w:t>
      </w:r>
    </w:p>
    <w:p w14:paraId="6C828BC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2732BAA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3AEACFF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十、机关运行经费支出情况说明</w:t>
      </w:r>
    </w:p>
    <w:p w14:paraId="78361DB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7D4338A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6E47258B">
      <w:pPr>
        <w:spacing w:before="100" w:beforeLines="0" w:after="100" w:afterLines="0"/>
        <w:jc w:val="left"/>
        <w:rPr>
          <w:rFonts w:hint="eastAsia"/>
          <w:lang w:val="zh-CN"/>
        </w:rPr>
      </w:pPr>
      <w:r>
        <w:rPr>
          <w:rFonts w:hint="eastAsia" w:ascii="宋体" w:hAnsi="宋体"/>
          <w:sz w:val="24"/>
          <w:szCs w:val="24"/>
          <w:lang w:val="zh-CN"/>
        </w:rPr>
        <w:t>十</w:t>
      </w:r>
      <w:r>
        <w:rPr>
          <w:rFonts w:hint="eastAsia" w:ascii="宋体" w:hAnsi="宋体"/>
          <w:sz w:val="24"/>
          <w:szCs w:val="24"/>
          <w:lang w:val="en-US" w:eastAsia="zh-CN"/>
        </w:rPr>
        <w:t>三</w:t>
      </w:r>
      <w:r>
        <w:rPr>
          <w:rFonts w:hint="eastAsia" w:ascii="宋体" w:hAnsi="宋体"/>
          <w:sz w:val="24"/>
          <w:szCs w:val="24"/>
          <w:lang w:val="zh-CN"/>
        </w:rPr>
        <w:t>、</w:t>
      </w:r>
      <w:r>
        <w:rPr>
          <w:rFonts w:hint="eastAsia" w:ascii="宋体" w:hAnsi="宋体"/>
          <w:sz w:val="24"/>
          <w:szCs w:val="24"/>
          <w:lang w:val="en-US" w:eastAsia="zh-CN"/>
        </w:rPr>
        <w:t>其他需要说明的情况</w:t>
      </w:r>
    </w:p>
    <w:p w14:paraId="7933384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0CE687C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15BAEEC8">
      <w:pPr>
        <w:spacing w:before="100" w:beforeLines="0" w:after="100" w:afterLines="0"/>
        <w:jc w:val="center"/>
        <w:rPr>
          <w:rFonts w:hint="eastAsia" w:ascii="宋体" w:hAnsi="宋体"/>
          <w:sz w:val="24"/>
          <w:szCs w:val="24"/>
          <w:lang w:val="zh-CN"/>
        </w:rPr>
      </w:pPr>
    </w:p>
    <w:p w14:paraId="0A11E683">
      <w:pPr>
        <w:spacing w:before="100" w:beforeLines="0" w:after="100" w:afterLines="0"/>
        <w:jc w:val="center"/>
        <w:rPr>
          <w:rFonts w:hint="eastAsia" w:ascii="宋体" w:hAnsi="宋体"/>
          <w:sz w:val="24"/>
          <w:szCs w:val="24"/>
          <w:lang w:val="zh-CN"/>
        </w:rPr>
      </w:pPr>
    </w:p>
    <w:p w14:paraId="30B709DA">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5982103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1AECD250">
      <w:pPr>
        <w:spacing w:before="100" w:beforeLines="0" w:after="100" w:afterLines="0"/>
        <w:ind w:firstLine="480" w:firstLineChars="20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天祝县法院作为国家的审判机关,其主要职责是化解社会矛盾,创新社会管理,公共廉洁执法,以维护社会稳定为目标,依法独立行使审判权,充分发挥审判职能,积极化解社会矛盾,确保公共廉洁执法,维护人民群众的合法权益,为加快地方经济发展做好服务。</w:t>
      </w:r>
    </w:p>
    <w:p w14:paraId="7649F47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661E35BC">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eastAsia="宋体" w:cs="宋体"/>
          <w:kern w:val="0"/>
          <w:sz w:val="24"/>
          <w:szCs w:val="24"/>
          <w:shd w:val="clear" w:fill="FFFFFF"/>
        </w:rPr>
        <w:t>机关内设机构13个，包括：立案庭(诉讼服务中心),刑事审判庭,民事审判庭,行政审判庭(综合审判庭),执行庭(局),审判管理办公室(研究室),综合办公室(司法警察大队),政治部（机关党委），打柴沟人民法庭,松山人民法庭,安远人民法庭,哈溪人民法庭,炭山岭人民法庭。</w:t>
      </w:r>
    </w:p>
    <w:p w14:paraId="7D16D774">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D7296F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7B5E402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6E9217F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08A2D15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75166C8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2C8E50E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0D73933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18D7B99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204E500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4F4192C9">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1B3085F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2751C3BC">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2927.45万元。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减少466.85万元,下降13.75%,主要原因是</w:t>
      </w:r>
      <w:r>
        <w:rPr>
          <w:rFonts w:hint="eastAsia" w:ascii="宋体" w:hAnsi="宋体" w:eastAsia="宋体" w:cs="宋体"/>
          <w:color w:val="auto"/>
          <w:kern w:val="0"/>
          <w:sz w:val="24"/>
          <w:szCs w:val="24"/>
          <w:shd w:val="clear" w:fill="FFFFFF"/>
        </w:rPr>
        <w:t>按照上</w:t>
      </w:r>
      <w:r>
        <w:rPr>
          <w:rFonts w:hint="eastAsia" w:ascii="宋体" w:hAnsi="宋体" w:eastAsia="宋体" w:cs="宋体"/>
          <w:kern w:val="0"/>
          <w:sz w:val="24"/>
          <w:szCs w:val="24"/>
          <w:shd w:val="clear" w:fill="FFFFFF"/>
        </w:rPr>
        <w:t>级部门过紧日子的要求，压减了各项经费支出。详见《收入支出决算总表》</w:t>
      </w:r>
    </w:p>
    <w:p w14:paraId="2B9D9E4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27CB97D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2023年度收入合计2882.95万元,其中：财政拨款收入2705.73万元,占93.85%；</w:t>
      </w:r>
      <w:r>
        <w:rPr>
          <w:rFonts w:hint="eastAsia" w:ascii="宋体" w:hAnsi="宋体"/>
          <w:color w:val="auto"/>
          <w:sz w:val="24"/>
          <w:szCs w:val="24"/>
          <w:lang w:val="en-US"/>
        </w:rPr>
        <w:t>其他</w:t>
      </w:r>
      <w:r>
        <w:rPr>
          <w:rFonts w:hint="eastAsia" w:ascii="宋体" w:hAnsi="宋体"/>
          <w:color w:val="auto"/>
          <w:sz w:val="24"/>
          <w:szCs w:val="24"/>
          <w:lang w:val="zh-CN"/>
        </w:rPr>
        <w:t>收入177.22万元,占6.15%；</w:t>
      </w:r>
    </w:p>
    <w:p w14:paraId="091770C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3F669A2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2023年度支出合计2923.26万元,其中：基本支出2155.95万元,占73.75%；项目支出767.31万元,占26.25%。</w:t>
      </w:r>
    </w:p>
    <w:p w14:paraId="38C49E1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18C509B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2750.23万元。与</w:t>
      </w:r>
      <w:r>
        <w:rPr>
          <w:rFonts w:hint="eastAsia" w:ascii="宋体" w:hAnsi="宋体"/>
          <w:color w:val="auto"/>
          <w:sz w:val="24"/>
          <w:szCs w:val="24"/>
          <w:lang w:val="en-US"/>
        </w:rPr>
        <w:t>上</w:t>
      </w:r>
      <w:r>
        <w:rPr>
          <w:rFonts w:hint="eastAsia" w:ascii="宋体" w:hAnsi="宋体"/>
          <w:color w:val="auto"/>
          <w:sz w:val="24"/>
          <w:szCs w:val="24"/>
          <w:lang w:val="zh-CN"/>
        </w:rPr>
        <w:t>年相比,各减少498.7万元,下降15.35%。主要原因是</w:t>
      </w:r>
      <w:r>
        <w:rPr>
          <w:rFonts w:hint="eastAsia" w:ascii="宋体" w:hAnsi="宋体" w:eastAsia="宋体" w:cs="宋体"/>
          <w:color w:val="auto"/>
          <w:kern w:val="0"/>
          <w:sz w:val="24"/>
          <w:szCs w:val="24"/>
          <w:shd w:val="clear" w:fill="FFFFFF"/>
        </w:rPr>
        <w:t>按照上级部门过紧日子的要求，压减了各项经费支出</w:t>
      </w:r>
      <w:r>
        <w:rPr>
          <w:rFonts w:hint="eastAsia" w:ascii="宋体" w:hAnsi="宋体"/>
          <w:color w:val="auto"/>
          <w:sz w:val="24"/>
          <w:szCs w:val="24"/>
          <w:lang w:val="zh-CN"/>
        </w:rPr>
        <w:t>。</w:t>
      </w:r>
    </w:p>
    <w:p w14:paraId="79BDB41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09251BB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7EE314F4">
      <w:pPr>
        <w:spacing w:before="100" w:beforeLines="0" w:after="100" w:afterLines="0"/>
        <w:jc w:val="left"/>
        <w:rPr>
          <w:rFonts w:hint="eastAsia" w:ascii="宋体" w:hAnsi="宋体" w:eastAsia="宋体"/>
          <w:color w:val="FF0000"/>
          <w:sz w:val="24"/>
          <w:szCs w:val="24"/>
          <w:lang w:val="zh-CN" w:eastAsia="zh-CN"/>
        </w:rPr>
      </w:pPr>
      <w:r>
        <w:rPr>
          <w:rFonts w:hint="eastAsia" w:ascii="宋体" w:hAnsi="宋体"/>
          <w:color w:val="auto"/>
          <w:sz w:val="24"/>
          <w:szCs w:val="24"/>
          <w:lang w:val="zh-CN"/>
        </w:rPr>
        <w:t>2023年度一般公共预算财政拨款支出2746.04万元,较上年决算数减少455.1万元,下降14.22%。主要原因是</w:t>
      </w:r>
      <w:r>
        <w:rPr>
          <w:rFonts w:hint="eastAsia" w:ascii="宋体" w:hAnsi="宋体" w:eastAsia="宋体" w:cs="宋体"/>
          <w:color w:val="auto"/>
          <w:kern w:val="0"/>
          <w:sz w:val="24"/>
          <w:szCs w:val="24"/>
          <w:shd w:val="clear" w:fill="FFFFFF"/>
        </w:rPr>
        <w:t>按照上</w:t>
      </w:r>
      <w:r>
        <w:rPr>
          <w:rFonts w:hint="eastAsia" w:ascii="宋体" w:hAnsi="宋体" w:eastAsia="宋体" w:cs="宋体"/>
          <w:kern w:val="0"/>
          <w:sz w:val="24"/>
          <w:szCs w:val="24"/>
          <w:shd w:val="clear" w:fill="FFFFFF"/>
        </w:rPr>
        <w:t>级部门过紧日子的要求，压减了各项经费支出</w:t>
      </w:r>
      <w:r>
        <w:rPr>
          <w:rFonts w:hint="eastAsia" w:ascii="宋体" w:hAnsi="宋体" w:cs="宋体"/>
          <w:kern w:val="0"/>
          <w:sz w:val="24"/>
          <w:szCs w:val="24"/>
          <w:shd w:val="clear" w:fill="FFFFFF"/>
          <w:lang w:eastAsia="zh-CN"/>
        </w:rPr>
        <w:t>。</w:t>
      </w:r>
    </w:p>
    <w:p w14:paraId="4771A624">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4FE89535">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2746.04万元，主要用于以下方面：公共安全支出2327.25万元,占84.75%；社会保障和就业支出162.61万元,占5.92%；卫生健康支出108.33万元,占3.94%；住房保障支出147.85万元,占5.38%。</w:t>
      </w:r>
    </w:p>
    <w:p w14:paraId="01E944FD">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37B5E7B2">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2389.05万元,支出决算为2746.04万元,完成年初预算的114.94%。其中：</w:t>
      </w:r>
    </w:p>
    <w:p w14:paraId="2E0D8737">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1</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年初预算数为1970.26万元,支出决算为2327.25万元,完成年初预算的118.12%,决算数大于预算数的主要原因是</w:t>
      </w:r>
      <w:r>
        <w:rPr>
          <w:rFonts w:hint="eastAsia" w:ascii="宋体" w:hAnsi="宋体" w:eastAsia="宋体" w:cs="宋体"/>
          <w:color w:val="auto"/>
          <w:kern w:val="0"/>
          <w:sz w:val="24"/>
          <w:szCs w:val="24"/>
          <w:shd w:val="clear" w:fill="FFFFFF"/>
        </w:rPr>
        <w:t>年</w:t>
      </w:r>
      <w:r>
        <w:rPr>
          <w:rFonts w:hint="eastAsia" w:ascii="宋体" w:hAnsi="宋体" w:eastAsia="宋体" w:cs="宋体"/>
          <w:kern w:val="0"/>
          <w:sz w:val="24"/>
          <w:szCs w:val="24"/>
          <w:shd w:val="clear" w:fill="FFFFFF"/>
        </w:rPr>
        <w:t>内追加了法院业务经费、法庭运行费及法庭维修经费的支出</w:t>
      </w:r>
      <w:r>
        <w:rPr>
          <w:rFonts w:hint="eastAsia" w:ascii="宋体" w:hAnsi="宋体" w:eastAsia="宋体" w:cs="宋体"/>
          <w:color w:val="auto"/>
          <w:kern w:val="0"/>
          <w:sz w:val="24"/>
          <w:szCs w:val="24"/>
          <w:shd w:val="clear" w:fill="FFFFFF"/>
        </w:rPr>
        <w:t>，以及</w:t>
      </w:r>
      <w:r>
        <w:rPr>
          <w:rFonts w:hint="eastAsia" w:ascii="宋体" w:hAnsi="宋体"/>
          <w:color w:val="auto"/>
          <w:sz w:val="24"/>
          <w:szCs w:val="24"/>
          <w:lang w:val="en-US" w:eastAsia="zh-CN"/>
        </w:rPr>
        <w:t>审判法庭信息化</w:t>
      </w:r>
      <w:r>
        <w:rPr>
          <w:rFonts w:hint="eastAsia" w:ascii="宋体" w:hAnsi="宋体" w:eastAsia="宋体" w:cs="宋体"/>
          <w:color w:val="auto"/>
          <w:kern w:val="0"/>
          <w:sz w:val="24"/>
          <w:szCs w:val="24"/>
          <w:shd w:val="clear" w:fill="FFFFFF"/>
        </w:rPr>
        <w:t>项目的支出</w:t>
      </w:r>
      <w:r>
        <w:rPr>
          <w:rFonts w:hint="eastAsia" w:ascii="宋体" w:hAnsi="宋体"/>
          <w:color w:val="auto"/>
          <w:sz w:val="24"/>
          <w:szCs w:val="24"/>
          <w:lang w:val="zh-CN"/>
        </w:rPr>
        <w:t>。</w:t>
      </w:r>
    </w:p>
    <w:p w14:paraId="177F8CBA">
      <w:pPr>
        <w:spacing w:before="100" w:beforeLines="0" w:after="100" w:afterLines="0"/>
        <w:ind w:firstLine="482" w:firstLineChars="20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年初预算数为162.61万元,支出决算为162.61万元,完成年初预算的100.0%。</w:t>
      </w:r>
    </w:p>
    <w:p w14:paraId="43B887B2">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年初预算数为108.33万元,支出决算为108.33万元,完成年初预算的100.0%。</w:t>
      </w:r>
    </w:p>
    <w:p w14:paraId="70003056">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年初预算数为147.85万元,支出决算为147.85万元,完成年初预算的100.0%。</w:t>
      </w:r>
    </w:p>
    <w:p w14:paraId="7D723B4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CD0B4A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2023年度一般公共预算财政拨款基本支出1978.73万元。其中：</w:t>
      </w:r>
    </w:p>
    <w:p w14:paraId="26512E38">
      <w:pPr>
        <w:spacing w:before="100" w:beforeLines="0" w:after="100" w:afterLines="0"/>
        <w:jc w:val="left"/>
        <w:rPr>
          <w:rFonts w:hint="eastAsia" w:ascii="宋体" w:hAnsi="宋体" w:eastAsia="宋体"/>
          <w:color w:val="auto"/>
          <w:sz w:val="24"/>
          <w:szCs w:val="24"/>
          <w:lang w:val="zh-CN"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1748.10万元,较上年决算数增加117.48万元,增长7.2%,主要原因是</w:t>
      </w:r>
      <w:r>
        <w:rPr>
          <w:rFonts w:hint="eastAsia" w:ascii="宋体" w:hAnsi="宋体"/>
          <w:color w:val="auto"/>
          <w:sz w:val="24"/>
          <w:szCs w:val="24"/>
          <w:lang w:val="en-US" w:eastAsia="zh-CN"/>
        </w:rPr>
        <w:t>年内人员增加，工资待遇增加</w:t>
      </w:r>
      <w:r>
        <w:rPr>
          <w:rFonts w:hint="eastAsia" w:ascii="宋体" w:hAnsi="宋体"/>
          <w:color w:val="auto"/>
          <w:sz w:val="24"/>
          <w:szCs w:val="24"/>
          <w:lang w:val="zh-CN"/>
        </w:rPr>
        <w:t>。人员经费用途主要包括</w:t>
      </w:r>
      <w:r>
        <w:rPr>
          <w:rFonts w:hint="eastAsia" w:ascii="宋体" w:hAnsi="宋体" w:eastAsia="宋体" w:cs="宋体"/>
          <w:color w:val="auto"/>
          <w:kern w:val="0"/>
          <w:sz w:val="24"/>
          <w:szCs w:val="24"/>
          <w:shd w:val="clear" w:fill="FFFFFF"/>
        </w:rPr>
        <w:t>基本工资、津贴补贴、奖金、社会保障缴费、住房公积金及其他工资福利支出</w:t>
      </w:r>
      <w:r>
        <w:rPr>
          <w:rFonts w:hint="eastAsia" w:ascii="宋体" w:hAnsi="宋体" w:eastAsia="宋体" w:cs="宋体"/>
          <w:color w:val="auto"/>
          <w:kern w:val="0"/>
          <w:sz w:val="24"/>
          <w:szCs w:val="24"/>
          <w:shd w:val="clear" w:fill="FFFFFF"/>
          <w:lang w:eastAsia="zh-CN"/>
        </w:rPr>
        <w:t>。</w:t>
      </w:r>
    </w:p>
    <w:p w14:paraId="49BE3D2C">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230.63万元,较上年决算数增加61.75万元,增长36.57%,主要原因是</w:t>
      </w:r>
      <w:r>
        <w:rPr>
          <w:rFonts w:hint="eastAsia" w:ascii="宋体" w:hAnsi="宋体"/>
          <w:color w:val="auto"/>
          <w:sz w:val="24"/>
          <w:szCs w:val="24"/>
          <w:lang w:val="en-US" w:eastAsia="zh-CN"/>
        </w:rPr>
        <w:t>审判案件数量增加</w:t>
      </w:r>
      <w:r>
        <w:rPr>
          <w:rFonts w:hint="eastAsia" w:ascii="宋体" w:hAnsi="宋体"/>
          <w:color w:val="auto"/>
          <w:sz w:val="24"/>
          <w:szCs w:val="24"/>
          <w:lang w:val="zh-CN"/>
        </w:rPr>
        <w:t>。公用经费用途主要包括</w:t>
      </w:r>
      <w:r>
        <w:rPr>
          <w:rFonts w:hint="eastAsia" w:ascii="宋体" w:hAnsi="宋体" w:eastAsia="宋体" w:cstheme="minorBidi"/>
          <w:color w:val="auto"/>
          <w:kern w:val="2"/>
          <w:sz w:val="24"/>
          <w:szCs w:val="24"/>
          <w:lang w:val="zh-CN"/>
        </w:rPr>
        <w:t>办公费、印刷费、手续费、水费、电费、邮电费、取暖费、差旅费、维修（护）费、培训费、公务接待费、劳务费、公务用车运行维护费及其他交通费等。详见《一般公共预算财政拨款基本支出决算表》</w:t>
      </w:r>
    </w:p>
    <w:p w14:paraId="4AC94FF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5881E6E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4685893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47D6A84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0388922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5A5BED5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349DA12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预算数为57.23万元,支出决算为47.79万元,决算数小于预算数的主要原因是按照上级部门过紧日子的要求，压减了经费支出,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增加21.23</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增长79.92</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购置了车辆，案件数量增加</w:t>
      </w:r>
      <w:r>
        <w:rPr>
          <w:rFonts w:hint="eastAsia" w:ascii="宋体" w:hAnsi="宋体"/>
          <w:color w:val="auto"/>
          <w:sz w:val="24"/>
          <w:szCs w:val="24"/>
          <w:lang w:val="zh-CN"/>
        </w:rPr>
        <w:t>。</w:t>
      </w:r>
    </w:p>
    <w:p w14:paraId="0AB877D3">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4AD08D73">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w:t>
      </w:r>
      <w:r>
        <w:rPr>
          <w:rFonts w:hint="eastAsia" w:ascii="宋体" w:hAnsi="宋体"/>
          <w:color w:val="auto"/>
          <w:sz w:val="24"/>
          <w:szCs w:val="24"/>
          <w:lang w:val="en-US" w:eastAsia="zh-CN"/>
        </w:rPr>
        <w:t>等</w:t>
      </w:r>
      <w:r>
        <w:rPr>
          <w:rFonts w:hint="eastAsia" w:ascii="宋体" w:hAnsi="宋体"/>
          <w:color w:val="auto"/>
          <w:sz w:val="24"/>
          <w:szCs w:val="24"/>
          <w:lang w:val="zh-CN"/>
        </w:rPr>
        <w:t>于预算数的主要原因是</w:t>
      </w:r>
      <w:r>
        <w:rPr>
          <w:rFonts w:hint="eastAsia" w:ascii="宋体" w:hAnsi="宋体" w:eastAsia="宋体" w:cs="宋体"/>
          <w:color w:val="auto"/>
          <w:kern w:val="0"/>
          <w:sz w:val="24"/>
          <w:szCs w:val="24"/>
          <w:shd w:val="clear" w:fill="FFFFFF"/>
        </w:rPr>
        <w:t>无因公出国费用</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eastAsia="宋体" w:cs="宋体"/>
          <w:color w:val="auto"/>
          <w:kern w:val="0"/>
          <w:sz w:val="24"/>
          <w:szCs w:val="24"/>
          <w:shd w:val="clear" w:fill="FFFFFF"/>
        </w:rPr>
        <w:t>无因公出国费用</w:t>
      </w:r>
      <w:r>
        <w:rPr>
          <w:rFonts w:hint="eastAsia" w:ascii="宋体" w:hAnsi="宋体"/>
          <w:color w:val="auto"/>
          <w:sz w:val="24"/>
          <w:szCs w:val="24"/>
          <w:lang w:val="zh-CN"/>
        </w:rPr>
        <w:t>。</w:t>
      </w:r>
    </w:p>
    <w:p w14:paraId="0ECD6E64">
      <w:pPr>
        <w:spacing w:before="100" w:beforeLines="0" w:after="100" w:afterLines="0"/>
        <w:jc w:val="left"/>
        <w:rPr>
          <w:rFonts w:hint="eastAsia" w:ascii="宋体" w:hAnsi="宋体"/>
          <w:color w:val="auto"/>
          <w:sz w:val="24"/>
          <w:szCs w:val="24"/>
          <w:lang w:val="en-US"/>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预算数为53.00万元,支出决算为46.99万元,决算数小于预算数的主要原因是按照上级部门过紧日子的要求，压减了经费支出,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增加22.24</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增长89.86</w:t>
      </w:r>
      <w:r>
        <w:rPr>
          <w:rFonts w:hint="eastAsia" w:ascii="宋体" w:hAnsi="宋体"/>
          <w:color w:val="auto"/>
          <w:sz w:val="24"/>
          <w:szCs w:val="24"/>
          <w:lang w:val="zh-CN"/>
        </w:rPr>
        <w:t>%</w:t>
      </w:r>
      <w:r>
        <w:rPr>
          <w:rFonts w:hint="eastAsia" w:ascii="宋体" w:hAnsi="宋体"/>
          <w:color w:val="auto"/>
          <w:sz w:val="24"/>
          <w:szCs w:val="24"/>
          <w:lang w:val="en-US"/>
        </w:rPr>
        <w:t>,主要原因是购置了车辆，案件数量增加。</w:t>
      </w:r>
    </w:p>
    <w:p w14:paraId="29CEEC7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预算数为25.00万元,支出决算为20.81万元,决算数小于预算数的主要原因是</w:t>
      </w:r>
      <w:r>
        <w:rPr>
          <w:rFonts w:hint="eastAsia" w:ascii="宋体" w:hAnsi="宋体"/>
          <w:color w:val="auto"/>
          <w:sz w:val="24"/>
          <w:szCs w:val="24"/>
          <w:lang w:val="en-US" w:eastAsia="zh-CN"/>
        </w:rPr>
        <w:t>为了节省开支，购置合适车辆</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增加20.81</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增长100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购置了车辆</w:t>
      </w:r>
      <w:r>
        <w:rPr>
          <w:rFonts w:hint="eastAsia" w:ascii="宋体" w:hAnsi="宋体"/>
          <w:color w:val="auto"/>
          <w:sz w:val="24"/>
          <w:szCs w:val="24"/>
          <w:lang w:val="zh-CN"/>
        </w:rPr>
        <w:t>。</w:t>
      </w:r>
    </w:p>
    <w:p w14:paraId="48DA8DE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预算数为28.00万元,支出决算为26.18万元,决算数小于预算数的主要原因是按照上级部门过紧日子的要求，压减了经费支出,</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增加1.43</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增长5.77</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案件数量增多</w:t>
      </w:r>
      <w:r>
        <w:rPr>
          <w:rFonts w:hint="eastAsia" w:ascii="宋体" w:hAnsi="宋体"/>
          <w:color w:val="auto"/>
          <w:sz w:val="24"/>
          <w:szCs w:val="24"/>
          <w:lang w:val="zh-CN"/>
        </w:rPr>
        <w:t>。</w:t>
      </w:r>
    </w:p>
    <w:p w14:paraId="5595B007">
      <w:pPr>
        <w:numPr>
          <w:ilvl w:val="0"/>
          <w:numId w:val="3"/>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年预算数为4.23万元,支出决算为0.79万元,决算数小于预算数的主要原因是</w:t>
      </w:r>
      <w:r>
        <w:rPr>
          <w:rFonts w:hint="eastAsia" w:ascii="宋体" w:hAnsi="宋体" w:eastAsia="宋体" w:cs="宋体"/>
          <w:color w:val="auto"/>
          <w:kern w:val="0"/>
          <w:sz w:val="24"/>
          <w:szCs w:val="24"/>
          <w:shd w:val="clear" w:fill="FFFFFF"/>
        </w:rPr>
        <w:t>按照上级部门过紧日子的要求，压减了经费支出</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减少1.02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下降56.17</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eastAsia="宋体" w:cs="宋体"/>
          <w:color w:val="auto"/>
          <w:kern w:val="0"/>
          <w:sz w:val="24"/>
          <w:szCs w:val="24"/>
          <w:shd w:val="clear" w:fill="FFFFFF"/>
        </w:rPr>
        <w:t>按照上级部门过紧日子的要求，压减了经费支出</w:t>
      </w:r>
      <w:r>
        <w:rPr>
          <w:rFonts w:hint="eastAsia" w:ascii="宋体" w:hAnsi="宋体"/>
          <w:color w:val="auto"/>
          <w:sz w:val="24"/>
          <w:szCs w:val="24"/>
          <w:lang w:val="zh-CN"/>
        </w:rPr>
        <w:t>。</w:t>
      </w:r>
    </w:p>
    <w:p w14:paraId="29C22A17">
      <w:pPr>
        <w:numPr>
          <w:ilvl w:val="0"/>
          <w:numId w:val="0"/>
        </w:num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外事接待费支出0.00万元。主要是</w:t>
      </w:r>
      <w:r>
        <w:rPr>
          <w:rFonts w:hint="eastAsia" w:ascii="宋体" w:hAnsi="宋体"/>
          <w:color w:val="auto"/>
          <w:sz w:val="24"/>
          <w:szCs w:val="24"/>
          <w:lang w:val="en-US" w:eastAsia="zh-CN"/>
        </w:rPr>
        <w:t>无外事接待</w:t>
      </w:r>
      <w:r>
        <w:rPr>
          <w:rFonts w:hint="eastAsia" w:ascii="宋体" w:hAnsi="宋体"/>
          <w:color w:val="auto"/>
          <w:sz w:val="24"/>
          <w:szCs w:val="24"/>
          <w:lang w:val="zh-CN"/>
        </w:rPr>
        <w:t>。</w:t>
      </w:r>
    </w:p>
    <w:p w14:paraId="038BF3EC">
      <w:pPr>
        <w:numPr>
          <w:ilvl w:val="0"/>
          <w:numId w:val="0"/>
        </w:num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en-US" w:eastAsia="zh-CN"/>
        </w:rPr>
        <w:t>其他国内公务接待支出0.79</w:t>
      </w:r>
      <w:r>
        <w:rPr>
          <w:rFonts w:hint="eastAsia" w:ascii="宋体" w:hAnsi="宋体"/>
          <w:color w:val="auto"/>
          <w:sz w:val="24"/>
          <w:szCs w:val="24"/>
          <w:lang w:val="zh-CN"/>
        </w:rPr>
        <w:t>万元。主要是我院接待上级部门调研、督导等事项支出</w:t>
      </w:r>
      <w:bookmarkStart w:id="0" w:name="_GoBack"/>
      <w:bookmarkEnd w:id="0"/>
      <w:r>
        <w:rPr>
          <w:rFonts w:hint="eastAsia" w:ascii="宋体" w:hAnsi="宋体"/>
          <w:color w:val="auto"/>
          <w:sz w:val="24"/>
          <w:szCs w:val="24"/>
          <w:lang w:val="zh-CN"/>
        </w:rPr>
        <w:t>。</w:t>
      </w:r>
    </w:p>
    <w:p w14:paraId="320D388D">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48EDD65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w:t>
      </w:r>
      <w:r>
        <w:rPr>
          <w:rFonts w:hint="eastAsia" w:ascii="宋体" w:hAnsi="宋体"/>
          <w:color w:val="auto"/>
          <w:sz w:val="24"/>
          <w:szCs w:val="24"/>
          <w:lang w:val="en-US" w:eastAsia="zh-CN"/>
        </w:rPr>
        <w:t>0</w:t>
      </w:r>
      <w:r>
        <w:rPr>
          <w:rFonts w:hint="eastAsia" w:ascii="宋体" w:hAnsi="宋体"/>
          <w:color w:val="auto"/>
          <w:sz w:val="24"/>
          <w:szCs w:val="24"/>
          <w:lang w:val="zh-CN"/>
        </w:rPr>
        <w:t>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color w:val="auto"/>
          <w:sz w:val="24"/>
          <w:szCs w:val="24"/>
          <w:lang w:val="zh-CN"/>
        </w:rPr>
        <w:t>1辆,</w:t>
      </w:r>
      <w:r>
        <w:rPr>
          <w:rFonts w:hint="eastAsia" w:ascii="宋体" w:hAnsi="宋体"/>
          <w:b/>
          <w:color w:val="auto"/>
          <w:sz w:val="24"/>
          <w:szCs w:val="24"/>
          <w:lang w:val="zh-CN"/>
        </w:rPr>
        <w:t>公务用车保有量</w:t>
      </w:r>
      <w:r>
        <w:rPr>
          <w:rFonts w:hint="eastAsia" w:ascii="宋体" w:hAnsi="宋体"/>
          <w:color w:val="auto"/>
          <w:sz w:val="24"/>
          <w:szCs w:val="24"/>
          <w:lang w:val="zh-CN"/>
        </w:rPr>
        <w:t>为9辆；</w:t>
      </w:r>
      <w:r>
        <w:rPr>
          <w:rFonts w:hint="eastAsia" w:ascii="宋体" w:hAnsi="宋体"/>
          <w:b/>
          <w:color w:val="auto"/>
          <w:sz w:val="24"/>
          <w:szCs w:val="24"/>
          <w:lang w:val="zh-CN"/>
        </w:rPr>
        <w:t>国内公务接待</w:t>
      </w:r>
      <w:r>
        <w:rPr>
          <w:rFonts w:hint="eastAsia" w:ascii="宋体" w:hAnsi="宋体"/>
          <w:color w:val="auto"/>
          <w:sz w:val="24"/>
          <w:szCs w:val="24"/>
          <w:lang w:val="zh-CN"/>
        </w:rPr>
        <w:t>23批次82人,其中：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6FC6177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5850B82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2023年度本部门机关运行经费支出230.63万元,机关运行经费主要用于开支</w:t>
      </w:r>
      <w:r>
        <w:rPr>
          <w:rFonts w:hint="eastAsia" w:ascii="宋体" w:hAnsi="宋体" w:eastAsia="宋体" w:cstheme="minorBidi"/>
          <w:color w:val="auto"/>
          <w:kern w:val="2"/>
          <w:sz w:val="24"/>
          <w:szCs w:val="24"/>
          <w:lang w:val="zh-CN"/>
        </w:rPr>
        <w:t>办公费、印刷费、手续费、水费、电费、邮电费、取暖费、差旅费、维修（护）费、培训费、公务接待费、劳务费、公务用车运行维护费及其他交通费等</w:t>
      </w:r>
      <w:r>
        <w:rPr>
          <w:rFonts w:hint="eastAsia" w:ascii="宋体" w:hAnsi="宋体"/>
          <w:color w:val="auto"/>
          <w:sz w:val="24"/>
          <w:szCs w:val="24"/>
          <w:lang w:val="zh-CN"/>
        </w:rPr>
        <w:t>。机关运行经费较上年决算数增加61.75万元,增长36.56%,主要原因是资产运行维护支出增加，信息系统运行维护支出增加，人员数量增加。</w:t>
      </w:r>
    </w:p>
    <w:p w14:paraId="5301D0E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本年度会议费支出0.00万元,较上年决算数减少0.0万元,下降%,主要原因是</w:t>
      </w:r>
      <w:r>
        <w:rPr>
          <w:rFonts w:hint="eastAsia" w:ascii="宋体" w:hAnsi="宋体"/>
          <w:color w:val="auto"/>
          <w:sz w:val="24"/>
          <w:szCs w:val="24"/>
          <w:lang w:val="en-US" w:eastAsia="zh-CN"/>
        </w:rPr>
        <w:t>我单位无会议举行</w:t>
      </w:r>
      <w:r>
        <w:rPr>
          <w:rFonts w:hint="eastAsia" w:ascii="宋体" w:hAnsi="宋体"/>
          <w:color w:val="auto"/>
          <w:sz w:val="24"/>
          <w:szCs w:val="24"/>
          <w:lang w:val="zh-CN"/>
        </w:rPr>
        <w:t>。本年度培训费支出10.11万元,较上年决算数增加9.39万元,增长1304.17%,主要原因是</w:t>
      </w:r>
      <w:r>
        <w:rPr>
          <w:rFonts w:hint="eastAsia" w:ascii="宋体" w:hAnsi="宋体"/>
          <w:color w:val="auto"/>
          <w:sz w:val="24"/>
          <w:szCs w:val="24"/>
          <w:lang w:val="en-US" w:eastAsia="zh-CN"/>
        </w:rPr>
        <w:t>培训增多</w:t>
      </w:r>
      <w:r>
        <w:rPr>
          <w:rFonts w:hint="eastAsia" w:ascii="宋体" w:hAnsi="宋体"/>
          <w:color w:val="auto"/>
          <w:sz w:val="24"/>
          <w:szCs w:val="24"/>
          <w:lang w:val="zh-CN"/>
        </w:rPr>
        <w:t>。</w:t>
      </w:r>
    </w:p>
    <w:p w14:paraId="5E81D30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31AD457C">
      <w:pPr>
        <w:spacing w:before="100" w:beforeLines="0" w:after="100" w:afterLines="0"/>
        <w:jc w:val="left"/>
        <w:rPr>
          <w:rFonts w:hint="eastAsia" w:ascii="宋体" w:hAnsi="宋体" w:eastAsia="宋体" w:cstheme="minorBidi"/>
          <w:color w:val="auto"/>
          <w:kern w:val="2"/>
          <w:sz w:val="24"/>
          <w:szCs w:val="24"/>
          <w:lang w:val="en-US" w:eastAsia="zh-CN"/>
        </w:rPr>
      </w:pPr>
      <w:r>
        <w:rPr>
          <w:rFonts w:hint="eastAsia" w:ascii="宋体" w:hAnsi="宋体" w:eastAsia="宋体" w:cstheme="minorBidi"/>
          <w:color w:val="auto"/>
          <w:kern w:val="2"/>
          <w:sz w:val="24"/>
          <w:szCs w:val="24"/>
          <w:lang w:val="en-US" w:eastAsia="zh-CN"/>
        </w:rPr>
        <w:t>2023年度本部门政府采购支出合计439万元,其中：政府采购货物支出57.5万元、政府采购工程支出352.5万元、政府采购服务支出29万元。授予中小企业合同金额439万元,占政府采购支出总额的100.00%,其中：授予小微企业合同金额439万元,占政府采购支出总额的100.00%。</w:t>
      </w:r>
    </w:p>
    <w:p w14:paraId="3CBB4C7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11C393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9辆,其中,副部(省)级及以上领导用车0辆、主要领导干部用车0辆、机要通信用车0辆、应急保障用车0辆、执法执勤用车9辆,特种专业技术用车0辆,离退休干部用车0辆,其他用车0辆,其他用车主要是用于执法办案，审判工作。单价100万元(含)以上设备0台(套)。</w:t>
      </w:r>
    </w:p>
    <w:p w14:paraId="71F0AB7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7CE36BA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0FA64784">
      <w:pPr>
        <w:spacing w:before="100" w:beforeLines="0" w:after="100" w:afterLines="0"/>
        <w:jc w:val="left"/>
        <w:rPr>
          <w:rFonts w:hint="eastAsia" w:ascii="宋体" w:hAnsi="宋体"/>
          <w:color w:val="FF0000"/>
          <w:sz w:val="24"/>
          <w:szCs w:val="24"/>
          <w:lang w:val="zh-CN"/>
        </w:rPr>
      </w:pPr>
    </w:p>
    <w:p w14:paraId="783A3E4D">
      <w:pPr>
        <w:spacing w:before="100" w:beforeLines="0" w:after="100" w:afterLines="0"/>
        <w:jc w:val="left"/>
        <w:rPr>
          <w:rFonts w:hint="eastAsia" w:ascii="宋体" w:hAnsi="宋体"/>
          <w:color w:val="auto"/>
          <w:sz w:val="24"/>
          <w:szCs w:val="24"/>
          <w:lang w:val="zh-CN"/>
        </w:rPr>
      </w:pPr>
    </w:p>
    <w:p w14:paraId="22F4025B">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4D32BFE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366D56BA">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kern w:val="0"/>
          <w:sz w:val="24"/>
          <w:szCs w:val="24"/>
          <w:lang w:val="en-US"/>
        </w:rPr>
        <w:t>根据预算绩效管理要求,本部门对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年度一般公共预算项目支出全面开展绩效自评,二级项目</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rPr>
        <w:t>个,共涉及资金</w:t>
      </w:r>
      <w:r>
        <w:rPr>
          <w:rFonts w:hint="eastAsia" w:ascii="宋体" w:hAnsi="宋体" w:cs="宋体"/>
          <w:color w:val="auto"/>
          <w:kern w:val="0"/>
          <w:sz w:val="24"/>
          <w:szCs w:val="24"/>
          <w:lang w:val="en-US" w:eastAsia="zh-CN"/>
        </w:rPr>
        <w:t>197</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,占一般公共预算项目支出总额的</w:t>
      </w:r>
      <w:r>
        <w:rPr>
          <w:rFonts w:hint="eastAsia" w:ascii="宋体" w:hAnsi="宋体" w:cs="宋体"/>
          <w:color w:val="auto"/>
          <w:kern w:val="0"/>
          <w:sz w:val="24"/>
          <w:szCs w:val="24"/>
          <w:lang w:val="en-US" w:eastAsia="zh-CN"/>
        </w:rPr>
        <w:t>27.09</w:t>
      </w:r>
      <w:r>
        <w:rPr>
          <w:rFonts w:hint="eastAsia" w:ascii="宋体" w:hAnsi="宋体" w:eastAsia="宋体" w:cs="宋体"/>
          <w:color w:val="auto"/>
          <w:kern w:val="0"/>
          <w:sz w:val="24"/>
          <w:szCs w:val="24"/>
          <w:lang w:val="en-US"/>
        </w:rPr>
        <w:t>%。从评价情况来看,</w:t>
      </w:r>
      <w:r>
        <w:rPr>
          <w:rFonts w:hint="eastAsia" w:ascii="宋体" w:hAnsi="宋体" w:eastAsia="宋体" w:cs="宋体"/>
          <w:color w:val="auto"/>
          <w:kern w:val="0"/>
          <w:sz w:val="24"/>
          <w:szCs w:val="24"/>
          <w:shd w:val="clear" w:fill="FFFFFF"/>
        </w:rPr>
        <w:t>从评价情况来看，我院整体绩效评价结果为“优”。</w:t>
      </w:r>
    </w:p>
    <w:p w14:paraId="45DCA6A9">
      <w:pPr>
        <w:numPr>
          <w:ilvl w:val="0"/>
          <w:numId w:val="4"/>
        </w:num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绩效自评结果</w:t>
      </w:r>
    </w:p>
    <w:p w14:paraId="5C70B5F5">
      <w:pPr>
        <w:numPr>
          <w:ilvl w:val="0"/>
          <w:numId w:val="0"/>
        </w:numPr>
        <w:spacing w:before="100" w:beforeLines="0" w:after="100" w:afterLines="0"/>
        <w:ind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000000"/>
          <w:kern w:val="0"/>
          <w:sz w:val="24"/>
          <w:szCs w:val="24"/>
          <w:highlight w:val="none"/>
          <w:lang w:val="en-US"/>
        </w:rPr>
        <w:t>我部门</w:t>
      </w:r>
      <w:r>
        <w:rPr>
          <w:rFonts w:hint="eastAsia" w:ascii="宋体" w:hAnsi="宋体" w:eastAsia="宋体" w:cs="宋体"/>
          <w:color w:val="auto"/>
          <w:kern w:val="0"/>
          <w:sz w:val="24"/>
          <w:szCs w:val="24"/>
          <w:highlight w:val="none"/>
          <w:lang w:val="en-US"/>
        </w:rPr>
        <w:t>在</w:t>
      </w:r>
      <w:r>
        <w:rPr>
          <w:rFonts w:hint="eastAsia" w:ascii="宋体" w:hAnsi="宋体" w:eastAsia="宋体" w:cs="宋体"/>
          <w:color w:val="auto"/>
          <w:kern w:val="0"/>
          <w:sz w:val="24"/>
          <w:szCs w:val="24"/>
          <w:highlight w:val="none"/>
          <w:lang w:val="en-US" w:eastAsia="zh-CN"/>
        </w:rPr>
        <w:t>2023</w:t>
      </w:r>
      <w:r>
        <w:rPr>
          <w:rFonts w:hint="eastAsia" w:ascii="宋体" w:hAnsi="宋体" w:eastAsia="宋体" w:cs="宋体"/>
          <w:color w:val="auto"/>
          <w:kern w:val="0"/>
          <w:sz w:val="24"/>
          <w:szCs w:val="24"/>
          <w:highlight w:val="none"/>
          <w:lang w:val="en-US"/>
        </w:rPr>
        <w:t>年度部门决算中反映</w:t>
      </w:r>
      <w:r>
        <w:rPr>
          <w:rFonts w:hint="eastAsia" w:ascii="宋体" w:hAnsi="宋体" w:cs="宋体"/>
          <w:color w:val="auto"/>
          <w:kern w:val="0"/>
          <w:sz w:val="24"/>
          <w:szCs w:val="24"/>
          <w:highlight w:val="none"/>
          <w:lang w:val="en-US" w:eastAsia="zh-CN"/>
        </w:rPr>
        <w:t>全省法院业务费</w:t>
      </w:r>
      <w:r>
        <w:rPr>
          <w:rFonts w:hint="eastAsia" w:ascii="宋体" w:hAnsi="宋体" w:eastAsia="宋体" w:cs="宋体"/>
          <w:color w:val="auto"/>
          <w:kern w:val="0"/>
          <w:sz w:val="24"/>
          <w:szCs w:val="24"/>
          <w:highlight w:val="none"/>
          <w:lang w:val="en-US"/>
        </w:rPr>
        <w:t>、</w:t>
      </w:r>
      <w:r>
        <w:rPr>
          <w:rFonts w:hint="eastAsia" w:ascii="宋体" w:hAnsi="宋体" w:cs="宋体"/>
          <w:color w:val="auto"/>
          <w:kern w:val="0"/>
          <w:sz w:val="24"/>
          <w:szCs w:val="24"/>
          <w:highlight w:val="none"/>
          <w:lang w:val="en-US" w:eastAsia="zh-CN"/>
        </w:rPr>
        <w:t>法庭运维费</w:t>
      </w:r>
      <w:r>
        <w:rPr>
          <w:rFonts w:hint="eastAsia" w:ascii="宋体" w:hAnsi="宋体" w:eastAsia="宋体" w:cs="宋体"/>
          <w:color w:val="auto"/>
          <w:kern w:val="0"/>
          <w:sz w:val="24"/>
          <w:szCs w:val="24"/>
          <w:highlight w:val="none"/>
          <w:lang w:val="en-US"/>
        </w:rPr>
        <w:t>等</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rPr>
        <w:t>个项目绩效自评结果。</w:t>
      </w:r>
    </w:p>
    <w:p w14:paraId="4D110B75">
      <w:pPr>
        <w:numPr>
          <w:ilvl w:val="0"/>
          <w:numId w:val="5"/>
        </w:numPr>
        <w:spacing w:before="100" w:beforeLines="0" w:after="100" w:afterLines="0"/>
        <w:ind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highlight w:val="none"/>
          <w:lang w:val="en-US" w:eastAsia="zh-CN"/>
        </w:rPr>
        <w:t>全省法院业务费</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rPr>
        <w:t>项目绩效自评情况：根据年初设定的绩效目标,项目绩效自评得分为</w:t>
      </w:r>
      <w:r>
        <w:rPr>
          <w:rFonts w:hint="eastAsia" w:ascii="宋体" w:hAnsi="宋体" w:cs="宋体"/>
          <w:color w:val="auto"/>
          <w:kern w:val="0"/>
          <w:sz w:val="24"/>
          <w:szCs w:val="24"/>
          <w:lang w:val="en-US" w:eastAsia="zh-CN"/>
        </w:rPr>
        <w:t>95.98</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143</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138.81</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97.07</w:t>
      </w:r>
      <w:r>
        <w:rPr>
          <w:rFonts w:hint="eastAsia" w:ascii="宋体" w:hAnsi="宋体" w:eastAsia="宋体" w:cs="宋体"/>
          <w:color w:val="auto"/>
          <w:kern w:val="0"/>
          <w:sz w:val="24"/>
          <w:szCs w:val="24"/>
          <w:lang w:val="en-US"/>
        </w:rPr>
        <w:t>%。项目绩效目标完成情况：使审判办案业务和执行工作顺利完成，更好的维护国家法制、法律的权威、公平和正义，维护社会稳定和谐，达到公众认同，当事人满意。发现的主要问题及原因：个别指标设置不合理，维修维护项目验收合格率指标设置偏低，采购装备数量、一审服判息诉率指标设置偏高。下一步改进措施：进一步细化年初绩效目标设置，合理设置指标分值。</w:t>
      </w:r>
    </w:p>
    <w:p w14:paraId="2E69FF6E">
      <w:pPr>
        <w:numPr>
          <w:ilvl w:val="0"/>
          <w:numId w:val="0"/>
        </w:numPr>
        <w:spacing w:before="100" w:beforeLines="0" w:after="100" w:afterLines="0"/>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highlight w:val="none"/>
          <w:lang w:val="en-US" w:eastAsia="zh-CN"/>
        </w:rPr>
        <w:t>法庭运维费</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54</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54</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项目绩效目标完成情况：一是审理各类案件，妥善化解矛盾纠纷和行政争议，维护了法院审判工作的有序开展，积极保障人民群众生命财产安全，服务群众对审批工作满意度达到92%；二是办案质效不断提升，基层法庭工作人员满意度达到96%。发现的主要问题及原因：个别指标未设置三级指标，指标分值设置不合理。下一步改进措施：细化年初绩效目标设置，合理设置指标分值。</w:t>
      </w:r>
    </w:p>
    <w:p w14:paraId="352E03A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3D215E1C">
      <w:pPr>
        <w:keepNext/>
        <w:keepLines/>
        <w:suppressLineNumbers/>
        <w:spacing w:beforeLines="0" w:afterLines="0"/>
        <w:ind w:firstLine="240" w:firstLineChars="100"/>
        <w:jc w:val="left"/>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天祝藏族自治县人民法院2023年度部门整体支出绩效自评最终得分为96.56分，评价结果为“优秀”。我院本年度受理案件工作、审理执行案件工作、审判民商事案件工作、审判刑事案件案件、审判行政案件工作均基本完成，有效保障了审判服务。案件结案率达到95.62%。我院抓实教育培训，切实提升司法能力，加强能力建设，实施能力提升系列工程，培育复合型司法人才。完成装备购置工作，采购执法执勤车1辆。2023年度整体支出绩效目标，个别指标设置不合理，未设置执行案件结案率指标，在职人员控制率指标值设置偏高，受理各项案件指标值设置偏低。我院将进一步细化年初绩效目标设置，合理设置指标分值。</w:t>
      </w:r>
    </w:p>
    <w:p w14:paraId="65815D50">
      <w:pPr>
        <w:spacing w:before="100" w:beforeLines="0" w:after="100" w:afterLines="0"/>
        <w:jc w:val="center"/>
        <w:rPr>
          <w:rFonts w:hint="eastAsia" w:ascii="宋体" w:hAnsi="宋体" w:eastAsia="宋体" w:cs="宋体"/>
          <w:color w:val="auto"/>
          <w:sz w:val="24"/>
          <w:szCs w:val="24"/>
          <w:lang w:val="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3226116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7157D6C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2E91BAA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0BFD7B5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3B7C2ED9">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62C3A21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21760AE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5FA8481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4872B5B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660FA61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5FE097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4B31103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6CCD4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A5C6E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588BC16">
      <w:pPr>
        <w:pStyle w:val="3"/>
        <w:widowControl/>
        <w:wordWrap/>
        <w:adjustRightInd/>
        <w:snapToGrid/>
        <w:spacing w:before="0" w:beforeAutospacing="0" w:after="0" w:afterAutospacing="0" w:line="640" w:lineRule="exact"/>
        <w:ind w:left="0" w:leftChars="0" w:right="0" w:firstLine="480" w:firstLineChars="200"/>
        <w:jc w:val="left"/>
        <w:textAlignment w:val="auto"/>
        <w:outlineLvl w:val="9"/>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zh-CN" w:eastAsia="zh-CN"/>
        </w:rPr>
        <w:t>附件：1、</w:t>
      </w:r>
      <w:r>
        <w:rPr>
          <w:rFonts w:hint="eastAsia" w:ascii="宋体" w:hAnsi="宋体" w:eastAsia="宋体" w:cs="宋体"/>
          <w:color w:val="auto"/>
          <w:kern w:val="2"/>
          <w:sz w:val="24"/>
          <w:szCs w:val="24"/>
          <w:lang w:val="en-US" w:eastAsia="zh-CN"/>
        </w:rPr>
        <w:t>天祝藏族自治县</w:t>
      </w:r>
      <w:r>
        <w:rPr>
          <w:rFonts w:hint="eastAsia" w:ascii="宋体" w:hAnsi="宋体" w:eastAsia="宋体" w:cs="宋体"/>
          <w:color w:val="auto"/>
          <w:kern w:val="2"/>
          <w:sz w:val="24"/>
          <w:szCs w:val="24"/>
          <w:lang w:val="zh-CN" w:eastAsia="zh-CN"/>
        </w:rPr>
        <w:t>人民法院202</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年度部门决算公开报表      </w:t>
      </w:r>
      <w:r>
        <w:rPr>
          <w:rFonts w:hint="eastAsia" w:ascii="宋体" w:hAnsi="宋体" w:eastAsia="宋体" w:cs="宋体"/>
          <w:color w:val="auto"/>
          <w:kern w:val="2"/>
          <w:sz w:val="24"/>
          <w:szCs w:val="24"/>
          <w:lang w:val="en-US" w:eastAsia="zh-CN"/>
        </w:rPr>
        <w:t xml:space="preserve">        </w:t>
      </w:r>
    </w:p>
    <w:p w14:paraId="12262100">
      <w:pPr>
        <w:pStyle w:val="3"/>
        <w:widowControl/>
        <w:wordWrap/>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val="zh-CN" w:eastAsia="zh-CN"/>
        </w:rPr>
        <w:t>2、</w:t>
      </w:r>
      <w:r>
        <w:rPr>
          <w:rFonts w:hint="eastAsia" w:ascii="宋体" w:hAnsi="宋体" w:eastAsia="宋体" w:cs="宋体"/>
          <w:color w:val="auto"/>
          <w:kern w:val="2"/>
          <w:sz w:val="24"/>
          <w:szCs w:val="24"/>
          <w:lang w:val="en-US" w:eastAsia="zh-CN"/>
        </w:rPr>
        <w:t>天祝藏族自治县</w:t>
      </w:r>
      <w:r>
        <w:rPr>
          <w:rFonts w:hint="eastAsia" w:ascii="宋体" w:hAnsi="宋体" w:eastAsia="宋体" w:cs="宋体"/>
          <w:color w:val="auto"/>
          <w:kern w:val="2"/>
          <w:sz w:val="24"/>
          <w:szCs w:val="24"/>
          <w:lang w:val="zh-CN" w:eastAsia="zh-CN"/>
        </w:rPr>
        <w:t>人民法院</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val="zh-CN" w:eastAsia="zh-CN"/>
        </w:rPr>
        <w:t>02</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年度预算执行情况绩效自评报表</w:t>
      </w:r>
    </w:p>
    <w:p w14:paraId="1D3DA77B">
      <w:pPr>
        <w:spacing w:beforeLines="0" w:afterLines="0"/>
        <w:jc w:val="both"/>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 xml:space="preserve">      </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val="zh-CN" w:eastAsia="zh-CN"/>
        </w:rPr>
        <w:t>3、</w:t>
      </w:r>
      <w:r>
        <w:rPr>
          <w:rFonts w:hint="eastAsia" w:ascii="宋体" w:hAnsi="宋体" w:eastAsia="宋体" w:cs="宋体"/>
          <w:color w:val="auto"/>
          <w:kern w:val="2"/>
          <w:sz w:val="24"/>
          <w:szCs w:val="24"/>
          <w:lang w:val="en-US" w:eastAsia="zh-CN"/>
        </w:rPr>
        <w:t>天祝藏族自治县</w:t>
      </w:r>
      <w:r>
        <w:rPr>
          <w:rFonts w:hint="eastAsia" w:ascii="宋体" w:hAnsi="宋体" w:eastAsia="宋体" w:cs="宋体"/>
          <w:color w:val="auto"/>
          <w:kern w:val="2"/>
          <w:sz w:val="24"/>
          <w:szCs w:val="24"/>
          <w:lang w:val="zh-CN" w:eastAsia="zh-CN"/>
        </w:rPr>
        <w:t>人民法院202</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年度绩效自评报告</w:t>
      </w:r>
    </w:p>
    <w:p w14:paraId="6AC38FEC">
      <w:pPr>
        <w:pStyle w:val="2"/>
        <w:jc w:val="right"/>
        <w:rPr>
          <w:rFonts w:hint="eastAsia" w:ascii="宋体" w:hAnsi="宋体" w:eastAsia="宋体" w:cs="宋体"/>
          <w:color w:val="auto"/>
          <w:kern w:val="2"/>
          <w:sz w:val="24"/>
          <w:szCs w:val="24"/>
          <w:lang w:val="en-US" w:eastAsia="zh-CN"/>
        </w:rPr>
      </w:pPr>
    </w:p>
    <w:p w14:paraId="0107DE84">
      <w:pPr>
        <w:pStyle w:val="2"/>
        <w:jc w:val="right"/>
        <w:rPr>
          <w:rFonts w:hint="eastAsia" w:ascii="宋体" w:hAnsi="宋体" w:eastAsia="宋体" w:cs="宋体"/>
          <w:color w:val="auto"/>
          <w:kern w:val="2"/>
          <w:sz w:val="24"/>
          <w:szCs w:val="24"/>
          <w:lang w:val="en-US" w:eastAsia="zh-CN"/>
        </w:rPr>
      </w:pPr>
    </w:p>
    <w:p w14:paraId="69A2FDB1">
      <w:pPr>
        <w:rPr>
          <w:rFonts w:hint="eastAsia" w:ascii="宋体" w:hAnsi="宋体" w:eastAsia="宋体" w:cs="宋体"/>
          <w:color w:val="auto"/>
          <w:kern w:val="2"/>
          <w:sz w:val="24"/>
          <w:szCs w:val="24"/>
          <w:lang w:val="en-US" w:eastAsia="zh-CN"/>
        </w:rPr>
      </w:pPr>
    </w:p>
    <w:p w14:paraId="0AC1905A">
      <w:pPr>
        <w:pStyle w:val="2"/>
        <w:rPr>
          <w:rFonts w:hint="eastAsia" w:ascii="宋体" w:hAnsi="宋体" w:eastAsia="宋体" w:cs="宋体"/>
          <w:color w:val="auto"/>
          <w:kern w:val="2"/>
          <w:sz w:val="24"/>
          <w:szCs w:val="24"/>
          <w:lang w:val="en-US" w:eastAsia="zh-CN"/>
        </w:rPr>
      </w:pPr>
    </w:p>
    <w:p w14:paraId="75E6C041">
      <w:pPr>
        <w:rPr>
          <w:rFonts w:hint="eastAsia"/>
          <w:lang w:val="en-US" w:eastAsia="zh-CN"/>
        </w:rPr>
      </w:pPr>
    </w:p>
    <w:p w14:paraId="4DDE1480">
      <w:pPr>
        <w:pStyle w:val="2"/>
        <w:jc w:val="right"/>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en-US" w:eastAsia="zh-CN"/>
        </w:rPr>
        <w:t>天祝藏族自治县</w:t>
      </w:r>
      <w:r>
        <w:rPr>
          <w:rFonts w:hint="eastAsia" w:ascii="宋体" w:hAnsi="宋体" w:eastAsia="宋体" w:cs="宋体"/>
          <w:color w:val="auto"/>
          <w:kern w:val="2"/>
          <w:sz w:val="24"/>
          <w:szCs w:val="24"/>
          <w:lang w:val="zh-CN" w:eastAsia="zh-CN"/>
        </w:rPr>
        <w:t>人民法院</w:t>
      </w:r>
    </w:p>
    <w:p w14:paraId="1A4EE736">
      <w:pPr>
        <w:jc w:val="right"/>
        <w:rPr>
          <w:rFonts w:hint="default"/>
          <w:lang w:val="en-US"/>
        </w:rPr>
      </w:pPr>
      <w:r>
        <w:rPr>
          <w:rFonts w:hint="eastAsia" w:ascii="宋体" w:hAnsi="宋体" w:eastAsia="宋体" w:cs="宋体"/>
          <w:color w:val="auto"/>
          <w:kern w:val="2"/>
          <w:sz w:val="24"/>
          <w:szCs w:val="24"/>
          <w:lang w:val="en-US" w:eastAsia="zh-CN"/>
        </w:rPr>
        <w:t>2024年8月19日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01C07"/>
    <w:multiLevelType w:val="singleLevel"/>
    <w:tmpl w:val="CD601C07"/>
    <w:lvl w:ilvl="0" w:tentative="0">
      <w:start w:val="1"/>
      <w:numFmt w:val="decimal"/>
      <w:lvlText w:val="%1."/>
      <w:lvlJc w:val="left"/>
      <w:pPr>
        <w:tabs>
          <w:tab w:val="left" w:pos="312"/>
        </w:tabs>
      </w:p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245AC8C8"/>
    <w:multiLevelType w:val="singleLevel"/>
    <w:tmpl w:val="245AC8C8"/>
    <w:lvl w:ilvl="0" w:tentative="0">
      <w:start w:val="2"/>
      <w:numFmt w:val="chineseCounting"/>
      <w:suff w:val="nothing"/>
      <w:lvlText w:val="%1、"/>
      <w:lvlJc w:val="left"/>
      <w:rPr>
        <w:rFonts w:hint="eastAsia"/>
      </w:rPr>
    </w:lvl>
  </w:abstractNum>
  <w:abstractNum w:abstractNumId="4">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OTVlMjM1NzZmMDUyYTY1Yzc4ZDBhMjY0YTBiZTIifQ=="/>
  </w:docVars>
  <w:rsids>
    <w:rsidRoot w:val="00000000"/>
    <w:rsid w:val="05CC282B"/>
    <w:rsid w:val="14856738"/>
    <w:rsid w:val="1D476E21"/>
    <w:rsid w:val="201E69BF"/>
    <w:rsid w:val="297F52C6"/>
    <w:rsid w:val="29AB0D31"/>
    <w:rsid w:val="2E8A1833"/>
    <w:rsid w:val="32D21965"/>
    <w:rsid w:val="47AA1CA0"/>
    <w:rsid w:val="66561DF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
    <w:name w:val="List Paragraph"/>
    <w:basedOn w:val="1"/>
    <w:qFormat/>
    <w:uiPriority w:val="99"/>
    <w:pPr>
      <w:ind w:firstLine="420"/>
    </w:pPr>
  </w:style>
  <w:style w:type="paragraph" w:customStyle="1" w:styleId="8">
    <w:name w:val="Body Text First Indent 21"/>
    <w:basedOn w:val="1"/>
    <w:qFormat/>
    <w:uiPriority w:val="0"/>
    <w:pPr>
      <w:ind w:left="420" w:leftChars="200"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2024-08-07T09:26:33Z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d36f0974-f7f6-4752-9b1c-92ef507f5614}">
  <ds:schemaRefs/>
</ds:datastoreItem>
</file>

<file path=customXml/itemProps2.xml><?xml version="1.0" encoding="utf-8"?>
<ds:datastoreItem xmlns:ds="http://schemas.openxmlformats.org/officeDocument/2006/customXml" ds:itemID="{19153309-7bb9-45b4-ae1c-3561414a1104}">
  <ds:schemaRefs/>
</ds:datastoreItem>
</file>

<file path=customXml/itemProps3.xml><?xml version="1.0" encoding="utf-8"?>
<ds:datastoreItem xmlns:ds="http://schemas.openxmlformats.org/officeDocument/2006/customXml" ds:itemID="{5560cd70-725f-4173-9203-a5a1c4d59f92}">
  <ds:schemaRefs/>
</ds:datastoreItem>
</file>

<file path=customXml/itemProps4.xml><?xml version="1.0" encoding="utf-8"?>
<ds:datastoreItem xmlns:ds="http://schemas.openxmlformats.org/officeDocument/2006/customXml" ds:itemID="{5bf7b02b-0e74-47db-9e0a-a0696b86da3c}">
  <ds:schemaRefs/>
</ds:datastoreItem>
</file>

<file path=customXml/itemProps5.xml><?xml version="1.0" encoding="utf-8"?>
<ds:datastoreItem xmlns:ds="http://schemas.openxmlformats.org/officeDocument/2006/customXml" ds:itemID="{9bb5f4ce-fedc-4c6e-9f6f-51ee42a1289e}">
  <ds:schemaRefs/>
</ds:datastoreItem>
</file>

<file path=customXml/itemProps6.xml><?xml version="1.0" encoding="utf-8"?>
<ds:datastoreItem xmlns:ds="http://schemas.openxmlformats.org/officeDocument/2006/customXml" ds:itemID="{b20b3734-6960-4386-ae19-0e956916204c}">
  <ds:schemaRefs/>
</ds:datastoreItem>
</file>

<file path=customXml/itemProps7.xml><?xml version="1.0" encoding="utf-8"?>
<ds:datastoreItem xmlns:ds="http://schemas.openxmlformats.org/officeDocument/2006/customXml" ds:itemID="{ee76cb13-f1cc-400d-bab7-16ad4b385aa0}">
  <ds:schemaRefs/>
</ds:datastoreItem>
</file>

<file path=customXml/itemProps8.xml><?xml version="1.0" encoding="utf-8"?>
<ds:datastoreItem xmlns:ds="http://schemas.openxmlformats.org/officeDocument/2006/customXml" ds:itemID="{6fe833c1-0365-4a20-89d8-fbf903bd4497}">
  <ds:schemaRefs/>
</ds:datastoreItem>
</file>

<file path=customXml/itemProps9.xml><?xml version="1.0" encoding="utf-8"?>
<ds:datastoreItem xmlns:ds="http://schemas.openxmlformats.org/officeDocument/2006/customXml" ds:itemID="{34e964d5-4d1c-406d-a32f-2bede70728a8}">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5281</Words>
  <Characters>5849</Characters>
  <Lines>0</Lines>
  <Paragraphs>0</Paragraphs>
  <TotalTime>9</TotalTime>
  <ScaleCrop>false</ScaleCrop>
  <LinksUpToDate>false</LinksUpToDate>
  <CharactersWithSpaces>5887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WPS_1644891119</cp:lastModifiedBy>
  <cp:lastPrinted>2024-08-12T07:19:00Z</cp:lastPrinted>
  <dcterms:modified xsi:type="dcterms:W3CDTF">2024-08-20T08:09:35Z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E06D266F13EA4024808CEEADBAD91186_11</vt:lpwstr>
  </property>
</Properties>
</file>