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670C6">
      <w:pPr>
        <w:spacing w:line="480" w:lineRule="auto"/>
        <w:ind w:firstLine="883"/>
        <w:jc w:val="left"/>
        <w:rPr>
          <w:rFonts w:ascii="宋体" w:hAnsi="宋体" w:eastAsia="宋体"/>
          <w:b/>
          <w:bCs/>
          <w:sz w:val="44"/>
          <w:szCs w:val="44"/>
        </w:rPr>
      </w:pPr>
    </w:p>
    <w:p w14:paraId="32AECD5C">
      <w:pPr>
        <w:spacing w:line="480" w:lineRule="auto"/>
        <w:ind w:firstLine="883"/>
        <w:jc w:val="left"/>
        <w:rPr>
          <w:rFonts w:ascii="宋体" w:hAnsi="宋体" w:eastAsia="宋体"/>
          <w:b/>
          <w:bCs/>
          <w:sz w:val="44"/>
          <w:szCs w:val="44"/>
        </w:rPr>
      </w:pPr>
    </w:p>
    <w:p w14:paraId="65DB7C41">
      <w:pPr>
        <w:spacing w:line="480" w:lineRule="auto"/>
        <w:ind w:firstLine="883"/>
        <w:jc w:val="left"/>
        <w:rPr>
          <w:rFonts w:ascii="宋体" w:hAnsi="宋体" w:eastAsia="宋体"/>
          <w:b/>
          <w:bCs/>
          <w:sz w:val="44"/>
          <w:szCs w:val="44"/>
        </w:rPr>
      </w:pPr>
    </w:p>
    <w:p w14:paraId="5A3D9845">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年度天祝藏族自治县人民法院</w:t>
      </w:r>
    </w:p>
    <w:p w14:paraId="7B9148B6">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753C741D">
      <w:pPr>
        <w:widowControl/>
        <w:spacing w:line="240" w:lineRule="auto"/>
        <w:ind w:firstLine="0" w:firstLineChars="0"/>
        <w:jc w:val="center"/>
        <w:rPr>
          <w:rFonts w:ascii="宋体" w:hAnsi="宋体" w:eastAsia="宋体"/>
          <w:b/>
          <w:bCs/>
          <w:sz w:val="44"/>
          <w:szCs w:val="44"/>
        </w:rPr>
      </w:pPr>
    </w:p>
    <w:p w14:paraId="3C592795">
      <w:pPr>
        <w:ind w:firstLine="883"/>
        <w:jc w:val="center"/>
        <w:rPr>
          <w:rFonts w:ascii="宋体" w:hAnsi="宋体" w:eastAsia="宋体"/>
          <w:b/>
          <w:bCs/>
          <w:sz w:val="44"/>
          <w:szCs w:val="44"/>
        </w:rPr>
      </w:pPr>
    </w:p>
    <w:p w14:paraId="119CF34D">
      <w:pPr>
        <w:ind w:firstLine="883"/>
        <w:jc w:val="center"/>
        <w:rPr>
          <w:rFonts w:ascii="宋体" w:hAnsi="宋体" w:eastAsia="宋体"/>
          <w:b/>
          <w:bCs/>
          <w:sz w:val="44"/>
          <w:szCs w:val="44"/>
        </w:rPr>
      </w:pPr>
    </w:p>
    <w:p w14:paraId="15E2ED7A">
      <w:pPr>
        <w:ind w:firstLine="883"/>
        <w:jc w:val="center"/>
        <w:rPr>
          <w:rFonts w:ascii="宋体" w:hAnsi="宋体" w:eastAsia="宋体"/>
          <w:b/>
          <w:bCs/>
          <w:sz w:val="44"/>
          <w:szCs w:val="44"/>
        </w:rPr>
      </w:pPr>
    </w:p>
    <w:p w14:paraId="0FEE7F41">
      <w:pPr>
        <w:ind w:firstLine="883"/>
        <w:jc w:val="center"/>
        <w:rPr>
          <w:rFonts w:ascii="宋体" w:hAnsi="宋体" w:eastAsia="宋体"/>
          <w:b/>
          <w:bCs/>
          <w:sz w:val="44"/>
          <w:szCs w:val="44"/>
        </w:rPr>
      </w:pPr>
    </w:p>
    <w:p w14:paraId="2E779933">
      <w:pPr>
        <w:ind w:firstLine="883"/>
        <w:jc w:val="center"/>
        <w:rPr>
          <w:rFonts w:ascii="宋体" w:hAnsi="宋体" w:eastAsia="宋体"/>
          <w:b/>
          <w:bCs/>
          <w:sz w:val="44"/>
          <w:szCs w:val="44"/>
        </w:rPr>
      </w:pPr>
    </w:p>
    <w:p w14:paraId="7E3956F2">
      <w:pPr>
        <w:ind w:firstLine="883"/>
        <w:jc w:val="center"/>
        <w:rPr>
          <w:rFonts w:ascii="宋体" w:hAnsi="宋体" w:eastAsia="宋体"/>
          <w:b/>
          <w:bCs/>
          <w:sz w:val="44"/>
          <w:szCs w:val="44"/>
        </w:rPr>
      </w:pPr>
    </w:p>
    <w:p w14:paraId="1A081CE5">
      <w:pPr>
        <w:ind w:firstLine="883"/>
        <w:jc w:val="center"/>
        <w:rPr>
          <w:rFonts w:ascii="宋体" w:hAnsi="宋体" w:eastAsia="宋体"/>
          <w:b/>
          <w:bCs/>
          <w:sz w:val="44"/>
          <w:szCs w:val="44"/>
        </w:rPr>
      </w:pPr>
    </w:p>
    <w:p w14:paraId="5FDA1B0E">
      <w:pPr>
        <w:ind w:firstLine="883"/>
        <w:jc w:val="center"/>
        <w:rPr>
          <w:rFonts w:ascii="宋体" w:hAnsi="宋体" w:eastAsia="宋体"/>
          <w:b/>
          <w:bCs/>
          <w:sz w:val="44"/>
          <w:szCs w:val="44"/>
        </w:rPr>
      </w:pPr>
    </w:p>
    <w:p w14:paraId="0A431781">
      <w:pPr>
        <w:ind w:firstLine="883"/>
        <w:jc w:val="center"/>
        <w:rPr>
          <w:rFonts w:ascii="宋体" w:hAnsi="宋体" w:eastAsia="宋体"/>
          <w:b/>
          <w:bCs/>
          <w:sz w:val="44"/>
          <w:szCs w:val="44"/>
        </w:rPr>
      </w:pPr>
    </w:p>
    <w:p w14:paraId="775C0813">
      <w:pPr>
        <w:ind w:firstLine="883"/>
        <w:jc w:val="center"/>
        <w:rPr>
          <w:rFonts w:ascii="宋体" w:hAnsi="宋体" w:eastAsia="宋体"/>
          <w:b/>
          <w:bCs/>
          <w:sz w:val="44"/>
          <w:szCs w:val="44"/>
        </w:rPr>
      </w:pPr>
    </w:p>
    <w:p w14:paraId="2EA45FD1">
      <w:pPr>
        <w:ind w:firstLine="883"/>
        <w:jc w:val="center"/>
        <w:rPr>
          <w:rFonts w:ascii="宋体" w:hAnsi="宋体" w:eastAsia="宋体"/>
          <w:b/>
          <w:bCs/>
          <w:sz w:val="44"/>
          <w:szCs w:val="44"/>
        </w:rPr>
      </w:pPr>
    </w:p>
    <w:p w14:paraId="3658ADCF">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天祝藏族自治县人民法院</w:t>
      </w:r>
    </w:p>
    <w:p w14:paraId="12ECCE8F">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14:paraId="6342BFF6">
      <w:pPr>
        <w:ind w:firstLine="560"/>
        <w:jc w:val="left"/>
      </w:pPr>
    </w:p>
    <w:p w14:paraId="6D774F72">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2349047A">
          <w:pPr>
            <w:pStyle w:val="17"/>
            <w:tabs>
              <w:tab w:val="right" w:leader="dot" w:pos="8306"/>
              <w:tab w:val="clear" w:pos="8296"/>
            </w:tabs>
            <w:spacing w:line="360" w:lineRule="auto"/>
            <w:ind w:firstLine="560" w:firstLineChars="0"/>
            <w:jc w:val="center"/>
            <w:rPr>
              <w:rFonts w:ascii="仿宋_GB2312" w:hAnsi="宋体" w:eastAsia="仿宋_GB2312" w:cstheme="minorBidi"/>
              <w:b/>
              <w:bCs/>
              <w:kern w:val="2"/>
              <w:sz w:val="28"/>
              <w:szCs w:val="2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14:paraId="13E30F43">
          <w:pPr>
            <w:pStyle w:val="17"/>
            <w:tabs>
              <w:tab w:val="right" w:leader="dot" w:pos="8306"/>
              <w:tab w:val="clear" w:pos="8296"/>
            </w:tabs>
          </w:pPr>
          <w:r>
            <w:fldChar w:fldCharType="begin"/>
          </w:r>
          <w:r>
            <w:instrText xml:space="preserve"> HYPERLINK \l _Toc17365 </w:instrText>
          </w:r>
          <w:r>
            <w:fldChar w:fldCharType="separate"/>
          </w:r>
          <w:r>
            <w:rPr>
              <w:rFonts w:hint="eastAsia"/>
              <w:lang w:val="en-US" w:eastAsia="zh-CN"/>
            </w:rPr>
            <w:t>一、</w:t>
          </w:r>
          <w:r>
            <w:rPr>
              <w:rFonts w:hint="eastAsia"/>
            </w:rPr>
            <w:t>基本情况</w:t>
          </w:r>
          <w:r>
            <w:tab/>
          </w:r>
          <w:r>
            <w:fldChar w:fldCharType="begin"/>
          </w:r>
          <w:r>
            <w:instrText xml:space="preserve"> PAGEREF _Toc17365 \h </w:instrText>
          </w:r>
          <w:r>
            <w:fldChar w:fldCharType="separate"/>
          </w:r>
          <w:r>
            <w:t>2</w:t>
          </w:r>
          <w:r>
            <w:fldChar w:fldCharType="end"/>
          </w:r>
          <w:r>
            <w:fldChar w:fldCharType="end"/>
          </w:r>
        </w:p>
        <w:p w14:paraId="76F2DC45">
          <w:pPr>
            <w:pStyle w:val="18"/>
            <w:tabs>
              <w:tab w:val="right" w:leader="dot" w:pos="8306"/>
              <w:tab w:val="clear" w:pos="8296"/>
            </w:tabs>
          </w:pPr>
          <w:r>
            <w:fldChar w:fldCharType="begin"/>
          </w:r>
          <w:r>
            <w:instrText xml:space="preserve"> HYPERLINK \l _Toc15985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rPr>
              <w:rFonts w:hint="eastAsia"/>
              <w:lang w:val="en-US" w:eastAsia="zh-CN"/>
            </w:rPr>
            <w:t xml:space="preserve"> </w:t>
          </w:r>
          <w:r>
            <w:tab/>
          </w:r>
          <w:r>
            <w:fldChar w:fldCharType="begin"/>
          </w:r>
          <w:r>
            <w:instrText xml:space="preserve"> PAGEREF _Toc15985 \h </w:instrText>
          </w:r>
          <w:r>
            <w:fldChar w:fldCharType="separate"/>
          </w:r>
          <w:r>
            <w:t>2</w:t>
          </w:r>
          <w:r>
            <w:fldChar w:fldCharType="end"/>
          </w:r>
          <w:r>
            <w:fldChar w:fldCharType="end"/>
          </w:r>
        </w:p>
        <w:p w14:paraId="34D3795B">
          <w:pPr>
            <w:pStyle w:val="18"/>
            <w:tabs>
              <w:tab w:val="right" w:leader="dot" w:pos="8306"/>
              <w:tab w:val="clear" w:pos="8296"/>
            </w:tabs>
          </w:pPr>
          <w:r>
            <w:fldChar w:fldCharType="begin"/>
          </w:r>
          <w:r>
            <w:instrText xml:space="preserve"> HYPERLINK \l _Toc31493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_Toc31493 \h </w:instrText>
          </w:r>
          <w:r>
            <w:fldChar w:fldCharType="separate"/>
          </w:r>
          <w:r>
            <w:t>3</w:t>
          </w:r>
          <w:r>
            <w:fldChar w:fldCharType="end"/>
          </w:r>
          <w:r>
            <w:fldChar w:fldCharType="end"/>
          </w:r>
        </w:p>
        <w:p w14:paraId="532E865E">
          <w:pPr>
            <w:pStyle w:val="17"/>
            <w:tabs>
              <w:tab w:val="right" w:leader="dot" w:pos="8306"/>
              <w:tab w:val="clear" w:pos="8296"/>
            </w:tabs>
          </w:pPr>
          <w:r>
            <w:fldChar w:fldCharType="begin"/>
          </w:r>
          <w:r>
            <w:instrText xml:space="preserve"> HYPERLINK \l _Toc4905 </w:instrText>
          </w:r>
          <w:r>
            <w:fldChar w:fldCharType="separate"/>
          </w:r>
          <w:r>
            <w:rPr>
              <w:rFonts w:hint="eastAsia"/>
              <w:lang w:val="en-US" w:eastAsia="zh-CN"/>
            </w:rPr>
            <w:t>二、绩效自评工作组织开展情况</w:t>
          </w:r>
          <w:r>
            <w:tab/>
          </w:r>
          <w:r>
            <w:fldChar w:fldCharType="begin"/>
          </w:r>
          <w:r>
            <w:instrText xml:space="preserve"> PAGEREF _Toc4905 \h </w:instrText>
          </w:r>
          <w:r>
            <w:fldChar w:fldCharType="separate"/>
          </w:r>
          <w:r>
            <w:t>3</w:t>
          </w:r>
          <w:r>
            <w:fldChar w:fldCharType="end"/>
          </w:r>
          <w:r>
            <w:fldChar w:fldCharType="end"/>
          </w:r>
        </w:p>
        <w:p w14:paraId="3216F5A8">
          <w:pPr>
            <w:pStyle w:val="18"/>
            <w:tabs>
              <w:tab w:val="right" w:leader="dot" w:pos="8306"/>
              <w:tab w:val="clear" w:pos="8296"/>
            </w:tabs>
          </w:pPr>
          <w:r>
            <w:fldChar w:fldCharType="begin"/>
          </w:r>
          <w:r>
            <w:instrText xml:space="preserve"> HYPERLINK \l _Toc13652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_Toc13652 \h </w:instrText>
          </w:r>
          <w:r>
            <w:fldChar w:fldCharType="separate"/>
          </w:r>
          <w:r>
            <w:t>3</w:t>
          </w:r>
          <w:r>
            <w:fldChar w:fldCharType="end"/>
          </w:r>
          <w:r>
            <w:fldChar w:fldCharType="end"/>
          </w:r>
        </w:p>
        <w:p w14:paraId="5B91760E">
          <w:pPr>
            <w:pStyle w:val="18"/>
            <w:tabs>
              <w:tab w:val="right" w:leader="dot" w:pos="8306"/>
              <w:tab w:val="clear" w:pos="8296"/>
            </w:tabs>
          </w:pPr>
          <w:r>
            <w:fldChar w:fldCharType="begin"/>
          </w:r>
          <w:r>
            <w:instrText xml:space="preserve"> HYPERLINK \l _Toc13825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_Toc13825 \h </w:instrText>
          </w:r>
          <w:r>
            <w:fldChar w:fldCharType="separate"/>
          </w:r>
          <w:r>
            <w:t>4</w:t>
          </w:r>
          <w:r>
            <w:fldChar w:fldCharType="end"/>
          </w:r>
          <w:r>
            <w:fldChar w:fldCharType="end"/>
          </w:r>
        </w:p>
        <w:p w14:paraId="52B595E6">
          <w:pPr>
            <w:pStyle w:val="18"/>
            <w:tabs>
              <w:tab w:val="right" w:leader="dot" w:pos="8306"/>
              <w:tab w:val="clear" w:pos="8296"/>
            </w:tabs>
          </w:pPr>
          <w:r>
            <w:fldChar w:fldCharType="begin"/>
          </w:r>
          <w:r>
            <w:instrText xml:space="preserve"> HYPERLINK \l _Toc23323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_Toc23323 \h </w:instrText>
          </w:r>
          <w:r>
            <w:fldChar w:fldCharType="separate"/>
          </w:r>
          <w:r>
            <w:t>4</w:t>
          </w:r>
          <w:r>
            <w:fldChar w:fldCharType="end"/>
          </w:r>
          <w:r>
            <w:fldChar w:fldCharType="end"/>
          </w:r>
        </w:p>
        <w:p w14:paraId="4C5154C5">
          <w:pPr>
            <w:pStyle w:val="17"/>
            <w:tabs>
              <w:tab w:val="right" w:leader="dot" w:pos="8306"/>
              <w:tab w:val="clear" w:pos="8296"/>
            </w:tabs>
          </w:pPr>
          <w:r>
            <w:fldChar w:fldCharType="begin"/>
          </w:r>
          <w:r>
            <w:instrText xml:space="preserve"> HYPERLINK \l _Toc8282 </w:instrText>
          </w:r>
          <w:r>
            <w:fldChar w:fldCharType="separate"/>
          </w:r>
          <w:r>
            <w:rPr>
              <w:rFonts w:hint="eastAsia"/>
            </w:rPr>
            <w:t>三、部门整体支出绩效自评情况分析</w:t>
          </w:r>
          <w:r>
            <w:tab/>
          </w:r>
          <w:r>
            <w:fldChar w:fldCharType="begin"/>
          </w:r>
          <w:r>
            <w:instrText xml:space="preserve"> PAGEREF _Toc8282 \h </w:instrText>
          </w:r>
          <w:r>
            <w:fldChar w:fldCharType="separate"/>
          </w:r>
          <w:r>
            <w:t>5</w:t>
          </w:r>
          <w:r>
            <w:fldChar w:fldCharType="end"/>
          </w:r>
          <w:r>
            <w:fldChar w:fldCharType="end"/>
          </w:r>
        </w:p>
        <w:p w14:paraId="5D2444DE">
          <w:pPr>
            <w:pStyle w:val="18"/>
            <w:tabs>
              <w:tab w:val="right" w:leader="dot" w:pos="8306"/>
              <w:tab w:val="clear" w:pos="8296"/>
            </w:tabs>
          </w:pPr>
          <w:r>
            <w:fldChar w:fldCharType="begin"/>
          </w:r>
          <w:r>
            <w:instrText xml:space="preserve"> HYPERLINK \l _Toc29996 </w:instrText>
          </w:r>
          <w:r>
            <w:fldChar w:fldCharType="separate"/>
          </w:r>
          <w:r>
            <w:rPr>
              <w:rFonts w:hint="eastAsia"/>
            </w:rPr>
            <w:t>（一）部门决算情况</w:t>
          </w:r>
          <w:r>
            <w:tab/>
          </w:r>
          <w:r>
            <w:fldChar w:fldCharType="begin"/>
          </w:r>
          <w:r>
            <w:instrText xml:space="preserve"> PAGEREF _Toc29996 \h </w:instrText>
          </w:r>
          <w:r>
            <w:fldChar w:fldCharType="separate"/>
          </w:r>
          <w:r>
            <w:t>5</w:t>
          </w:r>
          <w:r>
            <w:fldChar w:fldCharType="end"/>
          </w:r>
          <w:r>
            <w:fldChar w:fldCharType="end"/>
          </w:r>
        </w:p>
        <w:p w14:paraId="6BD160BD">
          <w:pPr>
            <w:pStyle w:val="18"/>
            <w:tabs>
              <w:tab w:val="right" w:leader="dot" w:pos="8306"/>
              <w:tab w:val="clear" w:pos="8296"/>
            </w:tabs>
          </w:pPr>
          <w:r>
            <w:fldChar w:fldCharType="begin"/>
          </w:r>
          <w:r>
            <w:instrText xml:space="preserve"> HYPERLINK \l _Toc632 </w:instrText>
          </w:r>
          <w:r>
            <w:fldChar w:fldCharType="separate"/>
          </w:r>
          <w:r>
            <w:rPr>
              <w:rFonts w:hint="eastAsia"/>
            </w:rPr>
            <w:t>（二）总体绩效目标完成情况分析</w:t>
          </w:r>
          <w:r>
            <w:tab/>
          </w:r>
          <w:r>
            <w:fldChar w:fldCharType="begin"/>
          </w:r>
          <w:r>
            <w:instrText xml:space="preserve"> PAGEREF _Toc632 \h </w:instrText>
          </w:r>
          <w:r>
            <w:fldChar w:fldCharType="separate"/>
          </w:r>
          <w:r>
            <w:t>5</w:t>
          </w:r>
          <w:r>
            <w:fldChar w:fldCharType="end"/>
          </w:r>
          <w:r>
            <w:fldChar w:fldCharType="end"/>
          </w:r>
        </w:p>
        <w:p w14:paraId="0D8993AF">
          <w:pPr>
            <w:pStyle w:val="18"/>
            <w:tabs>
              <w:tab w:val="right" w:leader="dot" w:pos="8306"/>
              <w:tab w:val="clear" w:pos="8296"/>
            </w:tabs>
          </w:pPr>
          <w:r>
            <w:fldChar w:fldCharType="begin"/>
          </w:r>
          <w:r>
            <w:instrText xml:space="preserve"> HYPERLINK \l _Toc2817 </w:instrText>
          </w:r>
          <w:r>
            <w:fldChar w:fldCharType="separate"/>
          </w:r>
          <w:r>
            <w:rPr>
              <w:rFonts w:hint="eastAsia"/>
            </w:rPr>
            <w:t>（三）各项指标完成情况分析</w:t>
          </w:r>
          <w:r>
            <w:tab/>
          </w:r>
          <w:r>
            <w:fldChar w:fldCharType="begin"/>
          </w:r>
          <w:r>
            <w:instrText xml:space="preserve"> PAGEREF _Toc2817 \h </w:instrText>
          </w:r>
          <w:r>
            <w:fldChar w:fldCharType="separate"/>
          </w:r>
          <w:r>
            <w:t>6</w:t>
          </w:r>
          <w:r>
            <w:fldChar w:fldCharType="end"/>
          </w:r>
          <w:r>
            <w:fldChar w:fldCharType="end"/>
          </w:r>
        </w:p>
        <w:p w14:paraId="6AD4D834">
          <w:pPr>
            <w:pStyle w:val="18"/>
            <w:tabs>
              <w:tab w:val="right" w:leader="dot" w:pos="8306"/>
              <w:tab w:val="clear" w:pos="8296"/>
            </w:tabs>
          </w:pPr>
          <w:r>
            <w:fldChar w:fldCharType="begin"/>
          </w:r>
          <w:r>
            <w:instrText xml:space="preserve"> HYPERLINK \l _Toc9488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_Toc9488 \h </w:instrText>
          </w:r>
          <w:r>
            <w:fldChar w:fldCharType="separate"/>
          </w:r>
          <w:r>
            <w:t>11</w:t>
          </w:r>
          <w:r>
            <w:fldChar w:fldCharType="end"/>
          </w:r>
          <w:r>
            <w:fldChar w:fldCharType="end"/>
          </w:r>
        </w:p>
        <w:p w14:paraId="64E614F0">
          <w:pPr>
            <w:pStyle w:val="17"/>
            <w:tabs>
              <w:tab w:val="right" w:leader="dot" w:pos="8306"/>
              <w:tab w:val="clear" w:pos="8296"/>
            </w:tabs>
          </w:pPr>
          <w:r>
            <w:fldChar w:fldCharType="begin"/>
          </w:r>
          <w:r>
            <w:instrText xml:space="preserve"> HYPERLINK \l _Toc11537 </w:instrText>
          </w:r>
          <w:r>
            <w:fldChar w:fldCharType="separate"/>
          </w:r>
          <w:r>
            <w:rPr>
              <w:rFonts w:hint="eastAsia"/>
              <w:lang w:val="en-US" w:eastAsia="zh-CN"/>
            </w:rPr>
            <w:t>四、部门预算项目支出绩效自评情况分析</w:t>
          </w:r>
          <w:r>
            <w:tab/>
          </w:r>
          <w:r>
            <w:fldChar w:fldCharType="begin"/>
          </w:r>
          <w:r>
            <w:instrText xml:space="preserve"> PAGEREF _Toc11537 \h </w:instrText>
          </w:r>
          <w:r>
            <w:fldChar w:fldCharType="separate"/>
          </w:r>
          <w:r>
            <w:t>12</w:t>
          </w:r>
          <w:r>
            <w:fldChar w:fldCharType="end"/>
          </w:r>
          <w:r>
            <w:fldChar w:fldCharType="end"/>
          </w:r>
        </w:p>
        <w:p w14:paraId="7C78C694">
          <w:pPr>
            <w:pStyle w:val="18"/>
            <w:tabs>
              <w:tab w:val="right" w:leader="dot" w:pos="8306"/>
              <w:tab w:val="clear" w:pos="8296"/>
            </w:tabs>
          </w:pPr>
          <w:r>
            <w:fldChar w:fldCharType="begin"/>
          </w:r>
          <w:r>
            <w:instrText xml:space="preserve"> HYPERLINK \l _Toc32493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_Toc32493 \h </w:instrText>
          </w:r>
          <w:r>
            <w:fldChar w:fldCharType="separate"/>
          </w:r>
          <w:r>
            <w:t>12</w:t>
          </w:r>
          <w:r>
            <w:fldChar w:fldCharType="end"/>
          </w:r>
          <w:r>
            <w:fldChar w:fldCharType="end"/>
          </w:r>
        </w:p>
        <w:p w14:paraId="718D43F9">
          <w:pPr>
            <w:pStyle w:val="18"/>
            <w:tabs>
              <w:tab w:val="right" w:leader="dot" w:pos="8306"/>
              <w:tab w:val="clear" w:pos="8296"/>
            </w:tabs>
          </w:pPr>
          <w:r>
            <w:fldChar w:fldCharType="begin"/>
          </w:r>
          <w:r>
            <w:instrText xml:space="preserve"> HYPERLINK \l _Toc18030 </w:instrText>
          </w:r>
          <w: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r>
            <w:tab/>
          </w:r>
          <w:r>
            <w:fldChar w:fldCharType="begin"/>
          </w:r>
          <w:r>
            <w:instrText xml:space="preserve"> PAGEREF _Toc18030 \h </w:instrText>
          </w:r>
          <w:r>
            <w:fldChar w:fldCharType="separate"/>
          </w:r>
          <w:r>
            <w:t>18</w:t>
          </w:r>
          <w:r>
            <w:fldChar w:fldCharType="end"/>
          </w:r>
          <w:r>
            <w:fldChar w:fldCharType="end"/>
          </w:r>
        </w:p>
        <w:p w14:paraId="775FFAFC">
          <w:pPr>
            <w:pStyle w:val="17"/>
            <w:tabs>
              <w:tab w:val="right" w:leader="dot" w:pos="8306"/>
              <w:tab w:val="clear" w:pos="8296"/>
            </w:tabs>
            <w:rPr>
              <w:rFonts w:hint="eastAsia" w:eastAsia="仿宋_GB2312"/>
              <w:lang w:val="en-US" w:eastAsia="zh-CN"/>
            </w:rPr>
          </w:pPr>
          <w:r>
            <w:fldChar w:fldCharType="begin"/>
          </w:r>
          <w:r>
            <w:instrText xml:space="preserve"> HYPERLINK \l _Toc2209 </w:instrText>
          </w:r>
          <w:r>
            <w:fldChar w:fldCharType="separate"/>
          </w:r>
          <w:r>
            <w:rPr>
              <w:rFonts w:hint="eastAsia"/>
              <w:lang w:val="en-US" w:eastAsia="zh-CN"/>
            </w:rPr>
            <w:t>五、部门管理的省对市县转移支付绩效自评情况分析</w:t>
          </w:r>
          <w:r>
            <w:tab/>
          </w:r>
          <w:r>
            <w:rPr>
              <w:rFonts w:hint="eastAsia"/>
              <w:lang w:val="en-US" w:eastAsia="zh-CN"/>
            </w:rPr>
            <w:t>2</w:t>
          </w:r>
          <w:r>
            <w:fldChar w:fldCharType="end"/>
          </w:r>
          <w:r>
            <w:rPr>
              <w:rFonts w:hint="eastAsia"/>
              <w:lang w:val="en-US" w:eastAsia="zh-CN"/>
            </w:rPr>
            <w:t>3</w:t>
          </w:r>
        </w:p>
        <w:p w14:paraId="7D7AC7E6">
          <w:pPr>
            <w:pStyle w:val="17"/>
            <w:tabs>
              <w:tab w:val="right" w:leader="dot" w:pos="8306"/>
              <w:tab w:val="clear" w:pos="8296"/>
            </w:tabs>
            <w:rPr>
              <w:rFonts w:hint="eastAsia" w:eastAsia="仿宋_GB2312"/>
              <w:lang w:val="en-US" w:eastAsia="zh-CN"/>
            </w:rPr>
          </w:pPr>
          <w:r>
            <w:fldChar w:fldCharType="begin"/>
          </w:r>
          <w:r>
            <w:instrText xml:space="preserve"> HYPERLINK \l _Toc18174 </w:instrText>
          </w:r>
          <w:r>
            <w:fldChar w:fldCharType="separate"/>
          </w:r>
          <w:r>
            <w:rPr>
              <w:rFonts w:hint="eastAsia"/>
              <w:lang w:val="en-US" w:eastAsia="zh-CN"/>
            </w:rPr>
            <w:t>六、绩效自评结果拟应用和公开情况</w:t>
          </w:r>
          <w:r>
            <w:tab/>
          </w:r>
          <w:r>
            <w:rPr>
              <w:rFonts w:hint="eastAsia"/>
              <w:lang w:val="en-US" w:eastAsia="zh-CN"/>
            </w:rPr>
            <w:t>2</w:t>
          </w:r>
          <w:r>
            <w:fldChar w:fldCharType="end"/>
          </w:r>
          <w:r>
            <w:rPr>
              <w:rFonts w:hint="eastAsia"/>
              <w:lang w:val="en-US" w:eastAsia="zh-CN"/>
            </w:rPr>
            <w:t>3</w:t>
          </w:r>
          <w:bookmarkStart w:id="76" w:name="_GoBack"/>
          <w:bookmarkEnd w:id="76"/>
        </w:p>
        <w:p w14:paraId="2510B8EB">
          <w:pPr>
            <w:pStyle w:val="17"/>
            <w:tabs>
              <w:tab w:val="right" w:leader="dot" w:pos="8306"/>
              <w:tab w:val="clear" w:pos="8296"/>
            </w:tabs>
            <w:rPr>
              <w:rFonts w:hint="eastAsia" w:eastAsia="仿宋_GB2312"/>
              <w:lang w:val="en-US" w:eastAsia="zh-CN"/>
            </w:rPr>
          </w:pPr>
          <w:r>
            <w:fldChar w:fldCharType="begin"/>
          </w:r>
          <w:r>
            <w:instrText xml:space="preserve"> HYPERLINK \l _Toc25628 </w:instrText>
          </w:r>
          <w:r>
            <w:fldChar w:fldCharType="separate"/>
          </w:r>
          <w:r>
            <w:rPr>
              <w:rFonts w:hint="eastAsia"/>
              <w:lang w:val="en-US" w:eastAsia="zh-CN"/>
            </w:rPr>
            <w:t>七、其他需要说明的问题</w:t>
          </w:r>
          <w:r>
            <w:tab/>
          </w:r>
          <w:r>
            <w:rPr>
              <w:rFonts w:hint="eastAsia"/>
              <w:lang w:val="en-US" w:eastAsia="zh-CN"/>
            </w:rPr>
            <w:t>2</w:t>
          </w:r>
          <w:r>
            <w:fldChar w:fldCharType="end"/>
          </w:r>
          <w:r>
            <w:rPr>
              <w:rFonts w:hint="eastAsia"/>
              <w:lang w:val="en-US" w:eastAsia="zh-CN"/>
            </w:rPr>
            <w:t>3</w:t>
          </w:r>
        </w:p>
        <w:p w14:paraId="7E181DEC">
          <w:pPr>
            <w:pStyle w:val="34"/>
            <w:tabs>
              <w:tab w:val="right" w:leader="dot" w:pos="8306"/>
            </w:tabs>
            <w:spacing w:line="360" w:lineRule="auto"/>
            <w:jc w:val="both"/>
          </w:pPr>
          <w:r>
            <w:fldChar w:fldCharType="end"/>
          </w:r>
        </w:p>
        <w:p w14:paraId="22B121FA">
          <w:pPr>
            <w:pStyle w:val="34"/>
            <w:tabs>
              <w:tab w:val="right" w:leader="dot" w:pos="8306"/>
            </w:tabs>
            <w:spacing w:line="360" w:lineRule="auto"/>
            <w:jc w:val="both"/>
          </w:pPr>
        </w:p>
      </w:sdtContent>
    </w:sdt>
    <w:p w14:paraId="05323B5C">
      <w:pPr>
        <w:widowControl/>
        <w:spacing w:line="240" w:lineRule="auto"/>
        <w:ind w:firstLine="0" w:firstLineChars="0"/>
        <w:jc w:val="center"/>
        <w:rPr>
          <w:rFonts w:hint="eastAsia" w:ascii="宋体" w:hAnsi="宋体" w:eastAsia="宋体" w:cs="Arial"/>
          <w:b/>
          <w:bCs/>
          <w:sz w:val="44"/>
          <w:szCs w:val="44"/>
          <w:lang w:eastAsia="zh-CN"/>
        </w:rPr>
      </w:pPr>
      <w:bookmarkStart w:id="0" w:name="_Toc4040"/>
      <w:bookmarkStart w:id="1" w:name="_Toc13158"/>
      <w:bookmarkStart w:id="2" w:name="_Toc28671"/>
      <w:bookmarkStart w:id="3" w:name="_Toc18188"/>
      <w:bookmarkStart w:id="4" w:name="_Toc22477"/>
      <w:r>
        <w:rPr>
          <w:rFonts w:hint="eastAsia" w:ascii="宋体" w:hAnsi="宋体" w:eastAsia="宋体" w:cs="Arial"/>
          <w:b/>
          <w:bCs/>
          <w:sz w:val="44"/>
          <w:szCs w:val="44"/>
          <w:lang w:eastAsia="zh-CN"/>
        </w:rPr>
        <w:t>2023年度天祝藏族自治县人民法院</w:t>
      </w:r>
    </w:p>
    <w:p w14:paraId="4ED86429">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19960849">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17365"/>
      <w:r>
        <w:rPr>
          <w:rFonts w:hint="eastAsia"/>
          <w:lang w:val="en-US" w:eastAsia="zh-CN"/>
        </w:rPr>
        <w:t>一、</w:t>
      </w:r>
      <w:r>
        <w:rPr>
          <w:rFonts w:hint="eastAsia"/>
        </w:rPr>
        <w:t>基本情况</w:t>
      </w:r>
      <w:bookmarkEnd w:id="2"/>
      <w:bookmarkEnd w:id="3"/>
      <w:bookmarkEnd w:id="4"/>
      <w:bookmarkEnd w:id="5"/>
    </w:p>
    <w:p w14:paraId="476FAFEC">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819"/>
      <w:bookmarkStart w:id="7" w:name="_Toc15985"/>
      <w:bookmarkStart w:id="8" w:name="_Toc18868"/>
      <w:bookmarkStart w:id="9" w:name="_Toc24636"/>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14:paraId="4B7B544A">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20782"/>
      <w:bookmarkStart w:id="11" w:name="_Toc25335"/>
      <w:bookmarkStart w:id="12" w:name="_Toc7151"/>
      <w:r>
        <w:rPr>
          <w:rFonts w:hint="eastAsia"/>
          <w:lang w:val="en-US" w:eastAsia="zh-CN"/>
        </w:rPr>
        <w:t>天祝藏族自治县</w:t>
      </w:r>
      <w:r>
        <w:rPr>
          <w:rFonts w:hint="eastAsia"/>
        </w:rPr>
        <w:t>人民法院是国家审判机关，依法独立行使审判权，对</w:t>
      </w:r>
      <w:r>
        <w:rPr>
          <w:rFonts w:hint="eastAsia"/>
          <w:lang w:val="en-US" w:eastAsia="zh-CN"/>
        </w:rPr>
        <w:t>县</w:t>
      </w:r>
      <w:r>
        <w:rPr>
          <w:rFonts w:hint="eastAsia"/>
        </w:rPr>
        <w:t>级地方人民代表大会及其常务委员会负责并报告工作</w:t>
      </w:r>
      <w:r>
        <w:rPr>
          <w:rFonts w:hint="eastAsia"/>
          <w:lang w:eastAsia="zh-CN"/>
        </w:rPr>
        <w:t>。</w:t>
      </w:r>
      <w:r>
        <w:rPr>
          <w:rFonts w:hint="eastAsia"/>
        </w:rPr>
        <w:t>其主要职责是：</w:t>
      </w:r>
    </w:p>
    <w:p w14:paraId="4AE177C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14:paraId="4F71EA4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14:paraId="05F25A6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14:paraId="7B628F1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14:paraId="153B770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14:paraId="16213F3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14:paraId="0969B61C">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14:paraId="070459AE">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14:paraId="53612BE5">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14:paraId="5090BAA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14:paraId="5EA3B147">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14:paraId="38321C51">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14:paraId="14969318">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31493"/>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14:paraId="01528D28">
      <w:pPr>
        <w:spacing w:line="600" w:lineRule="exact"/>
        <w:ind w:firstLine="560" w:firstLineChars="200"/>
        <w:rPr>
          <w:rFonts w:hint="eastAsia"/>
          <w:sz w:val="28"/>
          <w:szCs w:val="28"/>
        </w:rPr>
      </w:pPr>
      <w:bookmarkStart w:id="14" w:name="_Toc4905"/>
      <w:bookmarkStart w:id="15" w:name="_Toc18193"/>
      <w:bookmarkStart w:id="16" w:name="_Toc4574"/>
      <w:bookmarkStart w:id="17" w:name="_Toc13794"/>
      <w:r>
        <w:rPr>
          <w:rFonts w:hint="eastAsia"/>
          <w:sz w:val="28"/>
          <w:szCs w:val="28"/>
        </w:rPr>
        <w:t>天祝藏族自治县人民法院下设机构13个：立案庭(诉讼服务中心),刑事审判庭,民事审判庭,行政审判庭(综合审判庭),执行庭(局),审判管理办公室(研究室),综合办公室(司法警察大队),政治部（机关党委），打柴沟人民法庭,松山人民法庭,安远人民法庭,哈溪人民法庭,炭山岭人民法庭。</w:t>
      </w:r>
    </w:p>
    <w:p w14:paraId="14EC122E">
      <w:pPr>
        <w:spacing w:line="600" w:lineRule="exact"/>
        <w:ind w:firstLine="560" w:firstLineChars="200"/>
        <w:rPr>
          <w:sz w:val="24"/>
          <w:szCs w:val="24"/>
        </w:rPr>
      </w:pPr>
      <w:r>
        <w:rPr>
          <w:rFonts w:hint="eastAsia"/>
          <w:sz w:val="28"/>
          <w:szCs w:val="28"/>
        </w:rPr>
        <w:t>截止202</w:t>
      </w:r>
      <w:r>
        <w:rPr>
          <w:rFonts w:hint="eastAsia"/>
          <w:sz w:val="28"/>
          <w:szCs w:val="28"/>
          <w:lang w:val="en-US" w:eastAsia="zh-CN"/>
        </w:rPr>
        <w:t>3</w:t>
      </w:r>
      <w:r>
        <w:rPr>
          <w:rFonts w:hint="eastAsia"/>
          <w:sz w:val="28"/>
          <w:szCs w:val="28"/>
        </w:rPr>
        <w:t>年12月</w:t>
      </w:r>
      <w:r>
        <w:rPr>
          <w:rFonts w:hint="eastAsia"/>
          <w:sz w:val="28"/>
          <w:szCs w:val="28"/>
          <w:lang w:eastAsia="zh-CN"/>
        </w:rPr>
        <w:t>，</w:t>
      </w:r>
      <w:r>
        <w:rPr>
          <w:rFonts w:hint="eastAsia"/>
          <w:sz w:val="28"/>
          <w:szCs w:val="28"/>
          <w:lang w:val="en-US" w:eastAsia="zh-CN"/>
        </w:rPr>
        <w:t>我单位在职人员共75人，</w:t>
      </w:r>
      <w:r>
        <w:rPr>
          <w:rFonts w:hint="eastAsia"/>
          <w:sz w:val="28"/>
          <w:szCs w:val="28"/>
        </w:rPr>
        <w:t>行政人员7</w:t>
      </w:r>
      <w:r>
        <w:rPr>
          <w:rFonts w:hint="eastAsia"/>
          <w:sz w:val="28"/>
          <w:szCs w:val="28"/>
          <w:lang w:val="en-US" w:eastAsia="zh-CN"/>
        </w:rPr>
        <w:t>3</w:t>
      </w:r>
      <w:r>
        <w:rPr>
          <w:rFonts w:hint="eastAsia"/>
          <w:sz w:val="28"/>
          <w:szCs w:val="28"/>
        </w:rPr>
        <w:t>人，</w:t>
      </w:r>
      <w:r>
        <w:rPr>
          <w:rFonts w:hint="eastAsia"/>
          <w:sz w:val="28"/>
          <w:szCs w:val="28"/>
          <w:lang w:val="en-US" w:eastAsia="zh-CN"/>
        </w:rPr>
        <w:t>非</w:t>
      </w:r>
      <w:r>
        <w:rPr>
          <w:rFonts w:hint="eastAsia"/>
          <w:sz w:val="28"/>
          <w:szCs w:val="28"/>
        </w:rPr>
        <w:t>参照公务员法管理事业人员2人</w:t>
      </w:r>
      <w:r>
        <w:rPr>
          <w:rFonts w:hint="eastAsia"/>
          <w:sz w:val="28"/>
          <w:szCs w:val="28"/>
          <w:lang w:eastAsia="zh-CN"/>
        </w:rPr>
        <w:t>，</w:t>
      </w:r>
      <w:r>
        <w:rPr>
          <w:rFonts w:hint="eastAsia"/>
          <w:sz w:val="28"/>
          <w:szCs w:val="28"/>
          <w:lang w:val="en-US" w:eastAsia="zh-CN"/>
        </w:rPr>
        <w:t>书记员24人，年末遗属人4人</w:t>
      </w:r>
      <w:r>
        <w:rPr>
          <w:rFonts w:hint="eastAsia"/>
          <w:sz w:val="28"/>
          <w:szCs w:val="28"/>
        </w:rPr>
        <w:t>。</w:t>
      </w:r>
    </w:p>
    <w:p w14:paraId="38CEB17E">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3" w:firstLineChars="200"/>
        <w:jc w:val="both"/>
        <w:textAlignment w:val="auto"/>
        <w:rPr>
          <w:rFonts w:hint="eastAsia"/>
          <w:lang w:val="en-US" w:eastAsia="zh-CN"/>
        </w:rPr>
      </w:pPr>
      <w:r>
        <w:rPr>
          <w:rFonts w:hint="eastAsia"/>
          <w:lang w:val="en-US" w:eastAsia="zh-CN"/>
        </w:rPr>
        <w:t>二、绩效自评工作组织开展情况</w:t>
      </w:r>
      <w:bookmarkEnd w:id="14"/>
      <w:bookmarkEnd w:id="15"/>
      <w:bookmarkEnd w:id="16"/>
      <w:bookmarkEnd w:id="17"/>
    </w:p>
    <w:p w14:paraId="7CDE1D3C">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8" w:name="_Toc13652"/>
      <w:bookmarkStart w:id="19" w:name="_Toc31965"/>
      <w:bookmarkStart w:id="20" w:name="_Toc4177"/>
      <w:bookmarkStart w:id="21" w:name="_Toc11147"/>
      <w:r>
        <w:rPr>
          <w:rFonts w:hint="eastAsia"/>
          <w:lang w:eastAsia="zh-CN"/>
        </w:rPr>
        <w:t>（</w:t>
      </w:r>
      <w:r>
        <w:rPr>
          <w:rFonts w:hint="eastAsia"/>
          <w:lang w:val="en-US" w:eastAsia="zh-CN"/>
        </w:rPr>
        <w:t>一</w:t>
      </w:r>
      <w:r>
        <w:rPr>
          <w:rFonts w:hint="eastAsia"/>
          <w:lang w:eastAsia="zh-CN"/>
        </w:rPr>
        <w:t>）自评工作组织管理情况</w:t>
      </w:r>
      <w:bookmarkEnd w:id="18"/>
    </w:p>
    <w:p w14:paraId="331C7864">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t>等文件的要求，联合各相关</w:t>
      </w:r>
      <w:r>
        <w:rPr>
          <w:rFonts w:hint="eastAsia"/>
        </w:rPr>
        <w:t>业务部门</w:t>
      </w:r>
      <w:r>
        <w:t>共同完成此次自评</w:t>
      </w:r>
      <w:r>
        <w:rPr>
          <w:rFonts w:hint="eastAsia"/>
        </w:rPr>
        <w:t>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14:paraId="234A34E7">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2" w:name="_Toc26980"/>
      <w:bookmarkStart w:id="23" w:name="_Toc13356"/>
      <w:bookmarkStart w:id="24" w:name="_Toc13825"/>
      <w:bookmarkStart w:id="25" w:name="_Toc29448"/>
      <w:bookmarkStart w:id="26" w:name="_Toc28216"/>
      <w:r>
        <w:rPr>
          <w:rFonts w:hint="eastAsia"/>
          <w:lang w:eastAsia="zh-CN"/>
        </w:rPr>
        <w:t>（</w:t>
      </w:r>
      <w:r>
        <w:rPr>
          <w:rFonts w:hint="eastAsia"/>
          <w:lang w:val="en-US" w:eastAsia="zh-CN"/>
        </w:rPr>
        <w:t>二</w:t>
      </w:r>
      <w:r>
        <w:rPr>
          <w:rFonts w:hint="eastAsia"/>
          <w:lang w:eastAsia="zh-CN"/>
        </w:rPr>
        <w:t>）自评对象和范围</w:t>
      </w:r>
      <w:bookmarkEnd w:id="22"/>
      <w:bookmarkEnd w:id="23"/>
      <w:bookmarkEnd w:id="24"/>
      <w:bookmarkEnd w:id="25"/>
      <w:bookmarkEnd w:id="26"/>
    </w:p>
    <w:p w14:paraId="5FCA14E9">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ighlight w:val="none"/>
          <w:lang w:val="en-US" w:eastAsia="zh-CN"/>
        </w:rPr>
        <w:t>法庭运维费项目自评、</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14:paraId="3EDBBB59">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7" w:name="_Toc25429"/>
      <w:bookmarkStart w:id="28" w:name="_Toc18694"/>
      <w:bookmarkStart w:id="29" w:name="_Toc22785"/>
      <w:bookmarkStart w:id="30" w:name="_Toc23323"/>
      <w:bookmarkStart w:id="31" w:name="_Toc25203"/>
      <w:r>
        <w:rPr>
          <w:rFonts w:hint="eastAsia"/>
          <w:lang w:eastAsia="zh-CN"/>
        </w:rPr>
        <w:t>（</w:t>
      </w:r>
      <w:r>
        <w:rPr>
          <w:rFonts w:hint="eastAsia"/>
          <w:lang w:val="en-US" w:eastAsia="zh-CN"/>
        </w:rPr>
        <w:t>三</w:t>
      </w:r>
      <w:r>
        <w:rPr>
          <w:rFonts w:hint="eastAsia"/>
          <w:lang w:eastAsia="zh-CN"/>
        </w:rPr>
        <w:t>）自评工作程序</w:t>
      </w:r>
      <w:bookmarkEnd w:id="27"/>
      <w:bookmarkEnd w:id="28"/>
      <w:bookmarkEnd w:id="29"/>
      <w:bookmarkEnd w:id="30"/>
      <w:bookmarkEnd w:id="31"/>
    </w:p>
    <w:p w14:paraId="419C64E4">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14:paraId="4480FFD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14:paraId="48E6761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14:paraId="22D8B8A7">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14:paraId="18985752">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14:paraId="4AC95B0F">
      <w:pPr>
        <w:pStyle w:val="3"/>
        <w:keepNext/>
        <w:keepLines/>
        <w:pageBreakBefore w:val="0"/>
        <w:widowControl w:val="0"/>
        <w:kinsoku/>
        <w:wordWrap/>
        <w:overflowPunct/>
        <w:topLinePunct w:val="0"/>
        <w:autoSpaceDE/>
        <w:autoSpaceDN/>
        <w:bidi w:val="0"/>
        <w:adjustRightInd/>
        <w:snapToGrid/>
        <w:spacing w:before="0" w:after="0"/>
        <w:textAlignment w:val="auto"/>
      </w:pPr>
      <w:bookmarkStart w:id="32" w:name="_Toc26000"/>
      <w:bookmarkStart w:id="33" w:name="_Toc8282"/>
      <w:bookmarkStart w:id="34" w:name="_Toc31556"/>
      <w:bookmarkStart w:id="35" w:name="_Toc17042"/>
      <w:r>
        <w:rPr>
          <w:rFonts w:hint="eastAsia"/>
        </w:rPr>
        <w:t>三、部门整体支出绩效自评情况分析</w:t>
      </w:r>
      <w:bookmarkEnd w:id="32"/>
      <w:bookmarkEnd w:id="33"/>
      <w:bookmarkEnd w:id="34"/>
      <w:bookmarkEnd w:id="35"/>
      <w:r>
        <w:tab/>
      </w:r>
    </w:p>
    <w:p w14:paraId="5E227CA4">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6" w:name="_Toc32623"/>
      <w:bookmarkStart w:id="37" w:name="_Toc3483"/>
      <w:bookmarkStart w:id="38" w:name="_Toc8171"/>
      <w:bookmarkStart w:id="39" w:name="_Toc29996"/>
      <w:r>
        <w:rPr>
          <w:rFonts w:hint="eastAsia"/>
        </w:rPr>
        <w:t>（一）部门决算情况</w:t>
      </w:r>
      <w:bookmarkEnd w:id="36"/>
      <w:bookmarkEnd w:id="37"/>
      <w:bookmarkEnd w:id="38"/>
      <w:bookmarkEnd w:id="39"/>
    </w:p>
    <w:p w14:paraId="78E55E19">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2023年度天祝藏族自治县人民法院年初预算2341.26万元</w:t>
      </w:r>
      <w:r>
        <w:rPr>
          <w:rFonts w:hint="eastAsia"/>
          <w:lang w:eastAsia="zh-CN"/>
        </w:rPr>
        <w:t>，</w:t>
      </w:r>
      <w:r>
        <w:rPr>
          <w:rFonts w:hint="eastAsia"/>
        </w:rPr>
        <w:t>全年预算</w:t>
      </w:r>
      <w:r>
        <w:rPr>
          <w:rFonts w:hint="eastAsia"/>
          <w:lang w:eastAsia="zh-CN"/>
        </w:rPr>
        <w:t>数</w:t>
      </w:r>
      <w:r>
        <w:rPr>
          <w:rFonts w:hint="eastAsia"/>
          <w:lang w:val="en-US" w:eastAsia="zh-CN"/>
        </w:rPr>
        <w:t>2927.44万元，实际支出数2923.26万元，</w:t>
      </w:r>
      <w:r>
        <w:rPr>
          <w:rFonts w:hint="eastAsia"/>
        </w:rPr>
        <w:t>部门整体支出预算执行率为</w:t>
      </w:r>
      <w:r>
        <w:rPr>
          <w:rFonts w:hint="eastAsia"/>
          <w:lang w:val="en-US" w:eastAsia="zh-CN"/>
        </w:rPr>
        <w:t>99.85%。</w:t>
      </w:r>
    </w:p>
    <w:p w14:paraId="407F2F16">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0" w:name="_Toc632"/>
      <w:bookmarkStart w:id="41" w:name="_Toc21423"/>
      <w:bookmarkStart w:id="42" w:name="_Toc10769"/>
      <w:bookmarkStart w:id="43" w:name="_Toc22782"/>
      <w:r>
        <w:rPr>
          <w:rFonts w:hint="eastAsia"/>
        </w:rPr>
        <w:t>（二）总体绩效目标完成情况分析</w:t>
      </w:r>
      <w:bookmarkEnd w:id="40"/>
      <w:bookmarkEnd w:id="41"/>
      <w:bookmarkEnd w:id="42"/>
      <w:bookmarkEnd w:id="43"/>
    </w:p>
    <w:p w14:paraId="53152622">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经综合评价与分析，天祝藏族自治县人民法院2023年度部门整体支出绩效评价最终得分为96.56分，评价结果为“优秀”。最终评分结果如下表所示：</w:t>
      </w:r>
    </w:p>
    <w:p w14:paraId="47B4765E">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6F24FF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61FD84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2BECC1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4EA1E5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41E9D2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545B27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68C42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14:paraId="67E6EA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0EB841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9.98</w:t>
            </w:r>
          </w:p>
        </w:tc>
        <w:tc>
          <w:tcPr>
            <w:tcW w:w="2268" w:type="dxa"/>
            <w:vAlign w:val="center"/>
          </w:tcPr>
          <w:p w14:paraId="5BB8A7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99.80%</w:t>
            </w:r>
          </w:p>
        </w:tc>
      </w:tr>
      <w:tr w14:paraId="5D4A950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9B17E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14:paraId="5FF3F8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4E90E2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19.87</w:t>
            </w:r>
          </w:p>
        </w:tc>
        <w:tc>
          <w:tcPr>
            <w:tcW w:w="2268" w:type="dxa"/>
            <w:vAlign w:val="center"/>
          </w:tcPr>
          <w:p w14:paraId="1DE3C0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99.35%</w:t>
            </w:r>
          </w:p>
        </w:tc>
      </w:tr>
      <w:tr w14:paraId="200C103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772D42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14:paraId="5A73D9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57.1</w:t>
            </w:r>
          </w:p>
        </w:tc>
        <w:tc>
          <w:tcPr>
            <w:tcW w:w="1560" w:type="dxa"/>
            <w:vAlign w:val="center"/>
          </w:tcPr>
          <w:p w14:paraId="777C9C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53.71</w:t>
            </w:r>
          </w:p>
        </w:tc>
        <w:tc>
          <w:tcPr>
            <w:tcW w:w="2268" w:type="dxa"/>
            <w:vAlign w:val="center"/>
          </w:tcPr>
          <w:p w14:paraId="49B847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94.06%</w:t>
            </w:r>
          </w:p>
        </w:tc>
      </w:tr>
      <w:tr w14:paraId="4F7C73A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0A72E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14:paraId="111B5A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w:t>
            </w:r>
          </w:p>
        </w:tc>
        <w:tc>
          <w:tcPr>
            <w:tcW w:w="1560" w:type="dxa"/>
            <w:vAlign w:val="center"/>
          </w:tcPr>
          <w:p w14:paraId="039B6B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268" w:type="dxa"/>
            <w:vAlign w:val="center"/>
          </w:tcPr>
          <w:p w14:paraId="77DF1F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24C8A7E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3902FD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1B7204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2529AC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96.56</w:t>
            </w:r>
          </w:p>
        </w:tc>
        <w:tc>
          <w:tcPr>
            <w:tcW w:w="2268" w:type="dxa"/>
            <w:shd w:val="clear" w:color="auto" w:fill="BDD6EE"/>
            <w:vAlign w:val="center"/>
          </w:tcPr>
          <w:p w14:paraId="510395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96.56%</w:t>
            </w:r>
          </w:p>
        </w:tc>
      </w:tr>
    </w:tbl>
    <w:p w14:paraId="3E61F710">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14:paraId="0F434E12">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14:paraId="3DAA37CA">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w:t>
      </w:r>
    </w:p>
    <w:p w14:paraId="5EC5A567">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14:paraId="5E536A61">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14:paraId="2742503C">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14:paraId="616240C7">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）我院本年度受理案件工作、审理执行案件工作、审判民商事案件工作、审判刑事案件案件、审判行政案件工作均基本完成，有效保障了审判服务。案件</w:t>
      </w:r>
      <w:r>
        <w:rPr>
          <w:rFonts w:hint="eastAsia"/>
          <w:lang w:val="en-US" w:eastAsia="zh-CN"/>
        </w:rPr>
        <w:t>结案率达到</w:t>
      </w:r>
      <w:r>
        <w:rPr>
          <w:rFonts w:hint="eastAsia"/>
          <w:b w:val="0"/>
          <w:bCs w:val="0"/>
          <w:lang w:val="en-US" w:eastAsia="zh-CN"/>
        </w:rPr>
        <w:t>95.62</w:t>
      </w:r>
      <w:r>
        <w:rPr>
          <w:rFonts w:hint="eastAsia"/>
          <w:lang w:val="en-US" w:eastAsia="zh-CN"/>
        </w:rPr>
        <w:t>%。</w:t>
      </w:r>
    </w:p>
    <w:p w14:paraId="1394B3C9">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14:paraId="657C583F">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3</w:t>
      </w:r>
      <w:r>
        <w:rPr>
          <w:rFonts w:hint="eastAsia"/>
          <w:lang w:eastAsia="zh-CN"/>
        </w:rPr>
        <w:t>）完成装备购置工作，采购执法执勤车1辆。</w:t>
      </w:r>
    </w:p>
    <w:p w14:paraId="2ED5228F">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4" w:name="_Toc7799"/>
      <w:bookmarkStart w:id="45" w:name="_Toc18553"/>
      <w:bookmarkStart w:id="46" w:name="_Toc2817"/>
      <w:bookmarkStart w:id="47" w:name="_Toc17819"/>
      <w:r>
        <w:rPr>
          <w:rFonts w:hint="eastAsia"/>
        </w:rPr>
        <w:t>（三）各项指标完成情况分析</w:t>
      </w:r>
      <w:bookmarkEnd w:id="44"/>
      <w:bookmarkEnd w:id="45"/>
      <w:bookmarkEnd w:id="46"/>
      <w:bookmarkEnd w:id="47"/>
    </w:p>
    <w:p w14:paraId="560E06A6">
      <w:pPr>
        <w:pStyle w:val="5"/>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14:paraId="573D830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根据《天祝藏族自治县人民法院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年初预算2341.26万元</w:t>
      </w:r>
      <w:r>
        <w:rPr>
          <w:rFonts w:hint="eastAsia"/>
          <w:lang w:eastAsia="zh-CN"/>
        </w:rPr>
        <w:t>，</w:t>
      </w:r>
      <w:r>
        <w:rPr>
          <w:rFonts w:hint="eastAsia"/>
        </w:rPr>
        <w:t>全年预算</w:t>
      </w:r>
      <w:r>
        <w:rPr>
          <w:rFonts w:hint="eastAsia"/>
          <w:lang w:eastAsia="zh-CN"/>
        </w:rPr>
        <w:t>数</w:t>
      </w:r>
      <w:r>
        <w:rPr>
          <w:rFonts w:hint="eastAsia"/>
          <w:lang w:val="en-US" w:eastAsia="zh-CN"/>
        </w:rPr>
        <w:t>2927.44万元，实际支出数2923.26万元，</w:t>
      </w:r>
      <w:r>
        <w:rPr>
          <w:rFonts w:hint="eastAsia"/>
        </w:rPr>
        <w:t>部门整体支出预算执行率为</w:t>
      </w:r>
      <w:r>
        <w:rPr>
          <w:rFonts w:hint="eastAsia"/>
          <w:lang w:val="en-US" w:eastAsia="zh-CN"/>
        </w:rPr>
        <w:t>99.85%。</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9.98</w:t>
      </w:r>
      <w:r>
        <w:rPr>
          <w:rFonts w:hint="eastAsia"/>
          <w:color w:val="000000" w:themeColor="text1"/>
          <w:szCs w:val="28"/>
          <w14:textFill>
            <w14:solidFill>
              <w14:schemeClr w14:val="tx1"/>
            </w14:solidFill>
          </w14:textFill>
        </w:rPr>
        <w:t>分，得分率为</w:t>
      </w:r>
      <w:r>
        <w:rPr>
          <w:rFonts w:hint="eastAsia"/>
          <w:lang w:val="en-US" w:eastAsia="zh-CN"/>
        </w:rPr>
        <w:t>99.80%</w:t>
      </w:r>
      <w:r>
        <w:rPr>
          <w:rFonts w:hint="eastAsia"/>
          <w:color w:val="000000" w:themeColor="text1"/>
          <w:szCs w:val="28"/>
          <w14:textFill>
            <w14:solidFill>
              <w14:schemeClr w14:val="tx1"/>
            </w14:solidFill>
          </w14:textFill>
        </w:rPr>
        <w:t>。</w:t>
      </w:r>
    </w:p>
    <w:p w14:paraId="28D281D9">
      <w:pPr>
        <w:pStyle w:val="5"/>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14:paraId="7B5281DB">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19.87</w:t>
      </w:r>
      <w:r>
        <w:rPr>
          <w:rFonts w:hint="eastAsia"/>
          <w:highlight w:val="none"/>
        </w:rPr>
        <w:t>分，得分率</w:t>
      </w:r>
      <w:r>
        <w:rPr>
          <w:rFonts w:hint="eastAsia"/>
          <w:highlight w:val="none"/>
          <w:lang w:val="en-US" w:eastAsia="zh-CN"/>
        </w:rPr>
        <w:t>99.35%</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1CC30A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B223DC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3163CEF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014C48F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3985822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1F8AF74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5E9A8EF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4B7EEE8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2D487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7040F0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资金投入</w:t>
            </w:r>
          </w:p>
          <w:p w14:paraId="1069A1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64B529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14:paraId="5E8C29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259D49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14:paraId="15FA7CCF">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14:paraId="57E29342">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421D3473">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6FEF31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728A3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78E346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14:paraId="57B82E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08F6C9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99.46%</w:t>
            </w:r>
          </w:p>
        </w:tc>
        <w:tc>
          <w:tcPr>
            <w:tcW w:w="850" w:type="dxa"/>
            <w:vAlign w:val="center"/>
          </w:tcPr>
          <w:p w14:paraId="45F51F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14:paraId="389E86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0CCF34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95DDB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BDB67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6270F7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14:paraId="42C22F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356FAE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83.5%</w:t>
            </w:r>
          </w:p>
        </w:tc>
        <w:tc>
          <w:tcPr>
            <w:tcW w:w="850" w:type="dxa"/>
            <w:vAlign w:val="center"/>
          </w:tcPr>
          <w:p w14:paraId="6BFD68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14:paraId="72274D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49D8B5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74670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821F5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321BB6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14:paraId="6CC469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484" w:type="dxa"/>
            <w:vAlign w:val="center"/>
          </w:tcPr>
          <w:p w14:paraId="291E6F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-90.59%</w:t>
            </w:r>
          </w:p>
        </w:tc>
        <w:tc>
          <w:tcPr>
            <w:tcW w:w="850" w:type="dxa"/>
            <w:vAlign w:val="center"/>
          </w:tcPr>
          <w:p w14:paraId="0543BE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14:paraId="774A09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62A6D9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0E48B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0245CC9C">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14:paraId="1282B2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14:paraId="076E69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14:paraId="1C7227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14:paraId="26B4B601">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14:paraId="18607CB2">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5FB7FE09">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51041A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499262B5">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14:paraId="1668A0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14:paraId="72F385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4ED3FC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14:paraId="489181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14:paraId="1510D0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35B9028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2338C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35A4CA15">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800" w:type="dxa"/>
            <w:vAlign w:val="center"/>
          </w:tcPr>
          <w:p w14:paraId="339C51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14:paraId="3CD672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22D557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14:paraId="197D33BB">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14:paraId="6D89100A">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4200DA4D">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6DD6B7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391113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资产管理</w:t>
            </w:r>
          </w:p>
        </w:tc>
        <w:tc>
          <w:tcPr>
            <w:tcW w:w="1800" w:type="dxa"/>
            <w:vAlign w:val="center"/>
          </w:tcPr>
          <w:p w14:paraId="3B4D83B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14:paraId="74D4F1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603EAC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14:paraId="1EF3F5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14:paraId="7B9FF7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5BCCBF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0A9F9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2850E6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人员管理</w:t>
            </w:r>
          </w:p>
        </w:tc>
        <w:tc>
          <w:tcPr>
            <w:tcW w:w="1800" w:type="dxa"/>
            <w:vAlign w:val="center"/>
          </w:tcPr>
          <w:p w14:paraId="3BA2B4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28" w:type="dxa"/>
            <w:vAlign w:val="center"/>
          </w:tcPr>
          <w:p w14:paraId="56B119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002E37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93.59%</w:t>
            </w:r>
          </w:p>
        </w:tc>
        <w:tc>
          <w:tcPr>
            <w:tcW w:w="850" w:type="dxa"/>
            <w:vAlign w:val="center"/>
          </w:tcPr>
          <w:p w14:paraId="7ACB47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14:paraId="649152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1.87</w:t>
            </w:r>
          </w:p>
        </w:tc>
        <w:tc>
          <w:tcPr>
            <w:tcW w:w="1071" w:type="dxa"/>
            <w:vAlign w:val="center"/>
          </w:tcPr>
          <w:p w14:paraId="33D941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93.50%</w:t>
            </w:r>
          </w:p>
        </w:tc>
      </w:tr>
      <w:tr w14:paraId="2C9090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20DE3A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重点工作管理</w:t>
            </w:r>
          </w:p>
        </w:tc>
        <w:tc>
          <w:tcPr>
            <w:tcW w:w="1800" w:type="dxa"/>
            <w:vAlign w:val="center"/>
          </w:tcPr>
          <w:p w14:paraId="0ABBB3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28" w:type="dxa"/>
            <w:vAlign w:val="center"/>
          </w:tcPr>
          <w:p w14:paraId="1EF468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14:paraId="106D2C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14:paraId="78694D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14:paraId="422120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6DF2663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8AE93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0FAA3477">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1584D40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68EE713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0779059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70E773B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14:paraId="6D9A7FA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19.87</w:t>
            </w:r>
          </w:p>
        </w:tc>
        <w:tc>
          <w:tcPr>
            <w:tcW w:w="1071" w:type="dxa"/>
            <w:shd w:val="clear" w:color="auto" w:fill="BDD6EE"/>
            <w:vAlign w:val="center"/>
          </w:tcPr>
          <w:p w14:paraId="360C222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99.35%</w:t>
            </w:r>
          </w:p>
        </w:tc>
      </w:tr>
    </w:tbl>
    <w:p w14:paraId="1296AAEC">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数和</w:t>
      </w:r>
      <w:r>
        <w:rPr>
          <w:rFonts w:hint="eastAsia" w:hAnsi="宋体"/>
          <w:szCs w:val="28"/>
          <w:highlight w:val="none"/>
        </w:rPr>
        <w:t>实际支出数</w:t>
      </w:r>
      <w:r>
        <w:rPr>
          <w:rFonts w:hint="eastAsia" w:hAnsi="宋体"/>
          <w:szCs w:val="28"/>
          <w:highlight w:val="none"/>
          <w:lang w:val="en-US" w:eastAsia="zh-CN"/>
        </w:rPr>
        <w:t>均为2155.94</w:t>
      </w:r>
      <w:r>
        <w:rPr>
          <w:rFonts w:hint="eastAsia" w:hAnsi="宋体"/>
          <w:szCs w:val="28"/>
          <w:highlight w:val="none"/>
        </w:rPr>
        <w:t>万元，基本支出预算执行率为</w:t>
      </w:r>
      <w:r>
        <w:rPr>
          <w:rFonts w:hint="eastAsia" w:hAnsi="宋体"/>
          <w:szCs w:val="28"/>
          <w:highlight w:val="none"/>
          <w:lang w:val="en-US" w:eastAsia="zh-CN"/>
        </w:rPr>
        <w:t>100</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分，得分率为100%。</w:t>
      </w:r>
    </w:p>
    <w:p w14:paraId="2C6FF5F0">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项目支出预算执行率为</w:t>
      </w:r>
      <w:r>
        <w:rPr>
          <w:rFonts w:hint="eastAsia" w:hAnsi="宋体"/>
          <w:szCs w:val="28"/>
          <w:highlight w:val="none"/>
          <w:lang w:val="en-US" w:eastAsia="zh-CN"/>
        </w:rPr>
        <w:t>99.46%，达到年度目标值</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2分，得</w:t>
      </w:r>
      <w:r>
        <w:rPr>
          <w:rFonts w:hint="eastAsia" w:hAnsi="宋体"/>
          <w:szCs w:val="28"/>
          <w:highlight w:val="none"/>
        </w:rPr>
        <w:t>分率为</w:t>
      </w:r>
      <w:r>
        <w:rPr>
          <w:rFonts w:hint="eastAsia" w:hAnsi="宋体"/>
          <w:szCs w:val="28"/>
          <w:highlight w:val="none"/>
          <w:lang w:val="en-US" w:eastAsia="zh-CN"/>
        </w:rPr>
        <w:t>99.46</w:t>
      </w:r>
      <w:r>
        <w:rPr>
          <w:rFonts w:hint="eastAsia" w:hAnsi="宋体"/>
          <w:szCs w:val="28"/>
          <w:highlight w:val="none"/>
        </w:rPr>
        <w:t>%。</w:t>
      </w:r>
    </w:p>
    <w:p w14:paraId="2F2B4A66">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全年预算数57.23万元，实际支出数47.28万元，</w:t>
      </w:r>
      <w:r>
        <w:rPr>
          <w:rFonts w:hint="eastAsia" w:hAnsi="宋体"/>
          <w:szCs w:val="28"/>
          <w:highlight w:val="none"/>
        </w:rPr>
        <w:t>“三公经费”控制率为</w:t>
      </w:r>
      <w:r>
        <w:rPr>
          <w:rFonts w:hint="eastAsia" w:hAnsi="宋体"/>
          <w:szCs w:val="28"/>
          <w:highlight w:val="none"/>
          <w:lang w:val="en-US" w:eastAsia="zh-CN"/>
        </w:rPr>
        <w:t>83.5%，达到年度目标值</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val="en-US" w:eastAsia="zh-CN"/>
        </w:rPr>
        <w:t>100.00</w:t>
      </w:r>
      <w:r>
        <w:rPr>
          <w:rFonts w:hint="eastAsia" w:hAnsi="宋体"/>
          <w:szCs w:val="28"/>
          <w:highlight w:val="none"/>
        </w:rPr>
        <w:t>%。</w:t>
      </w:r>
    </w:p>
    <w:p w14:paraId="14BA32B5">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lang w:val="en-US" w:eastAsia="zh-CN"/>
        </w:rPr>
        <w:t>2022年结转结余资金44.5万元，</w:t>
      </w:r>
      <w:r>
        <w:rPr>
          <w:rFonts w:hint="eastAsia" w:hAnsi="宋体"/>
          <w:szCs w:val="28"/>
          <w:highlight w:val="none"/>
        </w:rPr>
        <w:t>202</w:t>
      </w:r>
      <w:r>
        <w:rPr>
          <w:rFonts w:hint="eastAsia" w:hAnsi="宋体"/>
          <w:szCs w:val="28"/>
          <w:highlight w:val="none"/>
          <w:lang w:val="en-US" w:eastAsia="zh-CN"/>
        </w:rPr>
        <w:t>3</w:t>
      </w:r>
      <w:r>
        <w:rPr>
          <w:rFonts w:hint="eastAsia" w:hAnsi="宋体"/>
          <w:szCs w:val="28"/>
        </w:rPr>
        <w:t>年结转结余资金</w:t>
      </w:r>
      <w:r>
        <w:rPr>
          <w:rFonts w:hint="eastAsia" w:hAnsi="宋体"/>
          <w:szCs w:val="28"/>
          <w:lang w:val="en-US" w:eastAsia="zh-CN"/>
        </w:rPr>
        <w:t>4.19</w:t>
      </w:r>
      <w:r>
        <w:rPr>
          <w:rFonts w:hint="eastAsia" w:hAnsi="宋体"/>
          <w:szCs w:val="28"/>
          <w:lang w:eastAsia="zh-CN"/>
        </w:rPr>
        <w:t>万元，</w:t>
      </w:r>
      <w:r>
        <w:rPr>
          <w:rFonts w:hint="eastAsia" w:hAnsi="宋体"/>
          <w:szCs w:val="28"/>
        </w:rPr>
        <w:t>结转结余变动率为</w:t>
      </w:r>
      <w:r>
        <w:rPr>
          <w:rFonts w:hint="eastAsia" w:hAnsi="宋体"/>
          <w:szCs w:val="28"/>
          <w:lang w:val="en-US" w:eastAsia="zh-CN"/>
        </w:rPr>
        <w:t>-90.59%，年度目标值小于等于0%</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w:t>
      </w:r>
      <w:r>
        <w:rPr>
          <w:rFonts w:hint="eastAsia" w:hAnsi="宋体"/>
          <w:szCs w:val="28"/>
        </w:rPr>
        <w:t>%。</w:t>
      </w:r>
    </w:p>
    <w:p w14:paraId="6FF849E2">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分，得分率为100%。</w:t>
      </w:r>
    </w:p>
    <w:p w14:paraId="047D47A4">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3731AFFC">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48632945">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38759F8F">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，在职人员</w:t>
      </w:r>
      <w:r>
        <w:rPr>
          <w:rFonts w:hint="eastAsia" w:hAnsi="宋体"/>
          <w:szCs w:val="28"/>
          <w:lang w:val="en-US" w:eastAsia="zh-CN"/>
        </w:rPr>
        <w:t>控制率93.59%，年度目标值为100%。</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1.87</w:t>
      </w:r>
      <w:r>
        <w:rPr>
          <w:rFonts w:hint="eastAsia" w:hAnsi="宋体"/>
          <w:szCs w:val="28"/>
        </w:rPr>
        <w:t>分，得分率为</w:t>
      </w:r>
      <w:r>
        <w:rPr>
          <w:rFonts w:hint="eastAsia" w:hAnsi="宋体"/>
          <w:szCs w:val="28"/>
          <w:lang w:val="en-US" w:eastAsia="zh-CN"/>
        </w:rPr>
        <w:t>93.50%</w:t>
      </w:r>
      <w:r>
        <w:rPr>
          <w:rFonts w:hint="eastAsia" w:hAnsi="宋体"/>
          <w:szCs w:val="28"/>
        </w:rPr>
        <w:t>。</w:t>
      </w:r>
    </w:p>
    <w:p w14:paraId="17EEA67D">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421268A8">
      <w:pPr>
        <w:pStyle w:val="5"/>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8" w:name="_Toc40046032"/>
      <w:r>
        <w:rPr>
          <w:rFonts w:hint="eastAsia"/>
          <w:lang w:val="en-US" w:eastAsia="zh-CN"/>
        </w:rPr>
        <w:t>3.</w:t>
      </w:r>
      <w:r>
        <w:rPr>
          <w:rFonts w:hint="eastAsia"/>
        </w:rPr>
        <w:t>履职效果</w:t>
      </w:r>
      <w:bookmarkEnd w:id="48"/>
      <w:r>
        <w:rPr>
          <w:rFonts w:hint="eastAsia"/>
          <w:lang w:val="en-US" w:eastAsia="zh-CN"/>
        </w:rPr>
        <w:t>目标完成情况分析</w:t>
      </w:r>
    </w:p>
    <w:p w14:paraId="2100AFB0">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4</w:t>
      </w:r>
      <w:r>
        <w:rPr>
          <w:rFonts w:hint="eastAsia"/>
          <w:highlight w:val="none"/>
        </w:rPr>
        <w:t>个二级指标，下设</w:t>
      </w:r>
      <w:r>
        <w:rPr>
          <w:rFonts w:hint="eastAsia"/>
          <w:highlight w:val="none"/>
          <w:lang w:val="en-US" w:eastAsia="zh-CN"/>
        </w:rPr>
        <w:t>17</w:t>
      </w:r>
      <w:r>
        <w:rPr>
          <w:rFonts w:hint="eastAsia"/>
          <w:highlight w:val="none"/>
        </w:rPr>
        <w:t>个三级指标。履职效果指标分值</w:t>
      </w:r>
      <w:r>
        <w:rPr>
          <w:rFonts w:hint="eastAsia"/>
          <w:highlight w:val="none"/>
          <w:lang w:val="en-US" w:eastAsia="zh-CN"/>
        </w:rPr>
        <w:t>57.1</w:t>
      </w:r>
      <w:r>
        <w:rPr>
          <w:rFonts w:hint="eastAsia"/>
          <w:highlight w:val="none"/>
        </w:rPr>
        <w:t>分，自评</w:t>
      </w:r>
      <w:r>
        <w:rPr>
          <w:highlight w:val="none"/>
        </w:rPr>
        <w:t>得</w:t>
      </w:r>
      <w:r>
        <w:rPr>
          <w:rFonts w:hint="eastAsia"/>
          <w:highlight w:val="none"/>
        </w:rPr>
        <w:t>分</w:t>
      </w:r>
      <w:r>
        <w:rPr>
          <w:rFonts w:hint="eastAsia"/>
          <w:highlight w:val="none"/>
          <w:lang w:val="en-US" w:eastAsia="zh-CN"/>
        </w:rPr>
        <w:t>53.71</w:t>
      </w:r>
      <w:r>
        <w:rPr>
          <w:rFonts w:hint="eastAsia"/>
          <w:highlight w:val="none"/>
        </w:rPr>
        <w:t>分，</w:t>
      </w:r>
      <w:r>
        <w:rPr>
          <w:highlight w:val="none"/>
        </w:rPr>
        <w:t>得分率</w:t>
      </w:r>
      <w:r>
        <w:rPr>
          <w:rFonts w:hint="eastAsia"/>
          <w:highlight w:val="none"/>
          <w:lang w:val="en-US" w:eastAsia="zh-CN"/>
        </w:rPr>
        <w:t>94.06</w:t>
      </w:r>
      <w:r>
        <w:rPr>
          <w:highlight w:val="none"/>
        </w:rPr>
        <w:t>%</w:t>
      </w:r>
      <w:r>
        <w:rPr>
          <w:rFonts w:hint="eastAsia"/>
          <w:highlight w:val="none"/>
        </w:rPr>
        <w:t>。</w:t>
      </w:r>
      <w:r>
        <w:rPr>
          <w:rFonts w:hint="eastAsia"/>
          <w:b/>
          <w:bCs/>
          <w:lang w:eastAsia="zh-CN"/>
        </w:rPr>
        <w:tab/>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7B0A25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14:paraId="242F6AD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16FF93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2FCC173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31AFFB2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474FA19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515EA0E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1AE2629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7609D82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79AB3C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部门履职目标</w:t>
            </w:r>
          </w:p>
        </w:tc>
        <w:tc>
          <w:tcPr>
            <w:tcW w:w="1800" w:type="dxa"/>
            <w:vAlign w:val="center"/>
          </w:tcPr>
          <w:p w14:paraId="119E43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受理各项案件</w:t>
            </w:r>
          </w:p>
        </w:tc>
        <w:tc>
          <w:tcPr>
            <w:tcW w:w="1428" w:type="dxa"/>
            <w:vAlign w:val="center"/>
          </w:tcPr>
          <w:p w14:paraId="56DFEF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&gt;=3000件</w:t>
            </w:r>
          </w:p>
        </w:tc>
        <w:tc>
          <w:tcPr>
            <w:tcW w:w="1484" w:type="dxa"/>
            <w:vAlign w:val="center"/>
          </w:tcPr>
          <w:p w14:paraId="349208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3970件</w:t>
            </w:r>
          </w:p>
        </w:tc>
        <w:tc>
          <w:tcPr>
            <w:tcW w:w="850" w:type="dxa"/>
            <w:vAlign w:val="center"/>
          </w:tcPr>
          <w:p w14:paraId="60964522">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6.25</w:t>
            </w:r>
          </w:p>
        </w:tc>
        <w:tc>
          <w:tcPr>
            <w:tcW w:w="1188" w:type="dxa"/>
            <w:vAlign w:val="center"/>
          </w:tcPr>
          <w:p w14:paraId="0D64F7A9">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bidi="ar"/>
              </w:rPr>
              <w:t>6.21</w:t>
            </w:r>
          </w:p>
        </w:tc>
        <w:tc>
          <w:tcPr>
            <w:tcW w:w="1071" w:type="dxa"/>
            <w:vAlign w:val="center"/>
          </w:tcPr>
          <w:p w14:paraId="18754CE1">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99.36%</w:t>
            </w:r>
          </w:p>
        </w:tc>
      </w:tr>
      <w:tr w14:paraId="223D4F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13C62F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355CF8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结案率</w:t>
            </w:r>
          </w:p>
        </w:tc>
        <w:tc>
          <w:tcPr>
            <w:tcW w:w="1428" w:type="dxa"/>
            <w:vAlign w:val="center"/>
          </w:tcPr>
          <w:p w14:paraId="662C46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484" w:type="dxa"/>
            <w:vAlign w:val="center"/>
          </w:tcPr>
          <w:p w14:paraId="089EED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95.62%</w:t>
            </w:r>
          </w:p>
        </w:tc>
        <w:tc>
          <w:tcPr>
            <w:tcW w:w="850" w:type="dxa"/>
            <w:vAlign w:val="center"/>
          </w:tcPr>
          <w:p w14:paraId="1C71BC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1188" w:type="dxa"/>
            <w:vAlign w:val="center"/>
          </w:tcPr>
          <w:p w14:paraId="579C89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14:paraId="5072DB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8AB08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080607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354CE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案件法定期间办结率</w:t>
            </w:r>
          </w:p>
        </w:tc>
        <w:tc>
          <w:tcPr>
            <w:tcW w:w="1428" w:type="dxa"/>
            <w:vAlign w:val="center"/>
          </w:tcPr>
          <w:p w14:paraId="264122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14:paraId="3FBE83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99.87%</w:t>
            </w:r>
          </w:p>
        </w:tc>
        <w:tc>
          <w:tcPr>
            <w:tcW w:w="850" w:type="dxa"/>
            <w:vAlign w:val="center"/>
          </w:tcPr>
          <w:p w14:paraId="06FEF8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1188" w:type="dxa"/>
            <w:vAlign w:val="center"/>
          </w:tcPr>
          <w:p w14:paraId="505859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14:paraId="0E96BA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1E8E2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5FA656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0200D3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年度预算控制率</w:t>
            </w:r>
          </w:p>
        </w:tc>
        <w:tc>
          <w:tcPr>
            <w:tcW w:w="1428" w:type="dxa"/>
            <w:vAlign w:val="center"/>
          </w:tcPr>
          <w:p w14:paraId="11272F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14:paraId="07C472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14:paraId="26BA03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1188" w:type="dxa"/>
            <w:vAlign w:val="center"/>
          </w:tcPr>
          <w:p w14:paraId="13E2CF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14:paraId="285E2C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5C0D8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0BB375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部门效果目标</w:t>
            </w:r>
          </w:p>
          <w:p w14:paraId="3CD21329">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14:paraId="15DD76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经济效益-执行案件结案率</w:t>
            </w:r>
          </w:p>
        </w:tc>
        <w:tc>
          <w:tcPr>
            <w:tcW w:w="1428" w:type="dxa"/>
            <w:vAlign w:val="center"/>
          </w:tcPr>
          <w:p w14:paraId="7A9ED6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w:t>
            </w:r>
          </w:p>
        </w:tc>
        <w:tc>
          <w:tcPr>
            <w:tcW w:w="1484" w:type="dxa"/>
            <w:vAlign w:val="center"/>
          </w:tcPr>
          <w:p w14:paraId="234B07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96.09%</w:t>
            </w:r>
          </w:p>
        </w:tc>
        <w:tc>
          <w:tcPr>
            <w:tcW w:w="850" w:type="dxa"/>
            <w:vAlign w:val="center"/>
          </w:tcPr>
          <w:p w14:paraId="65420D99">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3.25</w:t>
            </w:r>
          </w:p>
        </w:tc>
        <w:tc>
          <w:tcPr>
            <w:tcW w:w="1188" w:type="dxa"/>
            <w:vAlign w:val="center"/>
          </w:tcPr>
          <w:p w14:paraId="21A157B0">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0</w:t>
            </w:r>
          </w:p>
        </w:tc>
        <w:tc>
          <w:tcPr>
            <w:tcW w:w="1071" w:type="dxa"/>
            <w:vAlign w:val="center"/>
          </w:tcPr>
          <w:p w14:paraId="7A6D2304">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0.00%</w:t>
            </w:r>
          </w:p>
        </w:tc>
      </w:tr>
      <w:tr w14:paraId="69748B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68105A3C">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14:paraId="549ED1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社会效益-营商环境改变</w:t>
            </w:r>
          </w:p>
        </w:tc>
        <w:tc>
          <w:tcPr>
            <w:tcW w:w="1428" w:type="dxa"/>
            <w:vAlign w:val="center"/>
          </w:tcPr>
          <w:p w14:paraId="13BE07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好</w:t>
            </w:r>
          </w:p>
        </w:tc>
        <w:tc>
          <w:tcPr>
            <w:tcW w:w="1484" w:type="dxa"/>
            <w:vAlign w:val="center"/>
          </w:tcPr>
          <w:p w14:paraId="3A3BB4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850" w:type="dxa"/>
            <w:vAlign w:val="center"/>
          </w:tcPr>
          <w:p w14:paraId="1AE8BE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1188" w:type="dxa"/>
            <w:vAlign w:val="center"/>
          </w:tcPr>
          <w:p w14:paraId="0DED59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14:paraId="53E79F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DC086A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34DED9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w:t>
            </w:r>
          </w:p>
        </w:tc>
        <w:tc>
          <w:tcPr>
            <w:tcW w:w="1800" w:type="dxa"/>
            <w:vAlign w:val="center"/>
          </w:tcPr>
          <w:p w14:paraId="496749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内部干警满意度</w:t>
            </w:r>
          </w:p>
        </w:tc>
        <w:tc>
          <w:tcPr>
            <w:tcW w:w="1428" w:type="dxa"/>
            <w:vAlign w:val="center"/>
          </w:tcPr>
          <w:p w14:paraId="57A185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14:paraId="593FAC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850" w:type="dxa"/>
            <w:vAlign w:val="center"/>
          </w:tcPr>
          <w:p w14:paraId="1428D47C">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188" w:type="dxa"/>
            <w:vAlign w:val="center"/>
          </w:tcPr>
          <w:p w14:paraId="2A841F57">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14:paraId="35236E15">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2265A9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45A35A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72D36F92">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外部群众满意度</w:t>
            </w:r>
          </w:p>
        </w:tc>
        <w:tc>
          <w:tcPr>
            <w:tcW w:w="1428" w:type="dxa"/>
            <w:vAlign w:val="center"/>
          </w:tcPr>
          <w:p w14:paraId="77DA02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14:paraId="6C4B51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850" w:type="dxa"/>
            <w:vAlign w:val="center"/>
          </w:tcPr>
          <w:p w14:paraId="14587E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8" w:type="dxa"/>
            <w:vAlign w:val="center"/>
          </w:tcPr>
          <w:p w14:paraId="5ECED9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14:paraId="53289C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B8D2F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6370DB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社会影响</w:t>
            </w:r>
          </w:p>
        </w:tc>
        <w:tc>
          <w:tcPr>
            <w:tcW w:w="1800" w:type="dxa"/>
            <w:vAlign w:val="center"/>
          </w:tcPr>
          <w:p w14:paraId="490C89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单位获奖情况</w:t>
            </w:r>
          </w:p>
        </w:tc>
        <w:tc>
          <w:tcPr>
            <w:tcW w:w="1428" w:type="dxa"/>
            <w:vAlign w:val="center"/>
          </w:tcPr>
          <w:p w14:paraId="0630E9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≥2项</w:t>
            </w:r>
          </w:p>
        </w:tc>
        <w:tc>
          <w:tcPr>
            <w:tcW w:w="1484" w:type="dxa"/>
            <w:vAlign w:val="center"/>
          </w:tcPr>
          <w:p w14:paraId="4F14732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14:paraId="4EB034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1188" w:type="dxa"/>
            <w:vAlign w:val="center"/>
          </w:tcPr>
          <w:p w14:paraId="55B05D9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14:paraId="7CDC6D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683EE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709F52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04A10E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违法违纪情况</w:t>
            </w:r>
          </w:p>
        </w:tc>
        <w:tc>
          <w:tcPr>
            <w:tcW w:w="1428" w:type="dxa"/>
            <w:vAlign w:val="center"/>
          </w:tcPr>
          <w:p w14:paraId="494488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484" w:type="dxa"/>
            <w:vAlign w:val="center"/>
          </w:tcPr>
          <w:p w14:paraId="722B2A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850" w:type="dxa"/>
            <w:vAlign w:val="center"/>
          </w:tcPr>
          <w:p w14:paraId="42798A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w:t>
            </w:r>
          </w:p>
        </w:tc>
        <w:tc>
          <w:tcPr>
            <w:tcW w:w="1188" w:type="dxa"/>
            <w:vAlign w:val="center"/>
          </w:tcPr>
          <w:p w14:paraId="2D4064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w:t>
            </w:r>
          </w:p>
        </w:tc>
        <w:tc>
          <w:tcPr>
            <w:tcW w:w="1071" w:type="dxa"/>
            <w:vAlign w:val="center"/>
          </w:tcPr>
          <w:p w14:paraId="73A203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1B47F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14:paraId="60D17136">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2604243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30FB28F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02219443">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7BE2F05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57.1</w:t>
            </w:r>
          </w:p>
        </w:tc>
        <w:tc>
          <w:tcPr>
            <w:tcW w:w="1188" w:type="dxa"/>
            <w:shd w:val="clear" w:color="auto" w:fill="BDD6EE"/>
            <w:vAlign w:val="center"/>
          </w:tcPr>
          <w:p w14:paraId="01DFC92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53.71</w:t>
            </w:r>
          </w:p>
        </w:tc>
        <w:tc>
          <w:tcPr>
            <w:tcW w:w="1071" w:type="dxa"/>
            <w:shd w:val="clear" w:color="auto" w:fill="BDD6EE"/>
            <w:vAlign w:val="center"/>
          </w:tcPr>
          <w:p w14:paraId="02B2AB2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94.06%</w:t>
            </w:r>
          </w:p>
        </w:tc>
      </w:tr>
    </w:tbl>
    <w:p w14:paraId="5633601B">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受理各项案件</w:t>
      </w:r>
      <w:r>
        <w:rPr>
          <w:rFonts w:hint="eastAsia"/>
          <w:b/>
          <w:bCs/>
        </w:rPr>
        <w:t>：</w:t>
      </w:r>
      <w:r>
        <w:rPr>
          <w:rFonts w:hint="eastAsia"/>
        </w:rPr>
        <w:t>我院本年度受理</w:t>
      </w:r>
      <w:r>
        <w:rPr>
          <w:rFonts w:hint="eastAsia"/>
          <w:lang w:eastAsia="zh-CN"/>
        </w:rPr>
        <w:t>各项</w:t>
      </w:r>
      <w:r>
        <w:rPr>
          <w:rFonts w:hint="eastAsia"/>
        </w:rPr>
        <w:t>案件</w:t>
      </w:r>
      <w:r>
        <w:rPr>
          <w:rFonts w:hint="eastAsia"/>
          <w:lang w:val="en-US" w:eastAsia="zh-CN"/>
        </w:rPr>
        <w:t>3970件</w:t>
      </w:r>
      <w:r>
        <w:t>，有效保障了审判服务</w:t>
      </w:r>
      <w:r>
        <w:rPr>
          <w:rFonts w:hint="eastAsia"/>
          <w:lang w:eastAsia="zh-CN"/>
        </w:rPr>
        <w:t>，年度目标值大于等于</w:t>
      </w:r>
      <w:r>
        <w:rPr>
          <w:rFonts w:hint="eastAsia"/>
          <w:lang w:val="en-US" w:eastAsia="zh-CN"/>
        </w:rPr>
        <w:t>3000件</w:t>
      </w:r>
      <w:r>
        <w:t>。</w:t>
      </w:r>
      <w:r>
        <w:rPr>
          <w:rFonts w:hint="eastAsia"/>
        </w:rPr>
        <w:t>该指标分值</w:t>
      </w:r>
      <w:r>
        <w:rPr>
          <w:rFonts w:hint="eastAsia"/>
          <w:highlight w:val="none"/>
          <w:lang w:val="en-US" w:eastAsia="zh-CN"/>
        </w:rPr>
        <w:t>6.25</w:t>
      </w:r>
      <w:r>
        <w:rPr>
          <w:rFonts w:hint="eastAsia"/>
        </w:rPr>
        <w:t>分，自评得分</w:t>
      </w:r>
      <w:r>
        <w:rPr>
          <w:rFonts w:hint="eastAsia"/>
          <w:highlight w:val="none"/>
          <w:lang w:val="en-US" w:eastAsia="zh-CN"/>
        </w:rPr>
        <w:t>6.21</w:t>
      </w:r>
      <w:r>
        <w:rPr>
          <w:rFonts w:hint="eastAsia"/>
        </w:rPr>
        <w:t>分，得分率为</w:t>
      </w:r>
      <w:r>
        <w:rPr>
          <w:rFonts w:hint="eastAsia"/>
          <w:lang w:val="en-US" w:eastAsia="zh-CN"/>
        </w:rPr>
        <w:t>99.36</w:t>
      </w:r>
      <w:r>
        <w:t>%</w:t>
      </w:r>
      <w:r>
        <w:rPr>
          <w:rFonts w:hint="eastAsia"/>
        </w:rPr>
        <w:t>。</w:t>
      </w:r>
    </w:p>
    <w:p w14:paraId="68EBF594">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结案率：</w:t>
      </w:r>
      <w:r>
        <w:rPr>
          <w:rFonts w:hint="eastAsia"/>
          <w:b w:val="0"/>
          <w:bCs w:val="0"/>
          <w:lang w:val="en-US" w:eastAsia="zh-CN"/>
        </w:rPr>
        <w:t>我院2023年立案3970件，结案3796件，结案率95.62%，</w:t>
      </w:r>
      <w:r>
        <w:rPr>
          <w:rFonts w:hint="eastAsia"/>
          <w:lang w:val="en-US" w:eastAsia="zh-CN"/>
        </w:rPr>
        <w:t>达到目标值</w:t>
      </w:r>
      <w:r>
        <w:t>。</w:t>
      </w:r>
      <w:r>
        <w:rPr>
          <w:rFonts w:hint="eastAsia"/>
        </w:rPr>
        <w:t>该指标分值</w:t>
      </w:r>
      <w:r>
        <w:rPr>
          <w:rFonts w:hint="eastAsia"/>
          <w:highlight w:val="none"/>
          <w:lang w:val="en-US" w:eastAsia="zh-CN"/>
        </w:rPr>
        <w:t>6.25</w:t>
      </w:r>
      <w:r>
        <w:rPr>
          <w:rFonts w:hint="eastAsia"/>
        </w:rPr>
        <w:t>分，自评得分</w:t>
      </w:r>
      <w:r>
        <w:rPr>
          <w:rFonts w:hint="eastAsia"/>
          <w:highlight w:val="none"/>
          <w:lang w:val="en-US" w:eastAsia="zh-CN"/>
        </w:rPr>
        <w:t>6.25</w:t>
      </w:r>
      <w:r>
        <w:rPr>
          <w:rFonts w:hint="eastAsia"/>
        </w:rPr>
        <w:t>分，得分率为</w:t>
      </w:r>
      <w:r>
        <w:t>100%</w:t>
      </w:r>
      <w:r>
        <w:rPr>
          <w:rFonts w:hint="eastAsia"/>
        </w:rPr>
        <w:t>。</w:t>
      </w:r>
    </w:p>
    <w:p w14:paraId="403655EA">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案件法定期间办结率：</w:t>
      </w:r>
      <w:r>
        <w:rPr>
          <w:rFonts w:hint="eastAsia"/>
          <w:b w:val="0"/>
          <w:bCs w:val="0"/>
          <w:lang w:val="en-US" w:eastAsia="zh-CN"/>
        </w:rPr>
        <w:t>我院2023年</w:t>
      </w:r>
      <w:r>
        <w:rPr>
          <w:rFonts w:hint="eastAsia"/>
          <w:lang w:eastAsia="zh-CN"/>
        </w:rPr>
        <w:t>法定审限内结案率</w:t>
      </w:r>
      <w:r>
        <w:rPr>
          <w:rFonts w:hint="eastAsia"/>
          <w:lang w:val="en-US" w:eastAsia="zh-CN"/>
        </w:rPr>
        <w:t>99.87</w:t>
      </w:r>
      <w:r>
        <w:rPr>
          <w:rFonts w:hint="eastAsia"/>
          <w:lang w:eastAsia="zh-CN"/>
        </w:rPr>
        <w:t>%。</w:t>
      </w:r>
      <w:r>
        <w:rPr>
          <w:rFonts w:hint="eastAsia"/>
          <w:lang w:val="en-US" w:eastAsia="zh-CN"/>
        </w:rPr>
        <w:t>达到目标值</w:t>
      </w:r>
      <w:r>
        <w:t>。</w:t>
      </w:r>
      <w:r>
        <w:rPr>
          <w:rFonts w:hint="eastAsia"/>
        </w:rPr>
        <w:t>该指标分值</w:t>
      </w:r>
      <w:r>
        <w:rPr>
          <w:rFonts w:hint="eastAsia"/>
          <w:highlight w:val="none"/>
          <w:lang w:val="en-US" w:eastAsia="zh-CN"/>
        </w:rPr>
        <w:t>6.25</w:t>
      </w:r>
      <w:r>
        <w:rPr>
          <w:rFonts w:hint="eastAsia"/>
        </w:rPr>
        <w:t>分，自评得分</w:t>
      </w:r>
      <w:r>
        <w:rPr>
          <w:rFonts w:hint="eastAsia"/>
          <w:highlight w:val="none"/>
          <w:lang w:val="en-US" w:eastAsia="zh-CN"/>
        </w:rPr>
        <w:t>6.25</w:t>
      </w:r>
      <w:r>
        <w:rPr>
          <w:rFonts w:hint="eastAsia"/>
        </w:rPr>
        <w:t>分，得分率为</w:t>
      </w:r>
      <w:r>
        <w:t>100%</w:t>
      </w:r>
      <w:r>
        <w:rPr>
          <w:rFonts w:hint="eastAsia"/>
        </w:rPr>
        <w:t>。</w:t>
      </w:r>
    </w:p>
    <w:p w14:paraId="69DBB66C">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年度预算控制率：</w:t>
      </w:r>
      <w:r>
        <w:rPr>
          <w:rFonts w:hint="eastAsia"/>
          <w:b w:val="0"/>
          <w:bCs w:val="0"/>
          <w:lang w:val="en-US" w:eastAsia="zh-CN"/>
        </w:rPr>
        <w:t>我院2023年全年预算数等于实际支出数，预算控制率100%，</w:t>
      </w:r>
      <w:r>
        <w:rPr>
          <w:rFonts w:hint="eastAsia"/>
          <w:lang w:val="en-US" w:eastAsia="zh-CN"/>
        </w:rPr>
        <w:t>达到目标值</w:t>
      </w:r>
      <w:r>
        <w:t>。</w:t>
      </w:r>
      <w:r>
        <w:rPr>
          <w:rFonts w:hint="eastAsia"/>
        </w:rPr>
        <w:t>该指标分值</w:t>
      </w:r>
      <w:r>
        <w:rPr>
          <w:rFonts w:hint="eastAsia"/>
          <w:highlight w:val="none"/>
          <w:lang w:val="en-US" w:eastAsia="zh-CN"/>
        </w:rPr>
        <w:t>6.25</w:t>
      </w:r>
      <w:r>
        <w:rPr>
          <w:rFonts w:hint="eastAsia"/>
        </w:rPr>
        <w:t>分，自评得分</w:t>
      </w:r>
      <w:r>
        <w:rPr>
          <w:rFonts w:hint="eastAsia"/>
          <w:highlight w:val="none"/>
          <w:lang w:val="en-US" w:eastAsia="zh-CN"/>
        </w:rPr>
        <w:t>6.25</w:t>
      </w:r>
      <w:r>
        <w:rPr>
          <w:rFonts w:hint="eastAsia"/>
        </w:rPr>
        <w:t>分，得分率为</w:t>
      </w:r>
      <w:r>
        <w:t>100%</w:t>
      </w:r>
      <w:r>
        <w:rPr>
          <w:rFonts w:hint="eastAsia"/>
        </w:rPr>
        <w:t>。</w:t>
      </w:r>
    </w:p>
    <w:p w14:paraId="61558567">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hAnsi="宋体" w:cstheme="minorBidi"/>
          <w:b/>
          <w:bCs/>
          <w:kern w:val="2"/>
          <w:sz w:val="28"/>
          <w:szCs w:val="28"/>
          <w:lang w:val="en-US" w:eastAsia="zh-CN" w:bidi="ar-SA"/>
        </w:rPr>
        <w:t>执行案件结案率</w:t>
      </w:r>
      <w:r>
        <w:rPr>
          <w:rFonts w:hint="eastAsia" w:ascii="仿宋_GB2312" w:hAnsi="宋体" w:eastAsia="仿宋_GB2312" w:cstheme="minorBidi"/>
          <w:b/>
          <w:bCs/>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我院持续推进执行攻坚，营造诚实守信的法治环境。创建“1324”执行工作机制、分段执行工作法，规范行政案件执行、执行信访案件化解、网拍辅助机构管理，不断提高执行</w:t>
      </w:r>
      <w:r>
        <w:rPr>
          <w:rFonts w:hint="eastAsia" w:hAnsi="宋体" w:cstheme="minorBidi"/>
          <w:b w:val="0"/>
          <w:bCs w:val="0"/>
          <w:kern w:val="2"/>
          <w:sz w:val="28"/>
          <w:szCs w:val="28"/>
          <w:lang w:val="en-US" w:eastAsia="zh-CN" w:bidi="ar-SA"/>
        </w:rPr>
        <w:t>力。该指标</w:t>
      </w:r>
      <w:r>
        <w:rPr>
          <w:rFonts w:hint="eastAsia" w:ascii="仿宋_GB2312" w:hAnsi="宋体" w:eastAsia="仿宋_GB2312" w:cstheme="minorBidi"/>
          <w:b w:val="0"/>
          <w:bCs w:val="0"/>
          <w:kern w:val="2"/>
          <w:sz w:val="28"/>
          <w:szCs w:val="28"/>
          <w:lang w:val="en-US" w:eastAsia="zh-CN" w:bidi="ar-SA"/>
        </w:rPr>
        <w:t>分值</w:t>
      </w:r>
      <w:r>
        <w:rPr>
          <w:rFonts w:hint="eastAsia" w:hAnsi="宋体" w:cstheme="minorBidi"/>
          <w:b w:val="0"/>
          <w:bCs w:val="0"/>
          <w:kern w:val="2"/>
          <w:sz w:val="28"/>
          <w:szCs w:val="28"/>
          <w:lang w:val="en-US" w:eastAsia="zh-CN" w:bidi="ar-SA"/>
        </w:rPr>
        <w:t>3.25</w:t>
      </w:r>
      <w:r>
        <w:rPr>
          <w:rFonts w:hint="eastAsia" w:ascii="仿宋_GB2312" w:hAnsi="宋体" w:eastAsia="仿宋_GB2312" w:cstheme="minorBidi"/>
          <w:b w:val="0"/>
          <w:bCs w:val="0"/>
          <w:kern w:val="2"/>
          <w:sz w:val="28"/>
          <w:szCs w:val="28"/>
          <w:lang w:val="en-US" w:eastAsia="zh-CN" w:bidi="ar-SA"/>
        </w:rPr>
        <w:t>分，</w:t>
      </w:r>
      <w:r>
        <w:rPr>
          <w:rFonts w:hint="eastAsia" w:hAnsi="宋体" w:cstheme="minorBidi"/>
          <w:b w:val="0"/>
          <w:bCs w:val="0"/>
          <w:kern w:val="2"/>
          <w:sz w:val="28"/>
          <w:szCs w:val="28"/>
          <w:lang w:val="en-US" w:eastAsia="zh-CN" w:bidi="ar-SA"/>
        </w:rPr>
        <w:t>因未设置年初目标值，</w:t>
      </w:r>
      <w:r>
        <w:rPr>
          <w:rFonts w:hint="eastAsia" w:ascii="仿宋_GB2312" w:hAnsi="宋体" w:eastAsia="仿宋_GB2312" w:cstheme="minorBidi"/>
          <w:b w:val="0"/>
          <w:bCs w:val="0"/>
          <w:kern w:val="2"/>
          <w:sz w:val="28"/>
          <w:szCs w:val="28"/>
          <w:lang w:val="en-US" w:eastAsia="zh-CN" w:bidi="ar-SA"/>
        </w:rPr>
        <w:t>自评得分为</w:t>
      </w:r>
      <w:r>
        <w:rPr>
          <w:rFonts w:hint="eastAsia" w:hAnsi="宋体" w:cstheme="minorBidi"/>
          <w:b w:val="0"/>
          <w:bCs w:val="0"/>
          <w:kern w:val="2"/>
          <w:sz w:val="28"/>
          <w:szCs w:val="28"/>
          <w:lang w:val="en-US" w:eastAsia="zh-CN" w:bidi="ar-SA"/>
        </w:rPr>
        <w:t>0</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0%</w:t>
      </w:r>
      <w:r>
        <w:rPr>
          <w:rFonts w:hint="eastAsia" w:ascii="仿宋_GB2312" w:hAnsi="宋体" w:eastAsia="仿宋_GB2312" w:cstheme="minorBidi"/>
          <w:b w:val="0"/>
          <w:bCs w:val="0"/>
          <w:kern w:val="2"/>
          <w:sz w:val="28"/>
          <w:szCs w:val="28"/>
          <w:lang w:val="en-US" w:eastAsia="zh-CN" w:bidi="ar-SA"/>
        </w:rPr>
        <w:t>。</w:t>
      </w:r>
    </w:p>
    <w:p w14:paraId="1DDFDBB2">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营商环境改变：</w:t>
      </w:r>
      <w:r>
        <w:rPr>
          <w:rFonts w:hint="eastAsia" w:ascii="仿宋_GB2312" w:hAnsi="宋体" w:eastAsia="仿宋_GB2312" w:cstheme="minorBidi"/>
          <w:b w:val="0"/>
          <w:bCs w:val="0"/>
          <w:kern w:val="2"/>
          <w:sz w:val="28"/>
          <w:szCs w:val="28"/>
          <w:lang w:val="en-US" w:eastAsia="zh-CN" w:bidi="ar-SA"/>
        </w:rPr>
        <w:t>我院力争将矛盾纠纷化解在诉前，突出“和”字理念，贯彻“调解优先、调判结合”的民事审判方针，妥善化解民事纠纷，构建安定和谐的发展环境。营商环境改变</w:t>
      </w:r>
      <w:r>
        <w:rPr>
          <w:rFonts w:hint="eastAsia" w:hAnsi="宋体" w:cstheme="minorBidi"/>
          <w:b w:val="0"/>
          <w:bCs w:val="0"/>
          <w:kern w:val="2"/>
          <w:sz w:val="28"/>
          <w:szCs w:val="28"/>
          <w:lang w:val="en-US" w:eastAsia="zh-CN" w:bidi="ar-SA"/>
        </w:rPr>
        <w:t>较好，到达目标值。</w:t>
      </w:r>
      <w:r>
        <w:rPr>
          <w:rFonts w:hint="eastAsia" w:ascii="仿宋_GB2312" w:hAnsi="宋体" w:eastAsia="仿宋_GB2312" w:cstheme="minorBidi"/>
          <w:b w:val="0"/>
          <w:bCs w:val="0"/>
          <w:kern w:val="2"/>
          <w:sz w:val="28"/>
          <w:szCs w:val="28"/>
          <w:lang w:val="en-US" w:eastAsia="zh-CN" w:bidi="ar-SA"/>
        </w:rPr>
        <w:t>该指标分值</w:t>
      </w:r>
      <w:r>
        <w:rPr>
          <w:rFonts w:hint="eastAsia" w:hAnsi="宋体" w:cstheme="minorBidi"/>
          <w:b w:val="0"/>
          <w:bCs w:val="0"/>
          <w:kern w:val="2"/>
          <w:sz w:val="28"/>
          <w:szCs w:val="28"/>
          <w:lang w:val="en-US" w:eastAsia="zh-CN" w:bidi="ar-SA"/>
        </w:rPr>
        <w:t>6.25</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6.25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704E39EE">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内外干警</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内外干警</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w:t>
      </w:r>
      <w:r>
        <w:rPr>
          <w:rFonts w:hint="eastAsia" w:cs="仿宋_GB2312"/>
          <w:sz w:val="28"/>
          <w:szCs w:val="28"/>
          <w:lang w:val="en-US" w:eastAsia="zh-CN"/>
        </w:rPr>
        <w:t>95%，</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19438F0C">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cs="仿宋_GB2312"/>
          <w:b/>
          <w:bCs/>
          <w:sz w:val="28"/>
          <w:szCs w:val="28"/>
          <w:lang w:val="en-US" w:eastAsia="zh-CN"/>
        </w:rPr>
        <w:t>外部群众</w:t>
      </w:r>
      <w:r>
        <w:rPr>
          <w:rFonts w:hint="eastAsia" w:ascii="仿宋_GB2312" w:hAnsi="仿宋_GB2312" w:eastAsia="仿宋_GB2312" w:cs="仿宋_GB2312"/>
          <w:b/>
          <w:bCs/>
          <w:sz w:val="28"/>
          <w:szCs w:val="28"/>
        </w:rPr>
        <w:t>满意度：</w:t>
      </w:r>
      <w:r>
        <w:rPr>
          <w:rFonts w:hint="eastAsia"/>
        </w:rPr>
        <w:t>我院依法审理各类案件，妥善化解矛盾纠纷和行政争议，维护了法院审判工作的有序开展，积极保障人民群众生命财产安</w:t>
      </w:r>
      <w:r>
        <w:rPr>
          <w:rFonts w:hint="eastAsia"/>
          <w:lang w:val="en-US" w:eastAsia="zh-CN"/>
        </w:rPr>
        <w:t>全，外部群众满意度达到96%，</w:t>
      </w:r>
      <w:r>
        <w:rPr>
          <w:rFonts w:hint="eastAsia" w:cs="仿宋_GB2312"/>
          <w:sz w:val="28"/>
          <w:szCs w:val="28"/>
          <w:lang w:eastAsia="zh-CN"/>
        </w:rPr>
        <w:t>年度目标值为大于</w:t>
      </w:r>
      <w:r>
        <w:rPr>
          <w:rFonts w:hint="eastAsia" w:cs="仿宋_GB2312"/>
          <w:sz w:val="28"/>
          <w:szCs w:val="28"/>
          <w:lang w:val="en-US" w:eastAsia="zh-CN"/>
        </w:rPr>
        <w:t>95%</w:t>
      </w:r>
      <w:r>
        <w:rPr>
          <w:rFonts w:hint="eastAsia"/>
          <w:lang w:val="en-US" w:eastAsia="zh-CN"/>
        </w:rPr>
        <w:t>。</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14:paraId="5177A0D0">
      <w:pPr>
        <w:spacing w:line="360" w:lineRule="auto"/>
        <w:ind w:left="0" w:leftChars="0" w:firstLine="562" w:firstLineChars="200"/>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单位获奖情况：</w:t>
      </w:r>
      <w:r>
        <w:rPr>
          <w:rFonts w:hint="eastAsia" w:ascii="仿宋_GB2312" w:hAnsi="仿宋_GB2312" w:eastAsia="仿宋_GB2312"/>
          <w:sz w:val="28"/>
          <w:shd w:val="clear" w:color="auto" w:fill="FFFFFF"/>
        </w:rPr>
        <w:t>202</w:t>
      </w:r>
      <w:r>
        <w:rPr>
          <w:rFonts w:hint="eastAsia"/>
          <w:sz w:val="28"/>
          <w:shd w:val="clear" w:color="auto" w:fill="FFFFFF"/>
          <w:lang w:val="en-US" w:eastAsia="zh-CN"/>
        </w:rPr>
        <w:t>3</w:t>
      </w:r>
      <w:r>
        <w:rPr>
          <w:rFonts w:hint="eastAsia" w:ascii="仿宋_GB2312" w:hAnsi="仿宋_GB2312" w:eastAsia="仿宋_GB2312"/>
          <w:sz w:val="28"/>
          <w:shd w:val="clear" w:color="auto" w:fill="FFFFFF"/>
        </w:rPr>
        <w:t>年度，单位获奖</w:t>
      </w:r>
      <w:r>
        <w:rPr>
          <w:rFonts w:hint="eastAsia"/>
          <w:sz w:val="28"/>
          <w:shd w:val="clear" w:color="auto" w:fill="FFFFFF"/>
          <w:lang w:val="en-US" w:eastAsia="zh-CN"/>
        </w:rPr>
        <w:t>2项</w:t>
      </w:r>
      <w:r>
        <w:rPr>
          <w:rFonts w:hint="eastAsia" w:ascii="仿宋_GB2312" w:hAnsi="仿宋_GB2312" w:eastAsia="仿宋_GB2312"/>
          <w:sz w:val="28"/>
          <w:shd w:val="clear" w:color="auto" w:fill="FFFFFF"/>
        </w:rPr>
        <w:t>，</w:t>
      </w:r>
      <w:r>
        <w:rPr>
          <w:rFonts w:hint="eastAsia"/>
          <w:sz w:val="28"/>
          <w:shd w:val="clear" w:color="auto" w:fill="FFFFFF"/>
          <w:lang w:eastAsia="zh-CN"/>
        </w:rPr>
        <w:t>达到年度目标值，</w:t>
      </w:r>
      <w:r>
        <w:rPr>
          <w:rFonts w:hint="eastAsia" w:ascii="仿宋_GB2312" w:hAnsi="仿宋_GB2312" w:eastAsia="仿宋_GB2312" w:cs="仿宋_GB2312"/>
          <w:szCs w:val="28"/>
        </w:rPr>
        <w:t>该指标分值</w:t>
      </w:r>
      <w:r>
        <w:rPr>
          <w:rFonts w:hint="eastAsia" w:cs="仿宋_GB2312"/>
          <w:szCs w:val="28"/>
          <w:lang w:val="en-US" w:eastAsia="zh-CN"/>
        </w:rPr>
        <w:t>6.25</w:t>
      </w:r>
      <w:r>
        <w:rPr>
          <w:rFonts w:hint="eastAsia" w:ascii="仿宋_GB2312" w:hAnsi="仿宋_GB2312" w:eastAsia="仿宋_GB2312" w:cs="仿宋_GB2312"/>
          <w:szCs w:val="28"/>
        </w:rPr>
        <w:t>分，自评得分</w:t>
      </w:r>
      <w:r>
        <w:rPr>
          <w:rFonts w:hint="eastAsia" w:cs="仿宋_GB2312"/>
          <w:szCs w:val="28"/>
          <w:lang w:val="en-US" w:eastAsia="zh-CN"/>
        </w:rPr>
        <w:t>6.25</w:t>
      </w:r>
      <w:r>
        <w:rPr>
          <w:rFonts w:hint="eastAsia" w:ascii="仿宋_GB2312" w:hAnsi="仿宋_GB2312" w:eastAsia="仿宋_GB2312" w:cs="仿宋_GB2312"/>
          <w:szCs w:val="28"/>
        </w:rPr>
        <w:t>分，得分率为</w:t>
      </w:r>
      <w:r>
        <w:rPr>
          <w:rFonts w:hint="eastAsia" w:cs="仿宋_GB2312"/>
          <w:szCs w:val="28"/>
          <w:lang w:val="en-US" w:eastAsia="zh-CN"/>
        </w:rPr>
        <w:t>100.00</w:t>
      </w:r>
      <w:r>
        <w:rPr>
          <w:rFonts w:hint="eastAsia" w:ascii="仿宋_GB2312" w:hAnsi="仿宋_GB2312" w:eastAsia="仿宋_GB2312" w:cs="仿宋_GB2312"/>
          <w:szCs w:val="28"/>
        </w:rPr>
        <w:t>%</w:t>
      </w:r>
      <w:r>
        <w:rPr>
          <w:rFonts w:hint="eastAsia" w:ascii="仿宋_GB2312" w:hAnsi="宋体" w:eastAsia="仿宋_GB2312" w:cstheme="minorBidi"/>
          <w:b w:val="0"/>
          <w:bCs w:val="0"/>
          <w:kern w:val="2"/>
          <w:sz w:val="28"/>
          <w:szCs w:val="28"/>
          <w:lang w:val="en-US" w:eastAsia="zh-CN" w:bidi="ar-SA"/>
        </w:rPr>
        <w:t>。</w:t>
      </w:r>
    </w:p>
    <w:p w14:paraId="70603A57">
      <w:pPr>
        <w:bidi w:val="0"/>
        <w:rPr>
          <w:rFonts w:hint="eastAsia"/>
          <w:lang w:eastAsia="zh-CN"/>
        </w:rPr>
      </w:pPr>
      <w:r>
        <w:rPr>
          <w:rFonts w:hint="eastAsia"/>
          <w:b/>
          <w:bCs/>
          <w:lang w:val="en-US" w:eastAsia="zh-CN"/>
        </w:rPr>
        <w:t>违法违纪情况：</w:t>
      </w:r>
      <w:r>
        <w:rPr>
          <w:rFonts w:hint="eastAsia"/>
          <w:lang w:eastAsia="zh-CN"/>
        </w:rPr>
        <w:t>2023年</w:t>
      </w:r>
      <w:r>
        <w:rPr>
          <w:rFonts w:hint="eastAsia"/>
        </w:rPr>
        <w:t>我院未出现</w:t>
      </w:r>
      <w:r>
        <w:rPr>
          <w:rFonts w:hint="eastAsia"/>
          <w:lang w:val="en-US" w:eastAsia="zh-CN"/>
        </w:rPr>
        <w:t>违纪违法</w:t>
      </w:r>
      <w:r>
        <w:rPr>
          <w:rFonts w:hint="eastAsia"/>
        </w:rPr>
        <w:t>的情况。该指标分值</w:t>
      </w:r>
      <w:r>
        <w:rPr>
          <w:rFonts w:hint="eastAsia"/>
          <w:lang w:val="en-US" w:eastAsia="zh-CN"/>
        </w:rPr>
        <w:t>6.25</w:t>
      </w:r>
      <w:r>
        <w:rPr>
          <w:rFonts w:hint="eastAsia"/>
        </w:rPr>
        <w:t>分，</w:t>
      </w:r>
      <w:r>
        <w:rPr>
          <w:rFonts w:hint="eastAsia"/>
          <w:lang w:val="en-US" w:eastAsia="zh-CN"/>
        </w:rPr>
        <w:t>自评</w:t>
      </w:r>
      <w:r>
        <w:rPr>
          <w:rFonts w:hint="eastAsia"/>
        </w:rPr>
        <w:t>得分</w:t>
      </w:r>
      <w:r>
        <w:rPr>
          <w:rFonts w:hint="eastAsia"/>
          <w:lang w:val="en-US" w:eastAsia="zh-CN"/>
        </w:rPr>
        <w:t>6.25</w:t>
      </w:r>
      <w:r>
        <w:rPr>
          <w:rFonts w:hint="eastAsia"/>
        </w:rPr>
        <w:t>分，得分率</w:t>
      </w:r>
      <w:r>
        <w:rPr>
          <w:rFonts w:hint="eastAsia"/>
          <w:lang w:eastAsia="zh-CN"/>
        </w:rPr>
        <w:t>100.00%</w:t>
      </w:r>
    </w:p>
    <w:p w14:paraId="28ACD2A2">
      <w:pPr>
        <w:pStyle w:val="5"/>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14:paraId="5F086137">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rPr>
        <w:t>能力建设</w:t>
      </w:r>
      <w:r>
        <w:rPr>
          <w:rFonts w:hint="eastAsia"/>
          <w:highlight w:val="none"/>
        </w:rPr>
        <w:t>指标</w:t>
      </w:r>
      <w:r>
        <w:rPr>
          <w:rFonts w:hint="eastAsia"/>
        </w:rPr>
        <w:t>分值</w:t>
      </w:r>
      <w:r>
        <w:rPr>
          <w:rFonts w:hint="eastAsia"/>
          <w:lang w:val="en-US" w:eastAsia="zh-CN"/>
        </w:rPr>
        <w:t>13</w:t>
      </w:r>
      <w:r>
        <w:t>分，自评得分</w:t>
      </w:r>
      <w:r>
        <w:rPr>
          <w:rFonts w:hint="eastAsia"/>
          <w:lang w:val="en-US" w:eastAsia="zh-CN"/>
        </w:rPr>
        <w:t>13</w:t>
      </w:r>
      <w:r>
        <w:t>分，得分率100%。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14:paraId="245740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5B4BF816">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14:paraId="74ABD06B">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14:paraId="1B48E77C">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14:paraId="4A0D18F8">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14:paraId="32316D80">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14:paraId="08829DA3">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2907B927">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0C73B0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020847F9">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14:paraId="7B8E800F">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中期规划建设完备程度</w:t>
            </w:r>
          </w:p>
        </w:tc>
        <w:tc>
          <w:tcPr>
            <w:tcW w:w="975" w:type="dxa"/>
            <w:vAlign w:val="center"/>
          </w:tcPr>
          <w:p w14:paraId="194605F4">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14:paraId="4F9C57B6">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00" w:type="dxa"/>
            <w:vAlign w:val="center"/>
          </w:tcPr>
          <w:p w14:paraId="70AD4758">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6.34</w:t>
            </w:r>
          </w:p>
        </w:tc>
        <w:tc>
          <w:tcPr>
            <w:tcW w:w="1188" w:type="dxa"/>
            <w:vAlign w:val="center"/>
          </w:tcPr>
          <w:p w14:paraId="6419D7D0">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6.34</w:t>
            </w:r>
          </w:p>
        </w:tc>
        <w:tc>
          <w:tcPr>
            <w:tcW w:w="1046" w:type="dxa"/>
            <w:vAlign w:val="center"/>
          </w:tcPr>
          <w:p w14:paraId="747DA592">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617671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53F9DC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人力资源建设</w:t>
            </w:r>
          </w:p>
        </w:tc>
        <w:tc>
          <w:tcPr>
            <w:tcW w:w="2062" w:type="dxa"/>
            <w:vAlign w:val="center"/>
          </w:tcPr>
          <w:p w14:paraId="56A14B22">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975" w:type="dxa"/>
            <w:vAlign w:val="center"/>
          </w:tcPr>
          <w:p w14:paraId="340C58D6">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14:paraId="6DC0B615">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00" w:type="dxa"/>
            <w:vAlign w:val="center"/>
          </w:tcPr>
          <w:p w14:paraId="6FCC294D">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1188" w:type="dxa"/>
            <w:vAlign w:val="center"/>
          </w:tcPr>
          <w:p w14:paraId="1BDF1C5D">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1046" w:type="dxa"/>
            <w:vAlign w:val="center"/>
          </w:tcPr>
          <w:p w14:paraId="46AFB1B5">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41A4A0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07751B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14:paraId="36E23658">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档案管理完备性</w:t>
            </w:r>
          </w:p>
        </w:tc>
        <w:tc>
          <w:tcPr>
            <w:tcW w:w="975" w:type="dxa"/>
            <w:vAlign w:val="center"/>
          </w:tcPr>
          <w:p w14:paraId="17D7EC8F">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14:paraId="3BA57E63">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00" w:type="dxa"/>
            <w:vAlign w:val="center"/>
          </w:tcPr>
          <w:p w14:paraId="4A1A4049">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1188" w:type="dxa"/>
            <w:vAlign w:val="center"/>
          </w:tcPr>
          <w:p w14:paraId="4858C658">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1046" w:type="dxa"/>
            <w:vAlign w:val="center"/>
          </w:tcPr>
          <w:p w14:paraId="3D6107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EAE8A1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50E184F3">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14:paraId="5FE9A1D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14:paraId="1D9CEB9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14:paraId="49B01A7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14:paraId="0381745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13</w:t>
            </w:r>
          </w:p>
        </w:tc>
        <w:tc>
          <w:tcPr>
            <w:tcW w:w="1188" w:type="dxa"/>
            <w:shd w:val="clear" w:color="auto" w:fill="BDD6EE"/>
            <w:vAlign w:val="center"/>
          </w:tcPr>
          <w:p w14:paraId="21A48F3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13</w:t>
            </w:r>
          </w:p>
        </w:tc>
        <w:tc>
          <w:tcPr>
            <w:tcW w:w="1046" w:type="dxa"/>
            <w:shd w:val="clear" w:color="auto" w:fill="BDD6EE"/>
            <w:vAlign w:val="center"/>
          </w:tcPr>
          <w:p w14:paraId="101AC26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3F14168">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bookmarkStart w:id="49" w:name="_Toc12558"/>
      <w:bookmarkStart w:id="50" w:name="_Toc16731"/>
      <w:bookmarkStart w:id="51" w:name="_Toc40046035"/>
      <w:bookmarkStart w:id="52" w:name="_Toc3174"/>
      <w:bookmarkStart w:id="53" w:name="_Toc16525"/>
      <w:r>
        <w:rPr>
          <w:rFonts w:hint="eastAsia" w:ascii="仿宋_GB2312" w:hAnsi="宋体" w:eastAsia="仿宋_GB2312" w:cstheme="minorBidi"/>
          <w:b/>
          <w:bCs/>
          <w:kern w:val="2"/>
          <w:sz w:val="28"/>
          <w:szCs w:val="28"/>
          <w:lang w:val="en-US" w:eastAsia="zh-CN" w:bidi="ar-SA"/>
        </w:rPr>
        <w:t>中期规划建设完备程度：</w:t>
      </w:r>
      <w:r>
        <w:rPr>
          <w:rFonts w:hint="eastAsia" w:ascii="仿宋_GB2312" w:hAnsi="宋体" w:eastAsia="仿宋_GB2312" w:cstheme="minorBidi"/>
          <w:b w:val="0"/>
          <w:bCs w:val="0"/>
          <w:kern w:val="2"/>
          <w:sz w:val="28"/>
          <w:szCs w:val="28"/>
          <w:lang w:val="en-US" w:eastAsia="zh-CN" w:bidi="ar-SA"/>
        </w:rPr>
        <w:t>我院中期规划完整清晰、内容全面可行，能够为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6.34</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6.34</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14:paraId="49125D77">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宋体" w:eastAsia="仿宋_GB2312" w:cstheme="minorBidi"/>
          <w:b/>
          <w:bCs/>
          <w:color w:val="auto"/>
          <w:kern w:val="2"/>
          <w:sz w:val="28"/>
          <w:szCs w:val="28"/>
          <w:lang w:val="en-US" w:eastAsia="zh-CN" w:bidi="ar-SA"/>
        </w:rPr>
        <w:t>人员培训机制完备性：</w:t>
      </w:r>
      <w:r>
        <w:rPr>
          <w:rFonts w:hint="eastAsia" w:hAnsi="宋体"/>
          <w:szCs w:val="28"/>
          <w:lang w:val="en-US" w:eastAsia="zh-CN"/>
        </w:rPr>
        <w:t>我</w:t>
      </w:r>
      <w:r>
        <w:rPr>
          <w:rFonts w:hint="eastAsia"/>
          <w:lang w:val="en-US" w:eastAsia="zh-CN"/>
        </w:rPr>
        <w:t>院重视人员培训工作，积极开展，有计划有组织，工作落实情况强，</w:t>
      </w:r>
      <w:r>
        <w:rPr>
          <w:rFonts w:hint="eastAsia"/>
        </w:rPr>
        <w:t>达到年度指标值。</w:t>
      </w:r>
      <w:r>
        <w:rPr>
          <w:rFonts w:hint="eastAsia" w:hAnsi="宋体"/>
          <w:szCs w:val="28"/>
        </w:rPr>
        <w:t>该指标分值</w:t>
      </w:r>
      <w:r>
        <w:rPr>
          <w:rFonts w:hint="eastAsia" w:hAnsi="宋体"/>
          <w:szCs w:val="28"/>
          <w:lang w:val="en-US" w:eastAsia="zh-CN"/>
        </w:rPr>
        <w:t>3.33</w:t>
      </w:r>
      <w:r>
        <w:rPr>
          <w:rFonts w:hint="eastAsia" w:hAnsi="宋体"/>
          <w:szCs w:val="28"/>
        </w:rPr>
        <w:t>分，自评得分</w:t>
      </w:r>
      <w:r>
        <w:rPr>
          <w:rFonts w:hint="eastAsia" w:hAnsi="宋体"/>
          <w:szCs w:val="28"/>
          <w:lang w:val="en-US" w:eastAsia="zh-CN"/>
        </w:rPr>
        <w:t>3.33</w:t>
      </w:r>
      <w:r>
        <w:rPr>
          <w:rFonts w:hint="eastAsia" w:hAnsi="宋体"/>
          <w:szCs w:val="28"/>
        </w:rPr>
        <w:t>分，得分率</w:t>
      </w:r>
      <w:r>
        <w:rPr>
          <w:rFonts w:hint="eastAsia" w:hAnsi="宋体"/>
          <w:szCs w:val="28"/>
          <w:lang w:eastAsia="zh-CN"/>
        </w:rPr>
        <w:t>100.00%</w:t>
      </w:r>
      <w:r>
        <w:rPr>
          <w:rFonts w:hint="eastAsia" w:hAnsi="宋体"/>
          <w:szCs w:val="28"/>
        </w:rPr>
        <w:t>。</w:t>
      </w:r>
    </w:p>
    <w:p w14:paraId="2A2A3E65">
      <w:pPr>
        <w:bidi w:val="0"/>
        <w:rPr>
          <w:rFonts w:hint="eastAsia"/>
          <w:lang w:eastAsia="zh-CN"/>
        </w:rPr>
      </w:pPr>
      <w:r>
        <w:rPr>
          <w:rFonts w:hint="eastAsia"/>
          <w:b/>
          <w:bCs/>
          <w:lang w:val="en-US" w:eastAsia="zh-CN"/>
        </w:rPr>
        <w:t>档案管理完备性：</w:t>
      </w:r>
      <w:r>
        <w:rPr>
          <w:rFonts w:hint="eastAsia"/>
          <w:lang w:val="en-US" w:eastAsia="zh-CN"/>
        </w:rPr>
        <w:t>我院档案管理机制完备，</w:t>
      </w:r>
      <w:r>
        <w:rPr>
          <w:rFonts w:hint="eastAsia"/>
          <w:lang w:eastAsia="zh-CN"/>
        </w:rPr>
        <w:t>达到年度指标值。该指标分值</w:t>
      </w:r>
      <w:r>
        <w:rPr>
          <w:rFonts w:hint="eastAsia" w:hAnsi="宋体"/>
          <w:szCs w:val="28"/>
          <w:lang w:val="en-US" w:eastAsia="zh-CN"/>
        </w:rPr>
        <w:t>3.33</w:t>
      </w:r>
      <w:r>
        <w:rPr>
          <w:rFonts w:hint="eastAsia"/>
          <w:lang w:eastAsia="zh-CN"/>
        </w:rPr>
        <w:t>分，自评得分</w:t>
      </w:r>
      <w:r>
        <w:rPr>
          <w:rFonts w:hint="eastAsia" w:hAnsi="宋体"/>
          <w:szCs w:val="28"/>
          <w:lang w:val="en-US" w:eastAsia="zh-CN"/>
        </w:rPr>
        <w:t>3.33</w:t>
      </w:r>
      <w:r>
        <w:rPr>
          <w:rFonts w:hint="eastAsia"/>
          <w:lang w:eastAsia="zh-CN"/>
        </w:rPr>
        <w:t>分，得分率100.00%。</w:t>
      </w:r>
      <w:bookmarkStart w:id="54" w:name="_Toc9488"/>
    </w:p>
    <w:p w14:paraId="662E015D">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rPr>
          <w:rFonts w:hint="eastAsia"/>
          <w:lang w:val="en-US" w:eastAsia="zh-CN"/>
        </w:rPr>
      </w:pP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49"/>
      <w:bookmarkEnd w:id="50"/>
      <w:bookmarkEnd w:id="51"/>
      <w:bookmarkEnd w:id="52"/>
      <w:bookmarkEnd w:id="53"/>
      <w:bookmarkEnd w:id="54"/>
      <w:bookmarkStart w:id="55" w:name="_Toc11537"/>
    </w:p>
    <w:p w14:paraId="12E1357A">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_GB2312" w:hAnsi="宋体" w:eastAsia="仿宋_GB2312" w:cstheme="minorBidi"/>
          <w:b w:val="0"/>
          <w:bCs w:val="0"/>
          <w:kern w:val="2"/>
          <w:sz w:val="28"/>
          <w:szCs w:val="28"/>
          <w:lang w:val="en-US" w:eastAsia="zh-CN" w:bidi="ar-SA"/>
        </w:rPr>
      </w:pPr>
      <w:r>
        <w:rPr>
          <w:rFonts w:hint="eastAsia"/>
          <w:lang w:val="en-US" w:eastAsia="zh-CN"/>
        </w:rPr>
        <w:t>我院在上报2023年度整体支出绩效目标时，</w:t>
      </w:r>
      <w:r>
        <w:rPr>
          <w:rFonts w:hint="eastAsia" w:hAnsi="宋体" w:cstheme="minorBidi"/>
          <w:b w:val="0"/>
          <w:bCs w:val="0"/>
          <w:kern w:val="2"/>
          <w:sz w:val="28"/>
          <w:szCs w:val="28"/>
          <w:lang w:val="en-US" w:eastAsia="zh-CN" w:bidi="ar-SA"/>
        </w:rPr>
        <w:t>个别</w:t>
      </w:r>
      <w:r>
        <w:rPr>
          <w:rFonts w:hint="eastAsia" w:ascii="仿宋_GB2312" w:hAnsi="宋体" w:eastAsia="仿宋_GB2312" w:cstheme="minorBidi"/>
          <w:b w:val="0"/>
          <w:bCs w:val="0"/>
          <w:kern w:val="2"/>
          <w:sz w:val="28"/>
          <w:szCs w:val="28"/>
          <w:lang w:val="en-US" w:eastAsia="zh-CN" w:bidi="ar-SA"/>
        </w:rPr>
        <w:t>指标设置不合理</w:t>
      </w:r>
      <w:r>
        <w:rPr>
          <w:rFonts w:hint="eastAsia"/>
          <w:lang w:val="en-US" w:eastAsia="zh-CN"/>
        </w:rPr>
        <w:t>，未设置执行案件结案率指标，在职人员控制率指标值设置偏高，受理各项案件指标值设置偏低。</w:t>
      </w:r>
      <w:r>
        <w:rPr>
          <w:rFonts w:hint="eastAsia" w:ascii="仿宋_GB2312" w:hAnsi="宋体" w:eastAsia="仿宋_GB2312" w:cstheme="minorBidi"/>
          <w:b w:val="0"/>
          <w:bCs w:val="0"/>
          <w:kern w:val="2"/>
          <w:sz w:val="28"/>
          <w:szCs w:val="28"/>
          <w:lang w:val="en-US" w:eastAsia="zh-CN" w:bidi="ar-SA"/>
        </w:rPr>
        <w:t>我院将进一步细化年初绩效目标设置，合理设置指标分值。</w:t>
      </w:r>
    </w:p>
    <w:p w14:paraId="2686191D">
      <w:pPr>
        <w:pStyle w:val="3"/>
        <w:bidi w:val="0"/>
        <w:ind w:firstLine="643" w:firstLineChars="200"/>
        <w:rPr>
          <w:rFonts w:hint="default"/>
          <w:lang w:val="en-US" w:eastAsia="zh-CN"/>
        </w:rPr>
      </w:pPr>
      <w:r>
        <w:rPr>
          <w:rFonts w:hint="eastAsia"/>
          <w:lang w:val="en-US" w:eastAsia="zh-CN"/>
        </w:rPr>
        <w:t>四、部门预算项目支出绩效自评情况分析</w:t>
      </w:r>
      <w:bookmarkEnd w:id="55"/>
    </w:p>
    <w:p w14:paraId="3A700F2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w:t>
      </w:r>
      <w:r>
        <w:rPr>
          <w:rFonts w:hint="eastAsia" w:ascii="仿宋_GB2312" w:hAnsi="仿宋_GB2312" w:eastAsia="仿宋_GB2312" w:cs="仿宋_GB2312"/>
          <w:b w:val="0"/>
          <w:bCs w:val="0"/>
          <w:sz w:val="28"/>
          <w:szCs w:val="28"/>
          <w:highlight w:val="none"/>
          <w:lang w:val="en-US" w:eastAsia="zh-CN"/>
        </w:rPr>
        <w:t>预算支出项目为</w:t>
      </w:r>
      <w:r>
        <w:rPr>
          <w:rFonts w:hint="eastAsia"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val="en-US" w:eastAsia="zh-CN"/>
        </w:rPr>
        <w:t>个，通过</w:t>
      </w:r>
      <w:r>
        <w:rPr>
          <w:rFonts w:hint="eastAsia" w:ascii="仿宋_GB2312" w:hAnsi="仿宋_GB2312" w:eastAsia="仿宋_GB2312" w:cs="仿宋_GB2312"/>
          <w:b w:val="0"/>
          <w:bCs w:val="0"/>
          <w:sz w:val="28"/>
          <w:szCs w:val="28"/>
          <w:lang w:val="en-US" w:eastAsia="zh-CN"/>
        </w:rPr>
        <w:t>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14:paraId="4FDA5532">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6" w:name="_Toc32493"/>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6"/>
    </w:p>
    <w:p w14:paraId="18F42AD6">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7" w:name="_Toc18806"/>
      <w:bookmarkStart w:id="58" w:name="_Toc40046064"/>
      <w:bookmarkStart w:id="59" w:name="_Toc22570"/>
      <w:bookmarkStart w:id="60" w:name="_Toc3777"/>
      <w:bookmarkStart w:id="61" w:name="_Toc1889"/>
      <w:bookmarkStart w:id="62" w:name="_Toc40046065"/>
      <w:bookmarkStart w:id="63" w:name="_Toc7144"/>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95.98</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个二级指标和</w:t>
      </w:r>
      <w:r>
        <w:rPr>
          <w:rFonts w:hint="eastAsia"/>
          <w:lang w:val="en-US" w:eastAsia="zh-CN"/>
        </w:rPr>
        <w:t>23</w:t>
      </w:r>
      <w:r>
        <w:rPr>
          <w:rFonts w:hint="eastAsia"/>
        </w:rPr>
        <w:t>个三级指标。一级指标得分情况详见下表：</w:t>
      </w:r>
    </w:p>
    <w:p w14:paraId="2DC66393">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487926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79FB82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6F85F5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2E14D5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2256AF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5FB5D8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D3D0A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14:paraId="071587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0302D1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9.71</w:t>
            </w:r>
          </w:p>
        </w:tc>
        <w:tc>
          <w:tcPr>
            <w:tcW w:w="2268" w:type="dxa"/>
            <w:vAlign w:val="center"/>
          </w:tcPr>
          <w:p w14:paraId="2CCD52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97.10%</w:t>
            </w:r>
          </w:p>
        </w:tc>
      </w:tr>
      <w:tr w14:paraId="24A15D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746EA8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14:paraId="3B334E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0AA40B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63E08E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5313B2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997BB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14:paraId="1EFA87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14:paraId="1FDD8E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36.27</w:t>
            </w:r>
          </w:p>
        </w:tc>
        <w:tc>
          <w:tcPr>
            <w:tcW w:w="2268" w:type="dxa"/>
            <w:vAlign w:val="center"/>
          </w:tcPr>
          <w:p w14:paraId="045A63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90.68%</w:t>
            </w:r>
          </w:p>
        </w:tc>
      </w:tr>
      <w:tr w14:paraId="3B0527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E4F91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14:paraId="584B8A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08CD64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34EF9D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66089C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67135F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14:paraId="21D6DC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6B159F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14:paraId="503EC2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20C3B1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19061A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0D5978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2E7305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95.98</w:t>
            </w:r>
          </w:p>
        </w:tc>
        <w:tc>
          <w:tcPr>
            <w:tcW w:w="2268" w:type="dxa"/>
            <w:shd w:val="clear" w:color="auto" w:fill="BDD6EE"/>
            <w:vAlign w:val="center"/>
          </w:tcPr>
          <w:p w14:paraId="5BF48B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95.98%</w:t>
            </w:r>
          </w:p>
        </w:tc>
      </w:tr>
    </w:tbl>
    <w:p w14:paraId="07DE3A50">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14:paraId="66D96012">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118</w:t>
      </w:r>
      <w:r>
        <w:rPr>
          <w:rFonts w:hint="eastAsia"/>
          <w:szCs w:val="28"/>
        </w:rPr>
        <w:t>万元，全年预算数为</w:t>
      </w:r>
      <w:r>
        <w:rPr>
          <w:rFonts w:hint="eastAsia"/>
          <w:szCs w:val="28"/>
          <w:lang w:val="en-US" w:eastAsia="zh-CN"/>
        </w:rPr>
        <w:t>143</w:t>
      </w:r>
      <w:r>
        <w:rPr>
          <w:rFonts w:hint="eastAsia"/>
          <w:szCs w:val="28"/>
        </w:rPr>
        <w:t>万元，全年执行数为</w:t>
      </w:r>
      <w:r>
        <w:rPr>
          <w:rFonts w:hint="eastAsia"/>
          <w:szCs w:val="28"/>
          <w:lang w:val="en-US" w:eastAsia="zh-CN"/>
        </w:rPr>
        <w:t>138.81</w:t>
      </w:r>
      <w:r>
        <w:rPr>
          <w:rFonts w:hint="eastAsia"/>
          <w:szCs w:val="28"/>
        </w:rPr>
        <w:t>万元，预算执行率</w:t>
      </w:r>
      <w:r>
        <w:rPr>
          <w:rFonts w:hint="eastAsia"/>
          <w:szCs w:val="28"/>
          <w:lang w:val="en-US" w:eastAsia="zh-CN"/>
        </w:rPr>
        <w:t>97.07%</w:t>
      </w:r>
      <w:r>
        <w:rPr>
          <w:rFonts w:hint="eastAsia"/>
          <w:szCs w:val="28"/>
        </w:rPr>
        <w:t>，满分10分，得分</w:t>
      </w:r>
      <w:r>
        <w:rPr>
          <w:rFonts w:hint="eastAsia"/>
          <w:szCs w:val="28"/>
          <w:lang w:val="en-US" w:eastAsia="zh-CN"/>
        </w:rPr>
        <w:t>9.71</w:t>
      </w:r>
      <w:r>
        <w:rPr>
          <w:rFonts w:hint="eastAsia"/>
          <w:szCs w:val="28"/>
        </w:rPr>
        <w:t>分</w:t>
      </w:r>
      <w:r>
        <w:rPr>
          <w:rFonts w:hint="eastAsia"/>
          <w:szCs w:val="28"/>
          <w:lang w:eastAsia="zh-CN"/>
        </w:rPr>
        <w:t>，</w:t>
      </w:r>
      <w:r>
        <w:rPr>
          <w:rFonts w:hint="eastAsia"/>
          <w:szCs w:val="28"/>
          <w:lang w:val="en-US" w:eastAsia="zh-CN"/>
        </w:rPr>
        <w:t>得分率97.10</w:t>
      </w:r>
      <w:r>
        <w:rPr>
          <w:szCs w:val="28"/>
        </w:rPr>
        <w:t>%</w:t>
      </w:r>
      <w:r>
        <w:rPr>
          <w:rFonts w:hint="eastAsia"/>
          <w:szCs w:val="28"/>
        </w:rPr>
        <w:t>。</w:t>
      </w:r>
    </w:p>
    <w:p w14:paraId="3E873109">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14:paraId="4909FCC4">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lang w:eastAsia="zh-CN"/>
        </w:rPr>
        <w:t>通过业务费项目的实施，使</w:t>
      </w:r>
      <w:r>
        <w:rPr>
          <w:rFonts w:hint="eastAsia"/>
        </w:rPr>
        <w:t>审判办案业务和执行工作顺利完成，更好的维护国家法制、法律的权威、公平和正义，维护社会稳定和谐，达到公众认同，当事人满意。</w:t>
      </w:r>
    </w:p>
    <w:p w14:paraId="6C8BB92C">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14:paraId="437FE443">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14:paraId="715B4403">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val="en-US" w:eastAsia="zh-CN"/>
        </w:rPr>
        <w:t>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14:paraId="4B7A51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23AA961F">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14:paraId="15780B32">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14:paraId="268303C8">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14:paraId="72C1D8A6">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14:paraId="25E97267">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14:paraId="76853EDF">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32E60557">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3D3EF63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14:paraId="33C79097">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2062" w:type="dxa"/>
            <w:vAlign w:val="center"/>
          </w:tcPr>
          <w:p w14:paraId="3BB64C72">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975" w:type="dxa"/>
            <w:vAlign w:val="center"/>
          </w:tcPr>
          <w:p w14:paraId="47425CC2">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定额标准内</w:t>
            </w:r>
          </w:p>
        </w:tc>
        <w:tc>
          <w:tcPr>
            <w:tcW w:w="1150" w:type="dxa"/>
            <w:vAlign w:val="center"/>
          </w:tcPr>
          <w:p w14:paraId="409524EA">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14:paraId="75D7AD92">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016BE582">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46" w:type="dxa"/>
            <w:vAlign w:val="center"/>
          </w:tcPr>
          <w:p w14:paraId="35700203">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6A2F4B2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14:paraId="7CF53D69">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p>
        </w:tc>
        <w:tc>
          <w:tcPr>
            <w:tcW w:w="2062" w:type="dxa"/>
            <w:vAlign w:val="center"/>
          </w:tcPr>
          <w:p w14:paraId="6482B5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业务费总额控制率</w:t>
            </w:r>
          </w:p>
        </w:tc>
        <w:tc>
          <w:tcPr>
            <w:tcW w:w="975" w:type="dxa"/>
            <w:vAlign w:val="center"/>
          </w:tcPr>
          <w:p w14:paraId="195178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150" w:type="dxa"/>
            <w:vAlign w:val="center"/>
          </w:tcPr>
          <w:p w14:paraId="06910F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14:paraId="23681C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601C29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46" w:type="dxa"/>
            <w:vAlign w:val="center"/>
          </w:tcPr>
          <w:p w14:paraId="10DF00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6B0B7B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4296F2DA">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14:paraId="6B0B4D0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14:paraId="475054D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14:paraId="1E423BA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14:paraId="7B51ADD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14:paraId="6253F72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14:paraId="0A0CC3E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04786263">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cstheme="minorBidi"/>
          <w:b/>
          <w:bCs/>
          <w:color w:val="000000" w:themeColor="text1"/>
          <w:kern w:val="2"/>
          <w:sz w:val="28"/>
          <w:szCs w:val="28"/>
          <w:lang w:val="en-US" w:eastAsia="zh-CN" w:bidi="ar-SA"/>
          <w14:textFill>
            <w14:solidFill>
              <w14:schemeClr w14:val="tx1"/>
            </w14:solidFill>
          </w14:textFill>
        </w:rPr>
        <w:t>成本控制情况：</w:t>
      </w:r>
      <w:r>
        <w:rPr>
          <w:rFonts w:hint="eastAsia" w:hAnsi="宋体"/>
          <w:b w:val="0"/>
          <w:bCs w:val="0"/>
          <w:color w:val="000000" w:themeColor="text1"/>
          <w:szCs w:val="28"/>
          <w:lang w:val="en-US" w:eastAsia="zh-CN"/>
          <w14:textFill>
            <w14:solidFill>
              <w14:schemeClr w14:val="tx1"/>
            </w14:solidFill>
          </w14:textFill>
        </w:rPr>
        <w:t>我院2023年全省法院业务费成本控制在预算范围内，达到年度指标值。该指标分值10分，自评得分为10分，得分率为100.00%。</w:t>
      </w:r>
    </w:p>
    <w:p w14:paraId="1ACA0F5C">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cstheme="minorBidi"/>
          <w:b/>
          <w:bCs/>
          <w:color w:val="000000" w:themeColor="text1"/>
          <w:kern w:val="2"/>
          <w:sz w:val="28"/>
          <w:szCs w:val="28"/>
          <w:lang w:val="en-US" w:eastAsia="zh-CN" w:bidi="ar-SA"/>
          <w14:textFill>
            <w14:solidFill>
              <w14:schemeClr w14:val="tx1"/>
            </w14:solidFill>
          </w14:textFill>
        </w:rPr>
        <w:t>业务费总额控制率：</w:t>
      </w:r>
      <w:r>
        <w:rPr>
          <w:rFonts w:hint="eastAsia" w:hAnsi="宋体"/>
          <w:b w:val="0"/>
          <w:bCs w:val="0"/>
          <w:color w:val="000000" w:themeColor="text1"/>
          <w:szCs w:val="28"/>
          <w:lang w:val="en-US" w:eastAsia="zh-CN"/>
          <w14:textFill>
            <w14:solidFill>
              <w14:schemeClr w14:val="tx1"/>
            </w14:solidFill>
          </w14:textFill>
        </w:rPr>
        <w:t>我院2023年全省法院业务费总额控制在预算范围内，达到年度指标值。该指标分值10分，自评得分为10分，得分率为100.00%。</w:t>
      </w:r>
    </w:p>
    <w:p w14:paraId="3CE13109">
      <w:pPr>
        <w:pStyle w:val="6"/>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14:paraId="112307BB">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产出指标下设数量、质量、时效3个二级指标。总分值40分，得分36.27分，得分率90.68%。</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3291EE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FBB138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16BED3D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0E32080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0088FF0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63D0B1D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35E10C4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2225560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48601F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52309B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800" w:type="dxa"/>
            <w:vAlign w:val="center"/>
          </w:tcPr>
          <w:p w14:paraId="239FCD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采购装备数量</w:t>
            </w:r>
          </w:p>
        </w:tc>
        <w:tc>
          <w:tcPr>
            <w:tcW w:w="1428" w:type="dxa"/>
            <w:vAlign w:val="center"/>
          </w:tcPr>
          <w:p w14:paraId="2B8046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=20台</w:t>
            </w:r>
          </w:p>
        </w:tc>
        <w:tc>
          <w:tcPr>
            <w:tcW w:w="1484" w:type="dxa"/>
            <w:vAlign w:val="center"/>
          </w:tcPr>
          <w:p w14:paraId="0E86D6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15台</w:t>
            </w:r>
          </w:p>
        </w:tc>
        <w:tc>
          <w:tcPr>
            <w:tcW w:w="850" w:type="dxa"/>
            <w:vAlign w:val="center"/>
          </w:tcPr>
          <w:p w14:paraId="093A2027">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343C380B">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0"/>
                <w:szCs w:val="20"/>
                <w:u w:val="none"/>
                <w:lang w:val="en-US" w:eastAsia="zh-CN" w:bidi="ar"/>
              </w:rPr>
              <w:t>2</w:t>
            </w:r>
          </w:p>
        </w:tc>
        <w:tc>
          <w:tcPr>
            <w:tcW w:w="1071" w:type="dxa"/>
            <w:vAlign w:val="center"/>
          </w:tcPr>
          <w:p w14:paraId="0F29C619">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75.19%</w:t>
            </w:r>
          </w:p>
        </w:tc>
      </w:tr>
      <w:tr w14:paraId="4FC2E8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3DA3B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46602D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428" w:type="dxa"/>
            <w:vAlign w:val="center"/>
          </w:tcPr>
          <w:p w14:paraId="0780CC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1484" w:type="dxa"/>
            <w:vAlign w:val="center"/>
          </w:tcPr>
          <w:p w14:paraId="7A3C18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95.62%</w:t>
            </w:r>
          </w:p>
        </w:tc>
        <w:tc>
          <w:tcPr>
            <w:tcW w:w="850" w:type="dxa"/>
            <w:vAlign w:val="center"/>
          </w:tcPr>
          <w:p w14:paraId="4C116C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2.76</w:t>
            </w:r>
          </w:p>
        </w:tc>
        <w:tc>
          <w:tcPr>
            <w:tcW w:w="1188" w:type="dxa"/>
            <w:vAlign w:val="center"/>
          </w:tcPr>
          <w:p w14:paraId="2448E3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2.76</w:t>
            </w:r>
          </w:p>
        </w:tc>
        <w:tc>
          <w:tcPr>
            <w:tcW w:w="1071" w:type="dxa"/>
            <w:vAlign w:val="center"/>
          </w:tcPr>
          <w:p w14:paraId="06BF74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53158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616672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269C22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维修维护项目数</w:t>
            </w:r>
          </w:p>
        </w:tc>
        <w:tc>
          <w:tcPr>
            <w:tcW w:w="1428" w:type="dxa"/>
            <w:vAlign w:val="center"/>
          </w:tcPr>
          <w:p w14:paraId="5A08E2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=3项</w:t>
            </w:r>
          </w:p>
        </w:tc>
        <w:tc>
          <w:tcPr>
            <w:tcW w:w="1484" w:type="dxa"/>
            <w:vAlign w:val="center"/>
          </w:tcPr>
          <w:p w14:paraId="36AA03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3项</w:t>
            </w:r>
          </w:p>
        </w:tc>
        <w:tc>
          <w:tcPr>
            <w:tcW w:w="850" w:type="dxa"/>
            <w:vAlign w:val="center"/>
          </w:tcPr>
          <w:p w14:paraId="04ADA6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52B12A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134A01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FCFD2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422137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D599B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物业管理面积</w:t>
            </w:r>
          </w:p>
        </w:tc>
        <w:tc>
          <w:tcPr>
            <w:tcW w:w="1428" w:type="dxa"/>
            <w:vAlign w:val="center"/>
          </w:tcPr>
          <w:p w14:paraId="119B5A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=4000㎡</w:t>
            </w:r>
          </w:p>
        </w:tc>
        <w:tc>
          <w:tcPr>
            <w:tcW w:w="1484" w:type="dxa"/>
            <w:vAlign w:val="center"/>
          </w:tcPr>
          <w:p w14:paraId="18BEDA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4000㎡</w:t>
            </w:r>
          </w:p>
        </w:tc>
        <w:tc>
          <w:tcPr>
            <w:tcW w:w="850" w:type="dxa"/>
            <w:vAlign w:val="center"/>
          </w:tcPr>
          <w:p w14:paraId="24F3F3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466BD0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52168A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A708D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24531CB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159CCF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信息化运维服务完成率</w:t>
            </w:r>
          </w:p>
        </w:tc>
        <w:tc>
          <w:tcPr>
            <w:tcW w:w="1428" w:type="dxa"/>
            <w:vAlign w:val="center"/>
          </w:tcPr>
          <w:p w14:paraId="6593A4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782BC1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45A70A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274687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6BF4FD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30760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3F48A5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800" w:type="dxa"/>
            <w:vAlign w:val="center"/>
          </w:tcPr>
          <w:p w14:paraId="2C53D7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购置装备验收合格率</w:t>
            </w:r>
          </w:p>
        </w:tc>
        <w:tc>
          <w:tcPr>
            <w:tcW w:w="1428" w:type="dxa"/>
            <w:vAlign w:val="center"/>
          </w:tcPr>
          <w:p w14:paraId="6EB591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7D2FD1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274B01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28BE59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6366B7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B6983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F9883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6ED053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维修维护项目验收合格率</w:t>
            </w:r>
          </w:p>
        </w:tc>
        <w:tc>
          <w:tcPr>
            <w:tcW w:w="1428" w:type="dxa"/>
            <w:vAlign w:val="center"/>
          </w:tcPr>
          <w:p w14:paraId="668E76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484" w:type="dxa"/>
            <w:vAlign w:val="center"/>
          </w:tcPr>
          <w:p w14:paraId="1564CA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3C7B49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5C4D7D8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0.00</w:t>
            </w:r>
          </w:p>
        </w:tc>
        <w:tc>
          <w:tcPr>
            <w:tcW w:w="1071" w:type="dxa"/>
            <w:vAlign w:val="center"/>
          </w:tcPr>
          <w:p w14:paraId="69FB1E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0.00%</w:t>
            </w:r>
          </w:p>
        </w:tc>
      </w:tr>
      <w:tr w14:paraId="4AD16C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19D5E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331A56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物业管理合格率</w:t>
            </w:r>
          </w:p>
        </w:tc>
        <w:tc>
          <w:tcPr>
            <w:tcW w:w="1428" w:type="dxa"/>
            <w:vAlign w:val="center"/>
          </w:tcPr>
          <w:p w14:paraId="5511DB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0C4792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32E76B5E">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0E4F7928">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7C03A4DD">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48C1A2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9613513">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14:paraId="7C3C2F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信息化运维服务验收合格率</w:t>
            </w:r>
          </w:p>
        </w:tc>
        <w:tc>
          <w:tcPr>
            <w:tcW w:w="1428" w:type="dxa"/>
            <w:vAlign w:val="center"/>
          </w:tcPr>
          <w:p w14:paraId="1CD2B2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568F28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51A2C4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395FE0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4E3825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ED767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2553C61">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p>
        </w:tc>
        <w:tc>
          <w:tcPr>
            <w:tcW w:w="1800" w:type="dxa"/>
            <w:vAlign w:val="center"/>
          </w:tcPr>
          <w:p w14:paraId="049F94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28" w:type="dxa"/>
            <w:vAlign w:val="center"/>
          </w:tcPr>
          <w:p w14:paraId="7DB2DF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1484" w:type="dxa"/>
            <w:vAlign w:val="center"/>
          </w:tcPr>
          <w:p w14:paraId="1E0B04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84.7%</w:t>
            </w:r>
          </w:p>
        </w:tc>
        <w:tc>
          <w:tcPr>
            <w:tcW w:w="850" w:type="dxa"/>
            <w:vAlign w:val="center"/>
          </w:tcPr>
          <w:p w14:paraId="3BC7F678">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0EACECD2">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2.25</w:t>
            </w:r>
          </w:p>
        </w:tc>
        <w:tc>
          <w:tcPr>
            <w:tcW w:w="1071" w:type="dxa"/>
            <w:vAlign w:val="center"/>
          </w:tcPr>
          <w:p w14:paraId="68ED980B">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84.59%</w:t>
            </w:r>
          </w:p>
        </w:tc>
      </w:tr>
      <w:tr w14:paraId="4DD858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376FD4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时效指标</w:t>
            </w:r>
          </w:p>
        </w:tc>
        <w:tc>
          <w:tcPr>
            <w:tcW w:w="1800" w:type="dxa"/>
            <w:vAlign w:val="center"/>
          </w:tcPr>
          <w:p w14:paraId="4778E0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办案经费支付及时率</w:t>
            </w:r>
          </w:p>
        </w:tc>
        <w:tc>
          <w:tcPr>
            <w:tcW w:w="1428" w:type="dxa"/>
            <w:vAlign w:val="center"/>
          </w:tcPr>
          <w:p w14:paraId="160234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1666D3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729A42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46DA38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79C47E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7D708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58C3FB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7EA33B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428" w:type="dxa"/>
            <w:vAlign w:val="center"/>
          </w:tcPr>
          <w:p w14:paraId="7266CD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1484" w:type="dxa"/>
            <w:vAlign w:val="center"/>
          </w:tcPr>
          <w:p w14:paraId="323279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99.87%</w:t>
            </w:r>
          </w:p>
        </w:tc>
        <w:tc>
          <w:tcPr>
            <w:tcW w:w="850" w:type="dxa"/>
            <w:vAlign w:val="center"/>
          </w:tcPr>
          <w:p w14:paraId="77679E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1F2867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1195EA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6EFC6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C21D0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63869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维修修护及时性</w:t>
            </w:r>
          </w:p>
        </w:tc>
        <w:tc>
          <w:tcPr>
            <w:tcW w:w="1428" w:type="dxa"/>
            <w:vAlign w:val="center"/>
          </w:tcPr>
          <w:p w14:paraId="0808D3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5C1BB4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14:paraId="0FC737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2A9FC2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181F51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D0260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51608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CA7F1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信息化运维工作及时性</w:t>
            </w:r>
          </w:p>
        </w:tc>
        <w:tc>
          <w:tcPr>
            <w:tcW w:w="1428" w:type="dxa"/>
            <w:vAlign w:val="center"/>
          </w:tcPr>
          <w:p w14:paraId="0C4658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42F2D7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14:paraId="082F2E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650381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1E9350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B5936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631A65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4D0E05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装备购置及时性</w:t>
            </w:r>
          </w:p>
        </w:tc>
        <w:tc>
          <w:tcPr>
            <w:tcW w:w="1428" w:type="dxa"/>
            <w:vAlign w:val="center"/>
          </w:tcPr>
          <w:p w14:paraId="641591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4E3A38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14:paraId="550907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188" w:type="dxa"/>
            <w:vAlign w:val="center"/>
          </w:tcPr>
          <w:p w14:paraId="7A1E51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71" w:type="dxa"/>
            <w:vAlign w:val="center"/>
          </w:tcPr>
          <w:p w14:paraId="663E77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FA8BD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681A2898">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1AD6ADF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142ACC5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24CB102A">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661C2AF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14:paraId="3F6CB6C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36.27</w:t>
            </w:r>
          </w:p>
        </w:tc>
        <w:tc>
          <w:tcPr>
            <w:tcW w:w="1071" w:type="dxa"/>
            <w:shd w:val="clear" w:color="auto" w:fill="BDD6EE"/>
            <w:vAlign w:val="center"/>
          </w:tcPr>
          <w:p w14:paraId="152D07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90.68%</w:t>
            </w:r>
          </w:p>
        </w:tc>
      </w:tr>
    </w:tbl>
    <w:p w14:paraId="28C0546A">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szCs w:val="28"/>
          <w:lang w:val="en-US" w:eastAsia="zh-CN"/>
        </w:rPr>
      </w:pPr>
      <w:r>
        <w:rPr>
          <w:rFonts w:hint="eastAsia" w:hAnsi="宋体"/>
          <w:b/>
          <w:bCs/>
          <w:szCs w:val="28"/>
          <w:lang w:val="en-US" w:eastAsia="zh-CN"/>
        </w:rPr>
        <w:t>采购装备数量：</w:t>
      </w:r>
      <w:r>
        <w:rPr>
          <w:rFonts w:hint="eastAsia" w:hAnsi="宋体"/>
          <w:b w:val="0"/>
          <w:bCs w:val="0"/>
          <w:szCs w:val="28"/>
          <w:lang w:val="en-US" w:eastAsia="zh-CN"/>
        </w:rPr>
        <w:t>我院2023年度采购装备数量15台，年度目标值为采购装备20台。该指标分值2.66分，自评得分为2分，得分率为75.19%。</w:t>
      </w:r>
    </w:p>
    <w:p w14:paraId="663456F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结案率：</w:t>
      </w:r>
      <w:r>
        <w:rPr>
          <w:rFonts w:hint="eastAsia" w:hAnsi="宋体"/>
          <w:b w:val="0"/>
          <w:bCs w:val="0"/>
          <w:szCs w:val="28"/>
          <w:lang w:val="en-US" w:eastAsia="zh-CN"/>
        </w:rPr>
        <w:t>我院2023年度立案数3970件，结案数3796件，结案率95.62%，达到年度指标值。该指标分值2.76分，自评得分为2.76分，得分率为100.00%。</w:t>
      </w:r>
    </w:p>
    <w:p w14:paraId="2D95FD85">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bCs/>
          <w:szCs w:val="28"/>
          <w:lang w:val="en-US" w:eastAsia="zh-CN"/>
        </w:rPr>
      </w:pPr>
      <w:r>
        <w:rPr>
          <w:rFonts w:hint="eastAsia" w:hAnsi="宋体"/>
          <w:b/>
          <w:bCs/>
          <w:szCs w:val="28"/>
          <w:lang w:val="en-US" w:eastAsia="zh-CN"/>
        </w:rPr>
        <w:t>维修维护项目数：</w:t>
      </w:r>
      <w:r>
        <w:rPr>
          <w:rFonts w:hint="eastAsia" w:hAnsi="宋体"/>
          <w:b w:val="0"/>
          <w:bCs w:val="0"/>
          <w:szCs w:val="28"/>
          <w:lang w:val="en-US" w:eastAsia="zh-CN"/>
        </w:rPr>
        <w:t>我院2023年维修维护项目数3项，达到年度指标值。该指标分值2.66分，自评得分为2.66分，得分率为100.00%。</w:t>
      </w:r>
    </w:p>
    <w:p w14:paraId="16FF91E1">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val="0"/>
          <w:bCs w:val="0"/>
          <w:szCs w:val="28"/>
          <w:lang w:val="en-US" w:eastAsia="zh-CN"/>
        </w:rPr>
      </w:pPr>
      <w:r>
        <w:rPr>
          <w:rFonts w:hint="eastAsia" w:hAnsi="宋体"/>
          <w:b/>
          <w:bCs/>
          <w:szCs w:val="28"/>
          <w:lang w:val="en-US" w:eastAsia="zh-CN"/>
        </w:rPr>
        <w:t>物业管理面积：</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物业管理面积4000㎡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2.66</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2.66</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14:paraId="7FD1E74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信息化运维服务完成率：</w:t>
      </w:r>
      <w:r>
        <w:rPr>
          <w:rFonts w:hint="eastAsia" w:hAnsi="宋体"/>
          <w:b w:val="0"/>
          <w:bCs w:val="0"/>
          <w:szCs w:val="28"/>
          <w:lang w:val="en-US" w:eastAsia="zh-CN"/>
        </w:rPr>
        <w:t>我院信息化运维服务工作执行到位，积极保障法院信息化运维服务工作，信息化运维服务工作完成率为100.00%，达到年度指标值。该指标分值2.66分，自评得分为2.66分，得分率100.00%。</w:t>
      </w:r>
    </w:p>
    <w:p w14:paraId="6B4FE553">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szCs w:val="28"/>
          <w:lang w:val="en-US" w:eastAsia="zh-CN"/>
        </w:rPr>
      </w:pPr>
      <w:r>
        <w:rPr>
          <w:rFonts w:hint="eastAsia" w:hAnsi="宋体"/>
          <w:b/>
          <w:bCs/>
          <w:szCs w:val="28"/>
          <w:lang w:val="en-US" w:eastAsia="zh-CN"/>
        </w:rPr>
        <w:t>购置装备验收合格率：</w:t>
      </w:r>
      <w:r>
        <w:rPr>
          <w:rFonts w:hint="eastAsia" w:hAnsi="宋体"/>
          <w:b w:val="0"/>
          <w:bCs w:val="0"/>
          <w:szCs w:val="28"/>
          <w:lang w:val="en-US" w:eastAsia="zh-CN"/>
        </w:rPr>
        <w:t>我院2023年度购置装备验收通过，达到年度指标值。该指标分值2.66分，自评得分为2.66分，得分率为100.00%。</w:t>
      </w:r>
    </w:p>
    <w:p w14:paraId="4811DCD3">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color w:val="auto"/>
          <w:kern w:val="2"/>
          <w:sz w:val="28"/>
          <w:szCs w:val="28"/>
          <w:lang w:val="en-US" w:eastAsia="zh-CN" w:bidi="ar-SA"/>
        </w:rPr>
      </w:pPr>
      <w:r>
        <w:rPr>
          <w:rFonts w:hint="eastAsia" w:hAnsi="宋体"/>
          <w:b/>
          <w:bCs/>
          <w:szCs w:val="28"/>
          <w:lang w:val="en-US" w:eastAsia="zh-CN"/>
        </w:rPr>
        <w:t>维修维护项目验收合格率：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维修维护项目</w:t>
      </w:r>
      <w:r>
        <w:rPr>
          <w:rFonts w:hint="eastAsia" w:ascii="仿宋_GB2312" w:hAnsi="宋体" w:eastAsia="仿宋_GB2312" w:cstheme="minorBidi"/>
          <w:b w:val="0"/>
          <w:bCs w:val="0"/>
          <w:kern w:val="2"/>
          <w:sz w:val="28"/>
          <w:szCs w:val="28"/>
          <w:lang w:val="en-US" w:eastAsia="zh-CN" w:bidi="ar-SA"/>
        </w:rPr>
        <w:t>已全部通过验收，合格率为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，年度指标值</w:t>
      </w:r>
      <w:r>
        <w:rPr>
          <w:rFonts w:hint="eastAsia" w:hAnsi="宋体" w:cstheme="minorBidi"/>
          <w:b w:val="0"/>
          <w:bCs w:val="0"/>
          <w:kern w:val="2"/>
          <w:sz w:val="28"/>
          <w:szCs w:val="28"/>
          <w:lang w:val="en-US" w:eastAsia="zh-CN" w:bidi="ar-SA"/>
        </w:rPr>
        <w:t>小于等于5%</w:t>
      </w:r>
      <w:r>
        <w:rPr>
          <w:rFonts w:hint="eastAsia" w:ascii="仿宋_GB2312" w:hAnsi="宋体" w:eastAsia="仿宋_GB2312" w:cstheme="minorBidi"/>
          <w:b w:val="0"/>
          <w:bCs w:val="0"/>
          <w:kern w:val="2"/>
          <w:sz w:val="28"/>
          <w:szCs w:val="28"/>
          <w:lang w:val="en-US" w:eastAsia="zh-CN" w:bidi="ar-SA"/>
        </w:rPr>
        <w:t>。该指标分值</w:t>
      </w:r>
      <w:r>
        <w:rPr>
          <w:rFonts w:hint="eastAsia" w:hAnsi="宋体"/>
          <w:b w:val="0"/>
          <w:bCs w:val="0"/>
          <w:szCs w:val="28"/>
          <w:lang w:val="en-US" w:eastAsia="zh-CN"/>
        </w:rPr>
        <w:t>2.66</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0.00</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0.00%。</w:t>
      </w:r>
    </w:p>
    <w:p w14:paraId="01B16234">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hAnsi="宋体"/>
          <w:b/>
          <w:bCs/>
          <w:szCs w:val="28"/>
          <w:lang w:val="en-US" w:eastAsia="zh-CN"/>
        </w:rPr>
      </w:pPr>
      <w:r>
        <w:rPr>
          <w:rFonts w:hint="eastAsia" w:hAnsi="宋体"/>
          <w:b/>
          <w:bCs/>
          <w:szCs w:val="28"/>
          <w:lang w:val="en-US" w:eastAsia="zh-CN"/>
        </w:rPr>
        <w:t>物业管理合格率：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物业管理</w:t>
      </w:r>
      <w:r>
        <w:rPr>
          <w:rFonts w:hint="eastAsia" w:ascii="仿宋_GB2312" w:hAnsi="宋体" w:eastAsia="仿宋_GB2312" w:cstheme="minorBidi"/>
          <w:b w:val="0"/>
          <w:bCs w:val="0"/>
          <w:kern w:val="2"/>
          <w:sz w:val="28"/>
          <w:szCs w:val="28"/>
          <w:lang w:val="en-US" w:eastAsia="zh-CN" w:bidi="ar-SA"/>
        </w:rPr>
        <w:t>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2.66</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2.66</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14:paraId="367C0F2F">
      <w:pPr>
        <w:rPr>
          <w:rFonts w:hint="eastAsia" w:hAnsi="宋体"/>
          <w:b w:val="0"/>
          <w:bCs w:val="0"/>
          <w:szCs w:val="28"/>
          <w:lang w:val="en-US" w:eastAsia="zh-CN"/>
        </w:rPr>
      </w:pPr>
      <w:r>
        <w:rPr>
          <w:rFonts w:hint="eastAsia" w:hAnsi="宋体"/>
          <w:b/>
          <w:bCs/>
          <w:szCs w:val="28"/>
          <w:lang w:val="en-US" w:eastAsia="zh-CN"/>
        </w:rPr>
        <w:t>信息化运维服务验收合格率：</w:t>
      </w:r>
      <w:r>
        <w:rPr>
          <w:rFonts w:hint="eastAsia" w:hAnsi="宋体"/>
          <w:b w:val="0"/>
          <w:bCs w:val="0"/>
          <w:szCs w:val="28"/>
          <w:lang w:val="en-US" w:eastAsia="zh-CN"/>
        </w:rPr>
        <w:t>我院本年度的信息化运维服务工作均达到办公质量要求，通过验收，验收合格率为100.00%，达到年度指标值。该指标分值</w:t>
      </w:r>
      <w:r>
        <w:rPr>
          <w:rFonts w:hint="eastAsia" w:hAnsi="宋体" w:cstheme="minorBidi"/>
          <w:b w:val="0"/>
          <w:bCs w:val="0"/>
          <w:color w:val="auto"/>
          <w:kern w:val="2"/>
          <w:sz w:val="28"/>
          <w:szCs w:val="28"/>
          <w:lang w:val="en-US" w:eastAsia="zh-CN" w:bidi="ar-SA"/>
        </w:rPr>
        <w:t>2.66</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2.66</w:t>
      </w:r>
      <w:r>
        <w:rPr>
          <w:rFonts w:hint="eastAsia" w:hAnsi="宋体"/>
          <w:b w:val="0"/>
          <w:bCs w:val="0"/>
          <w:szCs w:val="28"/>
          <w:lang w:val="en-US" w:eastAsia="zh-CN"/>
        </w:rPr>
        <w:t>分，得分率100.00%。</w:t>
      </w:r>
    </w:p>
    <w:p w14:paraId="5B59D8C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一审服判息诉率：</w:t>
      </w:r>
      <w:r>
        <w:rPr>
          <w:rFonts w:hint="eastAsia" w:hAnsi="宋体"/>
          <w:b w:val="0"/>
          <w:bCs w:val="0"/>
          <w:szCs w:val="28"/>
          <w:lang w:val="en-US" w:eastAsia="zh-CN"/>
        </w:rPr>
        <w:t>我院2023年一审服判息诉率84.7%。各项审判执行质效指标持续保持高位运行，年度指标值大于等于90%。该指标分值2.66分，自评得分为2.25分，得分率为84.59%。</w:t>
      </w:r>
    </w:p>
    <w:p w14:paraId="393FC7A9">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ascii="仿宋_GB2312" w:hAnsi="仿宋_GB2312" w:eastAsia="仿宋_GB2312" w:cstheme="minorBidi"/>
          <w:b/>
          <w:bCs/>
          <w:kern w:val="2"/>
          <w:sz w:val="28"/>
          <w:szCs w:val="32"/>
          <w:lang w:val="en-US" w:eastAsia="zh-CN" w:bidi="ar-SA"/>
        </w:rPr>
        <w:t>办案经费支付及时率：</w:t>
      </w:r>
      <w:r>
        <w:rPr>
          <w:rFonts w:hint="eastAsia" w:ascii="仿宋_GB2312" w:hAnsi="仿宋_GB2312" w:eastAsia="仿宋_GB2312" w:cstheme="minorBidi"/>
          <w:b w:val="0"/>
          <w:bCs w:val="0"/>
          <w:kern w:val="2"/>
          <w:sz w:val="28"/>
          <w:szCs w:val="32"/>
          <w:lang w:val="en-US" w:eastAsia="zh-CN" w:bidi="ar-SA"/>
        </w:rPr>
        <w:t>我院受理案件</w:t>
      </w:r>
      <w:r>
        <w:rPr>
          <w:rFonts w:hint="eastAsia" w:cstheme="minorBidi"/>
          <w:b w:val="0"/>
          <w:bCs w:val="0"/>
          <w:kern w:val="2"/>
          <w:sz w:val="28"/>
          <w:szCs w:val="32"/>
          <w:lang w:val="en-US" w:eastAsia="zh-CN" w:bidi="ar-SA"/>
        </w:rPr>
        <w:t>时所需办案经费下达及时、支付及时，符合项目资金使用规则，</w:t>
      </w:r>
      <w:r>
        <w:rPr>
          <w:rFonts w:hint="eastAsia" w:hAnsi="宋体"/>
          <w:b w:val="0"/>
          <w:bCs w:val="0"/>
          <w:szCs w:val="28"/>
          <w:lang w:val="en-US" w:eastAsia="zh-CN"/>
        </w:rPr>
        <w:t>达到年度指标值。</w:t>
      </w:r>
      <w:r>
        <w:rPr>
          <w:rFonts w:hint="eastAsia" w:ascii="仿宋_GB2312" w:hAnsi="仿宋_GB2312" w:eastAsia="仿宋_GB2312" w:cstheme="minorBidi"/>
          <w:b w:val="0"/>
          <w:bCs w:val="0"/>
          <w:kern w:val="2"/>
          <w:sz w:val="28"/>
          <w:szCs w:val="32"/>
          <w:lang w:val="en-US" w:eastAsia="zh-CN" w:bidi="ar-SA"/>
        </w:rPr>
        <w:t>该指标分值</w:t>
      </w:r>
      <w:r>
        <w:rPr>
          <w:rFonts w:hint="eastAsia" w:hAnsi="宋体" w:cstheme="minorBidi"/>
          <w:b w:val="0"/>
          <w:bCs w:val="0"/>
          <w:color w:val="auto"/>
          <w:kern w:val="2"/>
          <w:sz w:val="28"/>
          <w:szCs w:val="28"/>
          <w:lang w:val="en-US" w:eastAsia="zh-CN" w:bidi="ar-SA"/>
        </w:rPr>
        <w:t>2.66</w:t>
      </w:r>
      <w:r>
        <w:rPr>
          <w:rFonts w:hint="eastAsia" w:ascii="仿宋_GB2312" w:hAnsi="仿宋_GB2312" w:eastAsia="仿宋_GB2312" w:cstheme="minorBidi"/>
          <w:b w:val="0"/>
          <w:bCs w:val="0"/>
          <w:kern w:val="2"/>
          <w:sz w:val="28"/>
          <w:szCs w:val="32"/>
          <w:lang w:val="en-US" w:eastAsia="zh-CN" w:bidi="ar-SA"/>
        </w:rPr>
        <w:t>分，自评得分为</w:t>
      </w:r>
      <w:r>
        <w:rPr>
          <w:rFonts w:hint="eastAsia" w:hAnsi="宋体" w:cstheme="minorBidi"/>
          <w:b w:val="0"/>
          <w:bCs w:val="0"/>
          <w:color w:val="auto"/>
          <w:kern w:val="2"/>
          <w:sz w:val="28"/>
          <w:szCs w:val="28"/>
          <w:lang w:val="en-US" w:eastAsia="zh-CN" w:bidi="ar-SA"/>
        </w:rPr>
        <w:t>2.66</w:t>
      </w:r>
      <w:r>
        <w:rPr>
          <w:rFonts w:hint="eastAsia" w:ascii="仿宋_GB2312" w:hAnsi="仿宋_GB2312" w:eastAsia="仿宋_GB2312" w:cstheme="minorBidi"/>
          <w:b w:val="0"/>
          <w:bCs w:val="0"/>
          <w:kern w:val="2"/>
          <w:sz w:val="28"/>
          <w:szCs w:val="32"/>
          <w:lang w:val="en-US" w:eastAsia="zh-CN" w:bidi="ar-SA"/>
        </w:rPr>
        <w:t>分，得分率为</w:t>
      </w:r>
      <w:r>
        <w:rPr>
          <w:rFonts w:hint="eastAsia" w:cstheme="minorBidi"/>
          <w:b w:val="0"/>
          <w:bCs w:val="0"/>
          <w:kern w:val="2"/>
          <w:sz w:val="28"/>
          <w:szCs w:val="32"/>
          <w:lang w:val="en-US" w:eastAsia="zh-CN" w:bidi="ar-SA"/>
        </w:rPr>
        <w:t>100.00%</w:t>
      </w:r>
      <w:r>
        <w:rPr>
          <w:rFonts w:hint="eastAsia" w:ascii="仿宋_GB2312" w:hAnsi="仿宋_GB2312" w:eastAsia="仿宋_GB2312" w:cstheme="minorBidi"/>
          <w:b w:val="0"/>
          <w:bCs w:val="0"/>
          <w:kern w:val="2"/>
          <w:sz w:val="28"/>
          <w:szCs w:val="32"/>
          <w:lang w:val="en-US" w:eastAsia="zh-CN" w:bidi="ar-SA"/>
        </w:rPr>
        <w:t>。</w:t>
      </w:r>
    </w:p>
    <w:p w14:paraId="7727DA76">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color w:val="000000" w:themeColor="text1"/>
          <w:szCs w:val="28"/>
          <w:lang w:val="en-US" w:eastAsia="zh-CN"/>
          <w14:textFill>
            <w14:solidFill>
              <w14:schemeClr w14:val="tx1"/>
            </w14:solidFill>
          </w14:textFill>
        </w:rPr>
      </w:pPr>
      <w:r>
        <w:rPr>
          <w:rFonts w:hint="eastAsia" w:hAnsi="宋体"/>
          <w:b/>
          <w:bCs/>
          <w:szCs w:val="28"/>
          <w:lang w:val="en-US" w:eastAsia="zh-CN"/>
        </w:rPr>
        <w:t>法定审限内结案率：</w:t>
      </w:r>
      <w:r>
        <w:rPr>
          <w:rFonts w:hint="eastAsia" w:hAnsi="宋体"/>
          <w:b w:val="0"/>
          <w:bCs w:val="0"/>
          <w:szCs w:val="28"/>
          <w:lang w:val="en-US" w:eastAsia="zh-CN"/>
        </w:rPr>
        <w:t>我院2023年度法定审限内立案2739件，结案数2739件，结案率99.87%，达到年度指标值。该指标分值</w:t>
      </w:r>
      <w:r>
        <w:rPr>
          <w:rFonts w:hint="eastAsia" w:hAnsi="宋体" w:cstheme="minorBidi"/>
          <w:b w:val="0"/>
          <w:bCs w:val="0"/>
          <w:color w:val="auto"/>
          <w:kern w:val="2"/>
          <w:sz w:val="28"/>
          <w:szCs w:val="28"/>
          <w:lang w:val="en-US" w:eastAsia="zh-CN" w:bidi="ar-SA"/>
        </w:rPr>
        <w:t>2.66</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2.66</w:t>
      </w:r>
      <w:r>
        <w:rPr>
          <w:rFonts w:hint="eastAsia" w:hAnsi="宋体"/>
          <w:b w:val="0"/>
          <w:bCs w:val="0"/>
          <w:szCs w:val="28"/>
          <w:lang w:val="en-US" w:eastAsia="zh-CN"/>
        </w:rPr>
        <w:t>分，得分率为100.00%。</w:t>
      </w:r>
    </w:p>
    <w:p w14:paraId="16826D44">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维修修护及时性：</w:t>
      </w:r>
      <w:r>
        <w:rPr>
          <w:rFonts w:hint="eastAsia" w:hAnsi="宋体"/>
          <w:b w:val="0"/>
          <w:bCs w:val="0"/>
          <w:color w:val="000000" w:themeColor="text1"/>
          <w:szCs w:val="28"/>
          <w:lang w:val="en-US" w:eastAsia="zh-CN"/>
          <w14:textFill>
            <w14:solidFill>
              <w14:schemeClr w14:val="tx1"/>
            </w14:solidFill>
          </w14:textFill>
        </w:rPr>
        <w:t>我院维修维护工作开展及时，均在响应时间内进行维护工作，达到年度指标值。该指标分值2.66分，自评得分为2.66分，得分率为100.00%。</w:t>
      </w:r>
    </w:p>
    <w:p w14:paraId="14CF4ACF">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信息化运维工作及时性：</w:t>
      </w:r>
      <w:r>
        <w:rPr>
          <w:rFonts w:hint="eastAsia" w:hAnsi="宋体"/>
          <w:b w:val="0"/>
          <w:bCs w:val="0"/>
          <w:color w:val="000000" w:themeColor="text1"/>
          <w:szCs w:val="28"/>
          <w:lang w:val="en-US" w:eastAsia="zh-CN"/>
          <w14:textFill>
            <w14:solidFill>
              <w14:schemeClr w14:val="tx1"/>
            </w14:solidFill>
          </w14:textFill>
        </w:rPr>
        <w:t>我院信息化运维工作开展及时，均在响应时间内进行维护工作，达到年度指标值。该指标分值2.66分，自评得分为2.66分，得分率为100.00%。</w:t>
      </w:r>
    </w:p>
    <w:p w14:paraId="541E895E">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装备购置及时性：</w:t>
      </w:r>
      <w:r>
        <w:rPr>
          <w:rFonts w:hint="eastAsia" w:hAnsi="宋体"/>
          <w:b w:val="0"/>
          <w:bCs w:val="0"/>
          <w:color w:val="000000" w:themeColor="text1"/>
          <w:szCs w:val="28"/>
          <w:lang w:val="en-US" w:eastAsia="zh-CN"/>
          <w14:textFill>
            <w14:solidFill>
              <w14:schemeClr w14:val="tx1"/>
            </w14:solidFill>
          </w14:textFill>
        </w:rPr>
        <w:t>我院装备购置工作开展及时，均在响应时间内进行装备购置，达到年度指标值。该指标分值2.66分，自评得分为2.66分，得分率为100.00%。</w:t>
      </w:r>
    </w:p>
    <w:p w14:paraId="2461DF42">
      <w:pPr>
        <w:pStyle w:val="6"/>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效益指标</w:t>
      </w:r>
    </w:p>
    <w:p w14:paraId="63C68E96">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79862A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57DEDB7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03EB377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5359192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4DF7D08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7BFE6E3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3940C07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3A01A56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153EA5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5D4927D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经济效益指标</w:t>
            </w:r>
          </w:p>
        </w:tc>
        <w:tc>
          <w:tcPr>
            <w:tcW w:w="1845" w:type="dxa"/>
            <w:vAlign w:val="center"/>
          </w:tcPr>
          <w:p w14:paraId="784263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挽回经济损失效果</w:t>
            </w:r>
          </w:p>
        </w:tc>
        <w:tc>
          <w:tcPr>
            <w:tcW w:w="1467" w:type="dxa"/>
            <w:vAlign w:val="center"/>
          </w:tcPr>
          <w:p w14:paraId="3F915D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66" w:type="dxa"/>
            <w:vAlign w:val="center"/>
          </w:tcPr>
          <w:p w14:paraId="284581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37A588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52771A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1001C5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529B1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4492B6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dxa"/>
            <w:vAlign w:val="center"/>
          </w:tcPr>
          <w:p w14:paraId="1D8129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14:paraId="0FBC08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14:paraId="5C5B70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4C405665">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37780308">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7EC39609">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3647ED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2EE1CC5">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45" w:type="dxa"/>
            <w:vAlign w:val="center"/>
          </w:tcPr>
          <w:p w14:paraId="1D6E4D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14:paraId="7BBBF3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14:paraId="2EAE42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437F52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24C735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19272C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BED69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746ADA9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生态效益指标</w:t>
            </w:r>
          </w:p>
        </w:tc>
        <w:tc>
          <w:tcPr>
            <w:tcW w:w="1845" w:type="dxa"/>
            <w:vAlign w:val="center"/>
          </w:tcPr>
          <w:p w14:paraId="0F6BBD6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打击生态犯罪，维护生态秩序</w:t>
            </w:r>
          </w:p>
        </w:tc>
        <w:tc>
          <w:tcPr>
            <w:tcW w:w="1467" w:type="dxa"/>
            <w:vAlign w:val="center"/>
          </w:tcPr>
          <w:p w14:paraId="341815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466" w:type="dxa"/>
            <w:vAlign w:val="center"/>
          </w:tcPr>
          <w:p w14:paraId="652A91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3C689F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4785E9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662298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76083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4A569AC0">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68BEAC6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663363A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1DA1AFC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7679B49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4556BB2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5F65BCC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2E69CD2E">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挽回经济损失效果：</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我院积极采用多角度，多元化解决纠纷机制，加大财产保全力度，最大限度的维护当事人的合法权益，挽回经济损失效果明显。该指标分值</w:t>
      </w:r>
      <w:r>
        <w:rPr>
          <w:rFonts w:hint="eastAsia" w:hAnsi="宋体" w:cstheme="minorBidi"/>
          <w:b w:val="0"/>
          <w:bCs w:val="0"/>
          <w:kern w:val="2"/>
          <w:sz w:val="28"/>
          <w:szCs w:val="28"/>
          <w:lang w:val="en-US" w:eastAsia="zh-CN" w:bidi="ar-SA"/>
        </w:rPr>
        <w:t>5</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00AE1A44">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优化审判资源，狠抓执法办案第一要务，妥善化解纠纷，贯彻“调解优先、调判结合”的民事审判方针，加大涉弱势群体保护力度，切实维护社会稳定，达到年度指标值。该指标分值5分，自评得分为5分，得分率为100.00%。</w:t>
      </w:r>
    </w:p>
    <w:p w14:paraId="0A4D4111">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我院积极开展法院审判工作，有效保障审判服务，达到年度指标值。该指标分值5分，自评得分为5分，得分率为100.00%。</w:t>
      </w:r>
    </w:p>
    <w:p w14:paraId="7681F288">
      <w:pPr>
        <w:pStyle w:val="2"/>
        <w:rPr>
          <w:rFonts w:hint="eastAsia" w:hAnsi="宋体"/>
          <w:b/>
          <w:bCs/>
          <w:szCs w:val="28"/>
        </w:rPr>
      </w:pPr>
      <w:r>
        <w:rPr>
          <w:rFonts w:hint="eastAsia"/>
          <w:b/>
          <w:bCs/>
          <w:color w:val="000000" w:themeColor="text1"/>
          <w:sz w:val="28"/>
          <w:szCs w:val="28"/>
          <w:lang w:val="en-US" w:eastAsia="zh-CN"/>
          <w14:textFill>
            <w14:solidFill>
              <w14:schemeClr w14:val="tx1"/>
            </w14:solidFill>
          </w14:textFill>
        </w:rPr>
        <w:t>打击生态犯罪，维护生态秩序：</w:t>
      </w:r>
      <w:r>
        <w:rPr>
          <w:rFonts w:hint="eastAsia"/>
          <w:color w:val="000000" w:themeColor="text1"/>
          <w:sz w:val="28"/>
          <w:szCs w:val="28"/>
          <w:lang w:val="en-US" w:eastAsia="zh-CN"/>
          <w14:textFill>
            <w14:solidFill>
              <w14:schemeClr w14:val="tx1"/>
            </w14:solidFill>
          </w14:textFill>
        </w:rPr>
        <w:t>我院加强法制宣传防止犯罪力度、打击生态犯罪，维护生态秩序，让人民时时刻刻都感受到法制氛围的力量，尽可能帮助人民在了解法的情况下减少犯罪活动，遏制犯罪动机，维护生态秩序，达到年度指标值。该指标分值5分，自评得分为5分，得分率为100.00%。</w:t>
      </w:r>
    </w:p>
    <w:p w14:paraId="3E469B09">
      <w:pPr>
        <w:pStyle w:val="46"/>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jc w:val="both"/>
        <w:textAlignment w:val="auto"/>
        <w:rPr>
          <w:rStyle w:val="47"/>
          <w:rFonts w:hint="eastAsia" w:ascii="仿宋" w:hAnsi="仿宋" w:eastAsia="仿宋" w:cs="仿宋"/>
          <w:lang w:val="en-US" w:eastAsia="zh-CN"/>
        </w:rPr>
      </w:pPr>
      <w:r>
        <w:rPr>
          <w:rStyle w:val="47"/>
          <w:rFonts w:hint="eastAsia" w:ascii="仿宋" w:hAnsi="仿宋" w:eastAsia="仿宋" w:cs="仿宋"/>
          <w:lang w:val="en-US" w:eastAsia="zh-CN"/>
        </w:rPr>
        <w:t>服务对象满意度</w:t>
      </w:r>
    </w:p>
    <w:p w14:paraId="61D8216F">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当事人</w:t>
      </w:r>
      <w:r>
        <w:rPr>
          <w:rFonts w:hint="eastAsia" w:ascii="仿宋_GB2312" w:hAnsi="宋体" w:eastAsia="仿宋_GB2312" w:cstheme="minorBidi"/>
          <w:b w:val="0"/>
          <w:bCs w:val="0"/>
          <w:kern w:val="2"/>
          <w:sz w:val="28"/>
          <w:szCs w:val="28"/>
          <w:lang w:val="en-US" w:eastAsia="zh-CN" w:bidi="ar-SA"/>
        </w:rPr>
        <w:t>满意度</w:t>
      </w:r>
      <w:r>
        <w:rPr>
          <w:rFonts w:hint="eastAsia" w:hAnsi="宋体" w:cstheme="minorBidi"/>
          <w:b w:val="0"/>
          <w:bCs w:val="0"/>
          <w:kern w:val="2"/>
          <w:sz w:val="28"/>
          <w:szCs w:val="28"/>
          <w:lang w:val="en-US" w:eastAsia="zh-CN" w:bidi="ar-SA"/>
        </w:rPr>
        <w:t>、干警满意度。</w:t>
      </w:r>
      <w:r>
        <w:rPr>
          <w:rFonts w:hint="eastAsia" w:ascii="仿宋_GB2312" w:hAnsi="宋体" w:eastAsia="仿宋_GB2312" w:cstheme="minorBidi"/>
          <w:b w:val="0"/>
          <w:bCs w:val="0"/>
          <w:kern w:val="2"/>
          <w:sz w:val="28"/>
          <w:szCs w:val="28"/>
          <w:lang w:val="en-US" w:eastAsia="zh-CN" w:bidi="ar-SA"/>
        </w:rPr>
        <w:t>该指标分值合计10分，自评得分</w:t>
      </w:r>
      <w:r>
        <w:rPr>
          <w:rFonts w:hint="eastAsia" w:hAnsi="宋体" w:cstheme="minorBidi"/>
          <w:b w:val="0"/>
          <w:bCs w:val="0"/>
          <w:kern w:val="2"/>
          <w:sz w:val="28"/>
          <w:szCs w:val="28"/>
          <w:lang w:val="en-US" w:eastAsia="zh-CN" w:bidi="ar-SA"/>
        </w:rPr>
        <w:t>10</w:t>
      </w:r>
      <w:r>
        <w:rPr>
          <w:rFonts w:hint="eastAsia" w:ascii="仿宋_GB2312" w:hAnsi="宋体" w:eastAsia="仿宋_GB2312" w:cstheme="minorBidi"/>
          <w:b w:val="0"/>
          <w:bCs w:val="0"/>
          <w:kern w:val="2"/>
          <w:sz w:val="28"/>
          <w:szCs w:val="28"/>
          <w:lang w:val="en-US" w:eastAsia="zh-CN" w:bidi="ar-SA"/>
        </w:rPr>
        <w:t>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31092A11">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561BD3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0B5DD81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455C565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6ED5DEB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59C8C51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05BBCE1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3EE59E6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0F8C7D2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5D54EB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4B6CA5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14:paraId="125DED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当事人满意程度</w:t>
            </w:r>
          </w:p>
        </w:tc>
        <w:tc>
          <w:tcPr>
            <w:tcW w:w="1467" w:type="dxa"/>
            <w:vAlign w:val="center"/>
          </w:tcPr>
          <w:p w14:paraId="3B3859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14:paraId="5FCA46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7" w:type="dxa"/>
            <w:vAlign w:val="center"/>
          </w:tcPr>
          <w:p w14:paraId="3F1AF140">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7465DF5A">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567E5FC7">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7C6022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F962B1A">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45" w:type="dxa"/>
            <w:vAlign w:val="center"/>
          </w:tcPr>
          <w:p w14:paraId="33820D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干警满意程度</w:t>
            </w:r>
          </w:p>
        </w:tc>
        <w:tc>
          <w:tcPr>
            <w:tcW w:w="1467" w:type="dxa"/>
            <w:vAlign w:val="center"/>
          </w:tcPr>
          <w:p w14:paraId="2668E9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14:paraId="06AA4A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717" w:type="dxa"/>
            <w:vAlign w:val="center"/>
          </w:tcPr>
          <w:p w14:paraId="64A8B4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2817B4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73A4DD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D8DE6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3A3F18BE">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3F9BBAD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736801E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7BC38CB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7AA19DE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14:paraId="0AE36B9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6A4AA6D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4DB109C0">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ascii="仿宋_GB2312" w:hAnsi="仿宋_GB2312" w:eastAsia="仿宋_GB2312" w:cs="仿宋_GB2312"/>
          <w:b/>
          <w:bCs/>
          <w:sz w:val="28"/>
          <w:szCs w:val="28"/>
        </w:rPr>
        <w:t>当事人满意度：</w:t>
      </w:r>
      <w:r>
        <w:rPr>
          <w:rFonts w:hint="eastAsia"/>
        </w:rPr>
        <w:t>我院依法审理各类案件，妥善化解矛盾纠纷和行政争议，维护了法院审判工作的有序开展，积极保障人民群众生命财产安</w:t>
      </w:r>
      <w:r>
        <w:rPr>
          <w:rFonts w:hint="eastAsia"/>
          <w:lang w:val="en-US" w:eastAsia="zh-CN"/>
        </w:rPr>
        <w:t>全，当事人满意度96%，达到目标值。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14:paraId="271FF5D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eastAsia="zh-CN"/>
        </w:rPr>
      </w:pPr>
      <w:r>
        <w:rPr>
          <w:rFonts w:hint="eastAsia" w:ascii="仿宋_GB2312" w:hAnsi="仿宋_GB2312" w:eastAsia="仿宋_GB2312" w:cs="仿宋_GB2312"/>
          <w:b/>
          <w:bCs/>
          <w:sz w:val="28"/>
          <w:szCs w:val="28"/>
        </w:rPr>
        <w:t>干警满意度：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干警</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14:paraId="1899E3AB">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14:paraId="07E273CB">
      <w:pPr>
        <w:bidi w:val="0"/>
        <w:rPr>
          <w:rFonts w:hint="eastAsia"/>
        </w:rPr>
      </w:pPr>
      <w:r>
        <w:rPr>
          <w:rFonts w:hint="eastAsia"/>
          <w:lang w:val="en-US" w:eastAsia="zh-CN"/>
        </w:rPr>
        <w:t>我院在上报2023年度全省法院业务费项目时，个别指标设置不合理，维修维护项目验收合格率指标设置偏低，采购装备数量、一审服判息诉率指标设置偏高。我院将进一步细化年初绩效目标设置，合理设置指标分值。</w:t>
      </w:r>
    </w:p>
    <w:p w14:paraId="5727FCD4">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bookmarkStart w:id="64" w:name="_Toc18030"/>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bookmarkEnd w:id="64"/>
    </w:p>
    <w:p w14:paraId="65A06B1B">
      <w:pPr>
        <w:pStyle w:val="2"/>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本次绩效自评综合评定</w:t>
      </w:r>
      <w:r>
        <w:rPr>
          <w:rFonts w:hint="eastAsia"/>
          <w:color w:val="000000" w:themeColor="text1"/>
          <w:sz w:val="28"/>
          <w:szCs w:val="28"/>
          <w:lang w:eastAsia="zh-CN"/>
          <w14:textFill>
            <w14:solidFill>
              <w14:schemeClr w14:val="tx1"/>
            </w14:solidFill>
          </w14:textFill>
        </w:rPr>
        <w:t>2023年</w:t>
      </w:r>
      <w:r>
        <w:rPr>
          <w:rFonts w:hint="eastAsia"/>
          <w:color w:val="000000" w:themeColor="text1"/>
          <w:sz w:val="28"/>
          <w:szCs w:val="28"/>
          <w:lang w:val="en-US" w:eastAsia="zh-CN"/>
          <w14:textFill>
            <w14:solidFill>
              <w14:schemeClr w14:val="tx1"/>
            </w14:solidFill>
          </w14:textFill>
        </w:rPr>
        <w:t>法庭运维费</w:t>
      </w:r>
      <w:r>
        <w:rPr>
          <w:rFonts w:hint="eastAsia"/>
          <w:color w:val="000000" w:themeColor="text1"/>
          <w:sz w:val="28"/>
          <w:szCs w:val="28"/>
          <w14:textFill>
            <w14:solidFill>
              <w14:schemeClr w14:val="tx1"/>
            </w14:solidFill>
          </w14:textFill>
        </w:rPr>
        <w:t>项目支出绩效得分为</w:t>
      </w:r>
      <w:r>
        <w:rPr>
          <w:rFonts w:hint="eastAsia"/>
          <w:color w:val="000000" w:themeColor="text1"/>
          <w:sz w:val="28"/>
          <w:szCs w:val="28"/>
          <w:lang w:val="en-US" w:eastAsia="zh-CN"/>
          <w14:textFill>
            <w14:solidFill>
              <w14:schemeClr w14:val="tx1"/>
            </w14:solidFill>
          </w14:textFill>
        </w:rPr>
        <w:t>100.00</w:t>
      </w:r>
      <w:r>
        <w:rPr>
          <w:rFonts w:hint="eastAsia"/>
          <w:color w:val="000000" w:themeColor="text1"/>
          <w:sz w:val="28"/>
          <w:szCs w:val="28"/>
          <w14:textFill>
            <w14:solidFill>
              <w14:schemeClr w14:val="tx1"/>
            </w14:solidFill>
          </w14:textFill>
        </w:rPr>
        <w:t>分，绩效等级为“</w:t>
      </w:r>
      <w:r>
        <w:rPr>
          <w:rFonts w:hint="eastAsia"/>
          <w:color w:val="000000" w:themeColor="text1"/>
          <w:sz w:val="28"/>
          <w:szCs w:val="28"/>
          <w:lang w:val="en-US" w:eastAsia="zh-CN"/>
          <w14:textFill>
            <w14:solidFill>
              <w14:schemeClr w14:val="tx1"/>
            </w14:solidFill>
          </w14:textFill>
        </w:rPr>
        <w:t>优</w:t>
      </w:r>
      <w:r>
        <w:rPr>
          <w:rFonts w:hint="eastAsia"/>
          <w:color w:val="000000" w:themeColor="text1"/>
          <w:sz w:val="28"/>
          <w:szCs w:val="28"/>
          <w14:textFill>
            <w14:solidFill>
              <w14:schemeClr w14:val="tx1"/>
            </w14:solidFill>
          </w14:textFill>
        </w:rPr>
        <w:t>”。项目支出绩效评价包括</w:t>
      </w:r>
      <w:r>
        <w:rPr>
          <w:rFonts w:hint="eastAsia" w:cs="仿宋_GB2312"/>
          <w:color w:val="000000" w:themeColor="text1"/>
          <w:sz w:val="28"/>
          <w:szCs w:val="28"/>
          <w:lang w:val="en-US" w:eastAsia="zh-CN"/>
          <w14:textFill>
            <w14:solidFill>
              <w14:schemeClr w14:val="tx1"/>
            </w14:solidFill>
          </w14:textFill>
        </w:rPr>
        <w:t>成本</w:t>
      </w:r>
      <w:r>
        <w:rPr>
          <w:rFonts w:hint="eastAsia" w:cs="仿宋_GB2312"/>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产出、效益、满意度四个一级指标，下设</w:t>
      </w:r>
      <w:r>
        <w:rPr>
          <w:rFonts w:hint="eastAsia"/>
          <w:color w:val="000000" w:themeColor="text1"/>
          <w:sz w:val="28"/>
          <w:szCs w:val="28"/>
          <w:lang w:val="en-US" w:eastAsia="zh-CN"/>
          <w14:textFill>
            <w14:solidFill>
              <w14:schemeClr w14:val="tx1"/>
            </w14:solidFill>
          </w14:textFill>
        </w:rPr>
        <w:t>7</w:t>
      </w:r>
      <w:r>
        <w:rPr>
          <w:rFonts w:hint="eastAsia"/>
          <w:color w:val="000000" w:themeColor="text1"/>
          <w:sz w:val="28"/>
          <w:szCs w:val="28"/>
          <w14:textFill>
            <w14:solidFill>
              <w14:schemeClr w14:val="tx1"/>
            </w14:solidFill>
          </w14:textFill>
        </w:rPr>
        <w:t>个二级指标和</w:t>
      </w:r>
      <w:r>
        <w:rPr>
          <w:rFonts w:hint="eastAsia"/>
          <w:color w:val="000000" w:themeColor="text1"/>
          <w:sz w:val="28"/>
          <w:szCs w:val="28"/>
          <w:lang w:val="en-US" w:eastAsia="zh-CN"/>
          <w14:textFill>
            <w14:solidFill>
              <w14:schemeClr w14:val="tx1"/>
            </w14:solidFill>
          </w14:textFill>
        </w:rPr>
        <w:t>13</w:t>
      </w:r>
      <w:r>
        <w:rPr>
          <w:rFonts w:hint="eastAsia"/>
          <w:color w:val="000000" w:themeColor="text1"/>
          <w:sz w:val="28"/>
          <w:szCs w:val="28"/>
          <w14:textFill>
            <w14:solidFill>
              <w14:schemeClr w14:val="tx1"/>
            </w14:solidFill>
          </w14:textFill>
        </w:rPr>
        <w:t>个三级指标。一级指标得分情况详见下表：</w:t>
      </w:r>
    </w:p>
    <w:tbl>
      <w:tblPr>
        <w:tblStyle w:val="24"/>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14:paraId="7FE056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14:paraId="3571231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064" w:type="dxa"/>
            <w:shd w:val="clear" w:color="auto" w:fill="BDD6EE"/>
            <w:vAlign w:val="center"/>
          </w:tcPr>
          <w:p w14:paraId="72EA31E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2064" w:type="dxa"/>
            <w:shd w:val="clear" w:color="auto" w:fill="BDD6EE"/>
            <w:vAlign w:val="center"/>
          </w:tcPr>
          <w:p w14:paraId="209A437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2066" w:type="dxa"/>
            <w:shd w:val="clear" w:color="auto" w:fill="BDD6EE"/>
            <w:vAlign w:val="center"/>
          </w:tcPr>
          <w:p w14:paraId="6CBD5DF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03047E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230556E7">
            <w:pPr>
              <w:widowControl/>
              <w:ind w:left="0" w:leftChars="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预算执行率</w:t>
            </w:r>
          </w:p>
        </w:tc>
        <w:tc>
          <w:tcPr>
            <w:tcW w:w="2064" w:type="dxa"/>
            <w:vAlign w:val="center"/>
          </w:tcPr>
          <w:p w14:paraId="29BB0E1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4" w:type="dxa"/>
            <w:vAlign w:val="center"/>
          </w:tcPr>
          <w:p w14:paraId="2939C30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6" w:type="dxa"/>
            <w:vAlign w:val="center"/>
          </w:tcPr>
          <w:p w14:paraId="42A48B8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1E6878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54D533B2">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成本指标</w:t>
            </w:r>
          </w:p>
        </w:tc>
        <w:tc>
          <w:tcPr>
            <w:tcW w:w="2064" w:type="dxa"/>
            <w:vAlign w:val="center"/>
          </w:tcPr>
          <w:p w14:paraId="7A886D5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14:paraId="1130906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w:t>
            </w:r>
          </w:p>
        </w:tc>
        <w:tc>
          <w:tcPr>
            <w:tcW w:w="2066" w:type="dxa"/>
            <w:vAlign w:val="center"/>
          </w:tcPr>
          <w:p w14:paraId="34EE5D5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19C4983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5451CD5B">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产出指标</w:t>
            </w:r>
          </w:p>
        </w:tc>
        <w:tc>
          <w:tcPr>
            <w:tcW w:w="2064" w:type="dxa"/>
            <w:vAlign w:val="center"/>
          </w:tcPr>
          <w:p w14:paraId="0641CFE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lang w:val="en-US" w:eastAsia="zh-CN" w:bidi="ar"/>
              </w:rPr>
              <w:t>40</w:t>
            </w:r>
          </w:p>
        </w:tc>
        <w:tc>
          <w:tcPr>
            <w:tcW w:w="2064" w:type="dxa"/>
            <w:vAlign w:val="center"/>
          </w:tcPr>
          <w:p w14:paraId="3D54C8C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lang w:val="en-US" w:eastAsia="zh-CN" w:bidi="ar"/>
              </w:rPr>
              <w:t>40</w:t>
            </w:r>
          </w:p>
        </w:tc>
        <w:tc>
          <w:tcPr>
            <w:tcW w:w="2066" w:type="dxa"/>
            <w:vAlign w:val="center"/>
          </w:tcPr>
          <w:p w14:paraId="50BE628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val="en-US" w:eastAsia="zh-CN" w:bidi="ar"/>
              </w:rPr>
              <w:t>100.00</w:t>
            </w:r>
            <w:r>
              <w:rPr>
                <w:rFonts w:hint="eastAsia" w:ascii="宋体" w:hAnsi="宋体" w:eastAsia="宋体" w:cs="宋体"/>
                <w:color w:val="000000"/>
                <w:kern w:val="0"/>
                <w:sz w:val="22"/>
                <w:lang w:bidi="ar"/>
              </w:rPr>
              <w:t>%</w:t>
            </w:r>
          </w:p>
        </w:tc>
      </w:tr>
      <w:tr w14:paraId="186F2E6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64DBC33B">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bidi="ar"/>
              </w:rPr>
              <w:t>效益指标</w:t>
            </w:r>
          </w:p>
        </w:tc>
        <w:tc>
          <w:tcPr>
            <w:tcW w:w="2064" w:type="dxa"/>
            <w:vAlign w:val="center"/>
          </w:tcPr>
          <w:p w14:paraId="7401792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14:paraId="74C7E79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6" w:type="dxa"/>
            <w:vAlign w:val="center"/>
          </w:tcPr>
          <w:p w14:paraId="373328C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3CF44BF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18F4DFB3">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满意度指标</w:t>
            </w:r>
          </w:p>
        </w:tc>
        <w:tc>
          <w:tcPr>
            <w:tcW w:w="2064" w:type="dxa"/>
            <w:vAlign w:val="center"/>
          </w:tcPr>
          <w:p w14:paraId="75BE05B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4" w:type="dxa"/>
            <w:vAlign w:val="center"/>
          </w:tcPr>
          <w:p w14:paraId="47D00D4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6" w:type="dxa"/>
            <w:vAlign w:val="center"/>
          </w:tcPr>
          <w:p w14:paraId="4C77FEC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043C3D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14:paraId="11EF9CF8">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4" w:type="dxa"/>
            <w:shd w:val="clear" w:color="auto" w:fill="BDD6EE"/>
            <w:vAlign w:val="center"/>
          </w:tcPr>
          <w:p w14:paraId="0CAE8DC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bidi="ar"/>
              </w:rPr>
              <w:t>100</w:t>
            </w:r>
          </w:p>
        </w:tc>
        <w:tc>
          <w:tcPr>
            <w:tcW w:w="2064" w:type="dxa"/>
            <w:shd w:val="clear" w:color="auto" w:fill="BDD6EE"/>
            <w:vAlign w:val="center"/>
          </w:tcPr>
          <w:p w14:paraId="22ABF6E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w:t>
            </w:r>
          </w:p>
        </w:tc>
        <w:tc>
          <w:tcPr>
            <w:tcW w:w="2066" w:type="dxa"/>
            <w:shd w:val="clear" w:color="auto" w:fill="BDD6EE"/>
            <w:vAlign w:val="center"/>
          </w:tcPr>
          <w:p w14:paraId="4741833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100.00</w:t>
            </w:r>
            <w:r>
              <w:rPr>
                <w:rFonts w:hint="eastAsia" w:ascii="宋体" w:hAnsi="宋体" w:eastAsia="宋体" w:cs="宋体"/>
                <w:color w:val="000000"/>
                <w:kern w:val="0"/>
                <w:sz w:val="22"/>
                <w:lang w:bidi="ar"/>
              </w:rPr>
              <w:t>%</w:t>
            </w:r>
          </w:p>
        </w:tc>
      </w:tr>
    </w:tbl>
    <w:p w14:paraId="47901B80">
      <w:pPr>
        <w:pStyle w:val="5"/>
        <w:bidi w:val="0"/>
      </w:pPr>
      <w:r>
        <w:t>1、项目支出预算执行情况</w:t>
      </w:r>
    </w:p>
    <w:p w14:paraId="70D4BF1E">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我院法庭运维费项目年初预算数54万元、全年预算数54万元，全年执行数54万元，预算执行率100.00%，满分10分，得分10分。</w:t>
      </w:r>
    </w:p>
    <w:p w14:paraId="24A12D89">
      <w:pPr>
        <w:pStyle w:val="5"/>
        <w:bidi w:val="0"/>
      </w:pPr>
      <w:r>
        <w:t>2、总体绩效目标完成情况分析</w:t>
      </w:r>
    </w:p>
    <w:p w14:paraId="454F43F2">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ascii="仿宋" w:hAnsi="仿宋" w:eastAsia="仿宋" w:cs="仿宋"/>
          <w:spacing w:val="-5"/>
          <w:position w:val="26"/>
          <w:sz w:val="28"/>
          <w:szCs w:val="28"/>
        </w:rPr>
        <w:t>法</w:t>
      </w:r>
      <w:r>
        <w:rPr>
          <w:rFonts w:hint="eastAsia" w:ascii="仿宋" w:hAnsi="仿宋" w:eastAsia="仿宋" w:cs="仿宋"/>
          <w:spacing w:val="-5"/>
          <w:position w:val="26"/>
          <w:sz w:val="28"/>
          <w:szCs w:val="28"/>
          <w:lang w:val="en-US" w:eastAsia="zh-CN"/>
        </w:rPr>
        <w:t>庭运维费项目自评价得分100分，自评结果为“优”。通过法庭运维费项目的有效实施，保障基层法庭运维，改善基层办公办案条件，更好的维护国家法制、法律的权威、公平和正义，维护社会稳定和谐，达到公众认同，当事人满意。</w:t>
      </w:r>
    </w:p>
    <w:p w14:paraId="010F5D63">
      <w:pPr>
        <w:pStyle w:val="5"/>
        <w:numPr>
          <w:ilvl w:val="0"/>
          <w:numId w:val="2"/>
        </w:numPr>
        <w:bidi w:val="0"/>
      </w:pPr>
      <w:r>
        <w:t>各项指标完成情况分析</w:t>
      </w:r>
    </w:p>
    <w:p w14:paraId="3DD57F10">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（1）成本指标</w:t>
      </w:r>
    </w:p>
    <w:p w14:paraId="2A04ABE9">
      <w:pPr>
        <w:rPr>
          <w:rFonts w:hint="eastAsia" w:hAnsi="宋体"/>
          <w:b w:val="0"/>
          <w:bCs w:val="0"/>
          <w:szCs w:val="28"/>
          <w:lang w:val="en-US" w:eastAsia="zh-CN"/>
        </w:rPr>
      </w:pPr>
      <w:r>
        <w:rPr>
          <w:rFonts w:hint="eastAsia" w:hAnsi="宋体"/>
          <w:b w:val="0"/>
          <w:bCs w:val="0"/>
          <w:szCs w:val="28"/>
          <w:lang w:val="en-US" w:eastAsia="zh-CN"/>
        </w:rPr>
        <w:t>成本指标下设1个二级指标，1个三级指标，指标权重合计20分，自评得分20分，得分率为100.00%。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87"/>
        <w:gridCol w:w="1600"/>
        <w:gridCol w:w="1375"/>
        <w:gridCol w:w="681"/>
        <w:gridCol w:w="1188"/>
        <w:gridCol w:w="1046"/>
      </w:tblGrid>
      <w:tr w14:paraId="41452F7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14:paraId="3DE07AB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687" w:type="dxa"/>
            <w:shd w:val="clear" w:color="auto" w:fill="BDD6EE"/>
            <w:vAlign w:val="center"/>
          </w:tcPr>
          <w:p w14:paraId="5A9469C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三级指标</w:t>
            </w:r>
          </w:p>
        </w:tc>
        <w:tc>
          <w:tcPr>
            <w:tcW w:w="1600" w:type="dxa"/>
            <w:shd w:val="clear" w:color="auto" w:fill="BDD6EE"/>
            <w:vAlign w:val="center"/>
          </w:tcPr>
          <w:p w14:paraId="78D086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年度指标值</w:t>
            </w:r>
          </w:p>
        </w:tc>
        <w:tc>
          <w:tcPr>
            <w:tcW w:w="1375" w:type="dxa"/>
            <w:shd w:val="clear" w:color="auto" w:fill="BDD6EE"/>
            <w:vAlign w:val="center"/>
          </w:tcPr>
          <w:p w14:paraId="749D831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实际完成值</w:t>
            </w:r>
          </w:p>
        </w:tc>
        <w:tc>
          <w:tcPr>
            <w:tcW w:w="681" w:type="dxa"/>
            <w:shd w:val="clear" w:color="auto" w:fill="BDD6EE"/>
            <w:vAlign w:val="center"/>
          </w:tcPr>
          <w:p w14:paraId="40C2A26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分值</w:t>
            </w:r>
          </w:p>
        </w:tc>
        <w:tc>
          <w:tcPr>
            <w:tcW w:w="1188" w:type="dxa"/>
            <w:shd w:val="clear" w:color="auto" w:fill="BDD6EE"/>
            <w:vAlign w:val="center"/>
          </w:tcPr>
          <w:p w14:paraId="28A2C21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自评得分</w:t>
            </w:r>
          </w:p>
        </w:tc>
        <w:tc>
          <w:tcPr>
            <w:tcW w:w="1046" w:type="dxa"/>
            <w:shd w:val="clear" w:color="auto" w:fill="BDD6EE"/>
            <w:vAlign w:val="center"/>
          </w:tcPr>
          <w:p w14:paraId="2113E4C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得分率</w:t>
            </w:r>
          </w:p>
        </w:tc>
      </w:tr>
      <w:tr w14:paraId="31FCC5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14:paraId="53390951">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1687" w:type="dxa"/>
            <w:vAlign w:val="center"/>
          </w:tcPr>
          <w:p w14:paraId="70E29C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年度预算控制率</w:t>
            </w:r>
          </w:p>
        </w:tc>
        <w:tc>
          <w:tcPr>
            <w:tcW w:w="1600" w:type="dxa"/>
            <w:vAlign w:val="center"/>
          </w:tcPr>
          <w:p w14:paraId="053200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1375" w:type="dxa"/>
            <w:vAlign w:val="center"/>
          </w:tcPr>
          <w:p w14:paraId="640FB2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681" w:type="dxa"/>
            <w:vAlign w:val="center"/>
          </w:tcPr>
          <w:p w14:paraId="478306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14:paraId="40CD57E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46" w:type="dxa"/>
            <w:vAlign w:val="center"/>
          </w:tcPr>
          <w:p w14:paraId="37C577DB">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100.00%</w:t>
            </w:r>
          </w:p>
        </w:tc>
      </w:tr>
      <w:tr w14:paraId="45EA48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14:paraId="3001E140">
            <w:pPr>
              <w:keepNext w:val="0"/>
              <w:keepLines w:val="0"/>
              <w:widowControl/>
              <w:suppressLineNumbers w:val="0"/>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合计</w:t>
            </w:r>
          </w:p>
        </w:tc>
        <w:tc>
          <w:tcPr>
            <w:tcW w:w="1687" w:type="dxa"/>
            <w:shd w:val="clear" w:color="auto" w:fill="BDD6EE"/>
            <w:vAlign w:val="center"/>
          </w:tcPr>
          <w:p w14:paraId="6D5846A3">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600" w:type="dxa"/>
            <w:shd w:val="clear" w:color="auto" w:fill="BDD6EE"/>
            <w:vAlign w:val="center"/>
          </w:tcPr>
          <w:p w14:paraId="4FD9C2C7">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375" w:type="dxa"/>
            <w:shd w:val="clear" w:color="auto" w:fill="BDD6EE"/>
            <w:vAlign w:val="center"/>
          </w:tcPr>
          <w:p w14:paraId="23E405A1">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681" w:type="dxa"/>
            <w:shd w:val="clear" w:color="auto" w:fill="BDD6EE"/>
            <w:vAlign w:val="center"/>
          </w:tcPr>
          <w:p w14:paraId="2B0B305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188" w:type="dxa"/>
            <w:shd w:val="clear" w:color="auto" w:fill="BDD6EE"/>
            <w:vAlign w:val="center"/>
          </w:tcPr>
          <w:p w14:paraId="143AB5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046" w:type="dxa"/>
            <w:shd w:val="clear" w:color="auto" w:fill="BDD6EE"/>
            <w:vAlign w:val="center"/>
          </w:tcPr>
          <w:p w14:paraId="360F367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100.00%</w:t>
            </w:r>
          </w:p>
        </w:tc>
      </w:tr>
    </w:tbl>
    <w:p w14:paraId="0E9417E6">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hAnsi="宋体"/>
          <w:b/>
          <w:bCs/>
          <w:szCs w:val="28"/>
          <w:lang w:val="en-US" w:eastAsia="zh-CN"/>
        </w:rPr>
        <w:t>年度预算控制率：</w:t>
      </w:r>
      <w:r>
        <w:rPr>
          <w:rFonts w:hint="eastAsia" w:hAnsi="宋体"/>
          <w:b w:val="0"/>
          <w:bCs w:val="0"/>
          <w:szCs w:val="28"/>
          <w:lang w:val="en-US" w:eastAsia="zh-CN"/>
        </w:rPr>
        <w:t>我院法庭运维费全年预算数和实际支出为140万</w:t>
      </w:r>
      <w:r>
        <w:rPr>
          <w:rFonts w:hint="eastAsia" w:ascii="仿宋" w:hAnsi="仿宋" w:eastAsia="仿宋" w:cs="仿宋"/>
          <w:b w:val="0"/>
          <w:bCs w:val="0"/>
          <w:szCs w:val="28"/>
          <w:lang w:val="en-US" w:eastAsia="zh-CN"/>
        </w:rPr>
        <w:t>元，成本控制在全年预算数以内，符合年度指标值的要求。该指标分值20分，自评得分为20分，得分率为100.00%。</w:t>
      </w:r>
    </w:p>
    <w:p w14:paraId="7E9289B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（2）产出指标</w:t>
      </w:r>
    </w:p>
    <w:p w14:paraId="11CFA8CA">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产出指标主要包括数量、质量、时效3个二级指标。总分值40分，得分40分，得分率100.00%。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5236C8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68C3883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2110C69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5F7CD6B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2B68656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494E67F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2BDB341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04B44D4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1D01B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0E6EBA7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800" w:type="dxa"/>
            <w:vAlign w:val="center"/>
          </w:tcPr>
          <w:p w14:paraId="11ADA5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保障基层法庭个数</w:t>
            </w:r>
          </w:p>
        </w:tc>
        <w:tc>
          <w:tcPr>
            <w:tcW w:w="1428" w:type="dxa"/>
            <w:vAlign w:val="center"/>
          </w:tcPr>
          <w:p w14:paraId="36391A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484" w:type="dxa"/>
            <w:vAlign w:val="center"/>
          </w:tcPr>
          <w:p w14:paraId="1771C3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50" w:type="dxa"/>
            <w:vAlign w:val="center"/>
          </w:tcPr>
          <w:p w14:paraId="231C5E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188" w:type="dxa"/>
            <w:vAlign w:val="center"/>
          </w:tcPr>
          <w:p w14:paraId="1C649F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71" w:type="dxa"/>
            <w:vAlign w:val="center"/>
          </w:tcPr>
          <w:p w14:paraId="23DA13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D0C0A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607B1D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4C4DE6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维修维护工作完成率</w:t>
            </w:r>
          </w:p>
        </w:tc>
        <w:tc>
          <w:tcPr>
            <w:tcW w:w="1428" w:type="dxa"/>
            <w:vAlign w:val="center"/>
          </w:tcPr>
          <w:p w14:paraId="279B32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1484" w:type="dxa"/>
            <w:vAlign w:val="center"/>
          </w:tcPr>
          <w:p w14:paraId="4CE2C8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14:paraId="714F95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188" w:type="dxa"/>
            <w:vAlign w:val="center"/>
          </w:tcPr>
          <w:p w14:paraId="088D5D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71" w:type="dxa"/>
            <w:vAlign w:val="center"/>
          </w:tcPr>
          <w:p w14:paraId="056951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8768C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3F5470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800" w:type="dxa"/>
            <w:vAlign w:val="center"/>
          </w:tcPr>
          <w:p w14:paraId="52CBA8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法庭正常运转保障率</w:t>
            </w:r>
          </w:p>
        </w:tc>
        <w:tc>
          <w:tcPr>
            <w:tcW w:w="1428" w:type="dxa"/>
            <w:vAlign w:val="center"/>
          </w:tcPr>
          <w:p w14:paraId="70FAFA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6FF94D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7CA25CEE">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188" w:type="dxa"/>
            <w:vAlign w:val="center"/>
          </w:tcPr>
          <w:p w14:paraId="589108D1">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71" w:type="dxa"/>
            <w:vAlign w:val="center"/>
          </w:tcPr>
          <w:p w14:paraId="0AEA4D8A">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2BD990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67573799">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14:paraId="073141A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水电暖服务保障率</w:t>
            </w:r>
          </w:p>
        </w:tc>
        <w:tc>
          <w:tcPr>
            <w:tcW w:w="1428" w:type="dxa"/>
            <w:vAlign w:val="center"/>
          </w:tcPr>
          <w:p w14:paraId="7DADE2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62D062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62BFFB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188" w:type="dxa"/>
            <w:vAlign w:val="center"/>
          </w:tcPr>
          <w:p w14:paraId="0DA77B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71" w:type="dxa"/>
            <w:vAlign w:val="center"/>
          </w:tcPr>
          <w:p w14:paraId="060C1F5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F4A19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22DEAF9D">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p>
        </w:tc>
        <w:tc>
          <w:tcPr>
            <w:tcW w:w="1800" w:type="dxa"/>
            <w:vAlign w:val="center"/>
          </w:tcPr>
          <w:p w14:paraId="75F50D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维修维护合格率</w:t>
            </w:r>
          </w:p>
        </w:tc>
        <w:tc>
          <w:tcPr>
            <w:tcW w:w="1428" w:type="dxa"/>
            <w:vAlign w:val="center"/>
          </w:tcPr>
          <w:p w14:paraId="0F118E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60DEDE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114C0086">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188" w:type="dxa"/>
            <w:vAlign w:val="center"/>
          </w:tcPr>
          <w:p w14:paraId="3A3C524E">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71" w:type="dxa"/>
            <w:vAlign w:val="center"/>
          </w:tcPr>
          <w:p w14:paraId="66416933">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1538658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1C4793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时效指标</w:t>
            </w:r>
          </w:p>
        </w:tc>
        <w:tc>
          <w:tcPr>
            <w:tcW w:w="1800" w:type="dxa"/>
            <w:vAlign w:val="center"/>
          </w:tcPr>
          <w:p w14:paraId="20B4C8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法庭运维及时性</w:t>
            </w:r>
          </w:p>
        </w:tc>
        <w:tc>
          <w:tcPr>
            <w:tcW w:w="1428" w:type="dxa"/>
            <w:vAlign w:val="center"/>
          </w:tcPr>
          <w:p w14:paraId="3C4681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710808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14:paraId="07351F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188" w:type="dxa"/>
            <w:vAlign w:val="center"/>
          </w:tcPr>
          <w:p w14:paraId="56EB76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71" w:type="dxa"/>
            <w:vAlign w:val="center"/>
          </w:tcPr>
          <w:p w14:paraId="59CD77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3927D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A52FF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67438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日常维护工作完成及时性</w:t>
            </w:r>
          </w:p>
        </w:tc>
        <w:tc>
          <w:tcPr>
            <w:tcW w:w="1428" w:type="dxa"/>
            <w:vAlign w:val="center"/>
          </w:tcPr>
          <w:p w14:paraId="05475A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4EA915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14:paraId="5EB0EC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188" w:type="dxa"/>
            <w:vAlign w:val="center"/>
          </w:tcPr>
          <w:p w14:paraId="75D1C6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71" w:type="dxa"/>
            <w:vAlign w:val="center"/>
          </w:tcPr>
          <w:p w14:paraId="36A0A6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E8109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02DA2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6477C0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水电暖服务保障工作及时性</w:t>
            </w:r>
          </w:p>
        </w:tc>
        <w:tc>
          <w:tcPr>
            <w:tcW w:w="1428" w:type="dxa"/>
            <w:vAlign w:val="center"/>
          </w:tcPr>
          <w:p w14:paraId="48083A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1DA5B9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14:paraId="014B73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188" w:type="dxa"/>
            <w:vAlign w:val="center"/>
          </w:tcPr>
          <w:p w14:paraId="401D2A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71" w:type="dxa"/>
            <w:vAlign w:val="center"/>
          </w:tcPr>
          <w:p w14:paraId="115024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EDB21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318E0A5E">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3AEB69D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72316753">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1F895B7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20CE51A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14:paraId="05446C0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14:paraId="32D54F6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7E8CD54A">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数量指标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下设保障基层法庭个数</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维修维护工作完成率</w:t>
      </w:r>
      <w:r>
        <w:rPr>
          <w:rFonts w:hint="eastAsia" w:ascii="仿宋" w:hAnsi="仿宋" w:eastAsia="仿宋" w:cs="仿宋"/>
          <w:sz w:val="28"/>
          <w:shd w:val="clear" w:color="auto" w:fill="FFFFFF"/>
          <w:lang w:val="en-US" w:eastAsia="zh-CN"/>
        </w:rPr>
        <w:t>2</w:t>
      </w:r>
      <w:r>
        <w:rPr>
          <w:rFonts w:hint="eastAsia" w:ascii="仿宋" w:hAnsi="仿宋" w:eastAsia="仿宋" w:cs="仿宋"/>
          <w:sz w:val="28"/>
          <w:shd w:val="clear" w:color="auto" w:fill="FFFFFF"/>
        </w:rPr>
        <w:t>个三级指标</w:t>
      </w:r>
      <w:r>
        <w:rPr>
          <w:rFonts w:hint="eastAsia" w:ascii="仿宋" w:hAnsi="仿宋" w:eastAsia="仿宋" w:cs="仿宋"/>
          <w:sz w:val="28"/>
          <w:shd w:val="clear" w:color="auto" w:fill="FFFFFF"/>
          <w:lang w:eastAsia="zh-CN"/>
        </w:rPr>
        <w:t>，均达到年度目标值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10</w:t>
      </w:r>
      <w:r>
        <w:rPr>
          <w:rFonts w:hint="eastAsia" w:ascii="仿宋" w:hAnsi="仿宋" w:eastAsia="仿宋" w:cs="仿宋"/>
          <w:sz w:val="28"/>
          <w:shd w:val="clear" w:color="auto" w:fill="FFFFFF"/>
        </w:rPr>
        <w:t>分，自评得分为</w:t>
      </w:r>
      <w:r>
        <w:rPr>
          <w:rFonts w:hint="eastAsia" w:ascii="仿宋" w:hAnsi="仿宋" w:eastAsia="仿宋" w:cs="仿宋"/>
          <w:sz w:val="28"/>
          <w:shd w:val="clear" w:color="auto" w:fill="FFFFFF"/>
          <w:lang w:val="en-US" w:eastAsia="zh-CN"/>
        </w:rPr>
        <w:t>10</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14:paraId="7A583746">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质量指标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下设法庭正常运转保障率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水电暖服务保障率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维修维护合格率</w:t>
      </w:r>
      <w:r>
        <w:rPr>
          <w:rFonts w:hint="eastAsia" w:ascii="仿宋" w:hAnsi="仿宋" w:eastAsia="仿宋" w:cs="仿宋"/>
          <w:sz w:val="28"/>
          <w:shd w:val="clear" w:color="auto" w:fill="FFFFFF"/>
          <w:lang w:val="en-US" w:eastAsia="zh-CN"/>
        </w:rPr>
        <w:t>3</w:t>
      </w:r>
      <w:r>
        <w:rPr>
          <w:rFonts w:hint="eastAsia" w:ascii="仿宋" w:hAnsi="仿宋" w:eastAsia="仿宋" w:cs="仿宋"/>
          <w:sz w:val="28"/>
          <w:shd w:val="clear" w:color="auto" w:fill="FFFFFF"/>
        </w:rPr>
        <w:t>个三级指标</w:t>
      </w:r>
      <w:r>
        <w:rPr>
          <w:rFonts w:hint="eastAsia" w:ascii="仿宋" w:hAnsi="仿宋" w:eastAsia="仿宋" w:cs="仿宋"/>
          <w:sz w:val="28"/>
          <w:shd w:val="clear" w:color="auto" w:fill="FFFFFF"/>
          <w:lang w:eastAsia="zh-CN"/>
        </w:rPr>
        <w:t>，均达到年度目标值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15</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15</w:t>
      </w:r>
      <w:r>
        <w:rPr>
          <w:rFonts w:hint="eastAsia" w:ascii="仿宋" w:hAnsi="仿宋" w:eastAsia="仿宋" w:cs="仿宋"/>
          <w:sz w:val="28"/>
          <w:shd w:val="clear" w:color="auto" w:fill="FFFFFF"/>
        </w:rPr>
        <w:t>分，得分率为100%。</w:t>
      </w:r>
    </w:p>
    <w:p w14:paraId="042D1DCF">
      <w:pPr>
        <w:spacing w:line="360" w:lineRule="auto"/>
        <w:ind w:firstLine="562" w:firstLineChars="200"/>
        <w:rPr>
          <w:rFonts w:hint="eastAsia" w:ascii="仿宋" w:hAnsi="仿宋" w:eastAsia="仿宋" w:cs="仿宋"/>
          <w:b/>
          <w:bCs/>
          <w:sz w:val="28"/>
          <w:shd w:val="clear" w:color="auto" w:fill="FFFFFF"/>
        </w:rPr>
      </w:pPr>
      <w:r>
        <w:rPr>
          <w:rFonts w:hint="eastAsia" w:ascii="仿宋" w:hAnsi="仿宋" w:eastAsia="仿宋" w:cs="仿宋"/>
          <w:b/>
          <w:bCs/>
          <w:sz w:val="28"/>
          <w:shd w:val="clear" w:color="auto" w:fill="FFFFFF"/>
        </w:rPr>
        <w:t>时效指标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w:t>
      </w:r>
      <w:r>
        <w:rPr>
          <w:rFonts w:hint="eastAsia" w:ascii="仿宋" w:hAnsi="仿宋" w:eastAsia="仿宋" w:cs="仿宋"/>
          <w:sz w:val="28"/>
          <w:shd w:val="clear" w:color="auto" w:fill="FFFFFF"/>
          <w:lang w:val="en-US" w:eastAsia="zh-CN"/>
        </w:rPr>
        <w:t>法庭运维及时性</w:t>
      </w:r>
      <w:r>
        <w:rPr>
          <w:rFonts w:hint="eastAsia" w:ascii="仿宋" w:hAnsi="仿宋" w:eastAsia="仿宋" w:cs="仿宋"/>
          <w:sz w:val="28"/>
          <w:shd w:val="clear" w:color="auto" w:fill="FFFFFF"/>
        </w:rPr>
        <w:t>、</w:t>
      </w:r>
      <w:r>
        <w:rPr>
          <w:rFonts w:hint="eastAsia" w:ascii="仿宋" w:hAnsi="仿宋" w:eastAsia="仿宋" w:cs="仿宋"/>
          <w:sz w:val="28"/>
          <w:shd w:val="clear" w:color="auto" w:fill="FFFFFF"/>
          <w:lang w:val="en-US" w:eastAsia="zh-CN"/>
        </w:rPr>
        <w:t>日常维护工作完成及时性、水电暖服务保障工作及时性3</w:t>
      </w:r>
      <w:r>
        <w:rPr>
          <w:rFonts w:hint="eastAsia" w:ascii="仿宋" w:hAnsi="仿宋" w:eastAsia="仿宋" w:cs="仿宋"/>
          <w:sz w:val="28"/>
          <w:shd w:val="clear" w:color="auto" w:fill="FFFFFF"/>
        </w:rPr>
        <w:t>个三级指标</w:t>
      </w:r>
      <w:r>
        <w:rPr>
          <w:rFonts w:hint="eastAsia" w:ascii="仿宋" w:hAnsi="仿宋" w:eastAsia="仿宋" w:cs="仿宋"/>
          <w:sz w:val="28"/>
          <w:shd w:val="clear" w:color="auto" w:fill="FFFFFF"/>
          <w:lang w:eastAsia="zh-CN"/>
        </w:rPr>
        <w:t>，均达到年度目标值。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15</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15</w:t>
      </w:r>
      <w:r>
        <w:rPr>
          <w:rFonts w:hint="eastAsia" w:ascii="仿宋" w:hAnsi="仿宋" w:eastAsia="仿宋" w:cs="仿宋"/>
          <w:sz w:val="28"/>
          <w:shd w:val="clear" w:color="auto" w:fill="FFFFFF"/>
        </w:rPr>
        <w:t>分，得分率为100%。</w:t>
      </w:r>
    </w:p>
    <w:p w14:paraId="776DFBF3">
      <w:pPr>
        <w:ind w:left="31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sz w:val="28"/>
          <w:szCs w:val="28"/>
          <w:lang w:val="en-US" w:eastAsia="zh-CN"/>
        </w:rPr>
        <w:t>3</w:t>
      </w:r>
      <w:r>
        <w:rPr>
          <w:rFonts w:ascii="仿宋" w:hAnsi="仿宋" w:eastAsia="仿宋"/>
          <w:b/>
          <w:bCs/>
          <w:sz w:val="28"/>
          <w:szCs w:val="28"/>
        </w:rPr>
        <w:t>）效益指标</w:t>
      </w:r>
    </w:p>
    <w:p w14:paraId="15BDE580">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w:t>
      </w:r>
      <w:r>
        <w:rPr>
          <w:rFonts w:hint="eastAsia"/>
          <w:sz w:val="28"/>
          <w:shd w:val="clear" w:color="auto" w:fill="FFFFFF"/>
          <w:lang w:val="en-US" w:eastAsia="zh-CN"/>
        </w:rPr>
        <w:t>社会效益指标1</w:t>
      </w:r>
      <w:r>
        <w:rPr>
          <w:rFonts w:hint="eastAsia" w:ascii="仿宋_GB2312" w:hAnsi="仿宋_GB2312" w:eastAsia="仿宋_GB2312"/>
          <w:sz w:val="28"/>
          <w:shd w:val="clear" w:color="auto" w:fill="FFFFFF"/>
        </w:rPr>
        <w:t>个二级指标。总分值</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730252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67BAC03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5441972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2EF994D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77D5D99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6A6EFD8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2B5C8BD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6555A41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0009463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15DD3D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dxa"/>
            <w:vAlign w:val="center"/>
          </w:tcPr>
          <w:p w14:paraId="7D3273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14:paraId="55FD7B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14:paraId="250C30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7983C3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233" w:type="dxa"/>
            <w:vAlign w:val="center"/>
          </w:tcPr>
          <w:p w14:paraId="0CC555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93" w:type="dxa"/>
            <w:vAlign w:val="center"/>
          </w:tcPr>
          <w:p w14:paraId="10C234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E26F8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5F0BA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Align w:val="center"/>
          </w:tcPr>
          <w:p w14:paraId="2D3012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案件评审机制健全性</w:t>
            </w:r>
          </w:p>
        </w:tc>
        <w:tc>
          <w:tcPr>
            <w:tcW w:w="1467" w:type="dxa"/>
            <w:vAlign w:val="center"/>
          </w:tcPr>
          <w:p w14:paraId="786A0C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健全</w:t>
            </w:r>
          </w:p>
        </w:tc>
        <w:tc>
          <w:tcPr>
            <w:tcW w:w="1466" w:type="dxa"/>
            <w:vAlign w:val="center"/>
          </w:tcPr>
          <w:p w14:paraId="27AC52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24F2C6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233" w:type="dxa"/>
            <w:vAlign w:val="center"/>
          </w:tcPr>
          <w:p w14:paraId="6D942F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93" w:type="dxa"/>
            <w:vAlign w:val="center"/>
          </w:tcPr>
          <w:p w14:paraId="7E202B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5B7A1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50709FCD">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26DBFA4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6C08860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03FC0697">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00DBA53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11B84DA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7D614A5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0F73E710">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我院积极开展法院审判工作，有效保障审判服务，达到年度目标值。该指标分值</w:t>
      </w:r>
      <w:r>
        <w:rPr>
          <w:rFonts w:hint="eastAsia" w:hAnsi="宋体"/>
          <w:b w:val="0"/>
          <w:bCs w:val="0"/>
          <w:color w:val="000000" w:themeColor="text1"/>
          <w:szCs w:val="28"/>
          <w:lang w:val="en-US" w:eastAsia="zh-CN"/>
          <w14:textFill>
            <w14:solidFill>
              <w14:schemeClr w14:val="tx1"/>
            </w14:solidFill>
          </w14:textFill>
        </w:rPr>
        <w:t>10</w:t>
      </w:r>
      <w:r>
        <w:rPr>
          <w:rFonts w:hint="eastAsia" w:hAnsi="宋体"/>
          <w:b w:val="0"/>
          <w:bCs w:val="0"/>
          <w:szCs w:val="28"/>
          <w:lang w:val="en-US" w:eastAsia="zh-CN"/>
        </w:rPr>
        <w:t>分，自评得分为</w:t>
      </w:r>
      <w:r>
        <w:rPr>
          <w:rFonts w:hint="eastAsia" w:hAnsi="宋体"/>
          <w:b w:val="0"/>
          <w:bCs w:val="0"/>
          <w:color w:val="000000" w:themeColor="text1"/>
          <w:szCs w:val="28"/>
          <w:lang w:val="en-US" w:eastAsia="zh-CN"/>
          <w14:textFill>
            <w14:solidFill>
              <w14:schemeClr w14:val="tx1"/>
            </w14:solidFill>
          </w14:textFill>
        </w:rPr>
        <w:t>10</w:t>
      </w:r>
      <w:r>
        <w:rPr>
          <w:rFonts w:hint="eastAsia" w:hAnsi="宋体"/>
          <w:b w:val="0"/>
          <w:bCs w:val="0"/>
          <w:szCs w:val="28"/>
          <w:lang w:val="en-US" w:eastAsia="zh-CN"/>
        </w:rPr>
        <w:t>分，得分率为100.00%。</w:t>
      </w:r>
    </w:p>
    <w:p w14:paraId="7420D00F">
      <w:pPr>
        <w:keepNext w:val="0"/>
        <w:keepLines w:val="0"/>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hAnsi="宋体"/>
          <w:b/>
          <w:bCs/>
          <w:szCs w:val="28"/>
          <w:lang w:val="en-US" w:eastAsia="zh-CN"/>
        </w:rPr>
        <w:t>案件评审机制健全性：</w:t>
      </w:r>
      <w:r>
        <w:rPr>
          <w:rFonts w:hint="eastAsia" w:hAnsi="宋体"/>
          <w:b w:val="0"/>
          <w:bCs w:val="0"/>
          <w:szCs w:val="28"/>
          <w:lang w:val="en-US" w:eastAsia="zh-CN"/>
        </w:rPr>
        <w:t>我院案件评审机制健全性，有效保障审判服务，达到年度目标值。该指标分值</w:t>
      </w:r>
      <w:r>
        <w:rPr>
          <w:rFonts w:hint="eastAsia" w:hAnsi="宋体"/>
          <w:b w:val="0"/>
          <w:bCs w:val="0"/>
          <w:color w:val="000000" w:themeColor="text1"/>
          <w:szCs w:val="28"/>
          <w:lang w:val="en-US" w:eastAsia="zh-CN"/>
          <w14:textFill>
            <w14:solidFill>
              <w14:schemeClr w14:val="tx1"/>
            </w14:solidFill>
          </w14:textFill>
        </w:rPr>
        <w:t>10</w:t>
      </w:r>
      <w:r>
        <w:rPr>
          <w:rFonts w:hint="eastAsia" w:hAnsi="宋体"/>
          <w:b w:val="0"/>
          <w:bCs w:val="0"/>
          <w:szCs w:val="28"/>
          <w:lang w:val="en-US" w:eastAsia="zh-CN"/>
        </w:rPr>
        <w:t>分，自评得分为</w:t>
      </w:r>
      <w:r>
        <w:rPr>
          <w:rFonts w:hint="eastAsia" w:hAnsi="宋体"/>
          <w:b w:val="0"/>
          <w:bCs w:val="0"/>
          <w:color w:val="000000" w:themeColor="text1"/>
          <w:szCs w:val="28"/>
          <w:lang w:val="en-US" w:eastAsia="zh-CN"/>
          <w14:textFill>
            <w14:solidFill>
              <w14:schemeClr w14:val="tx1"/>
            </w14:solidFill>
          </w14:textFill>
        </w:rPr>
        <w:t>10</w:t>
      </w:r>
      <w:r>
        <w:rPr>
          <w:rFonts w:hint="eastAsia" w:hAnsi="宋体"/>
          <w:b w:val="0"/>
          <w:bCs w:val="0"/>
          <w:szCs w:val="28"/>
          <w:lang w:val="en-US" w:eastAsia="zh-CN"/>
        </w:rPr>
        <w:t>分，得分率为100.00%。</w:t>
      </w:r>
    </w:p>
    <w:p w14:paraId="436420EC">
      <w:pPr>
        <w:pStyle w:val="6"/>
        <w:bidi w:val="0"/>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（4）服务对象满意度指标</w:t>
      </w:r>
    </w:p>
    <w:p w14:paraId="1626390E">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服务对象满意度指标指标根据我院向社会提供公共产品和服务的主要对象，主要考察服务群众对审判工作满意度</w:t>
      </w:r>
      <w:r>
        <w:rPr>
          <w:rFonts w:hint="eastAsia" w:hAnsi="宋体" w:cstheme="minorBidi"/>
          <w:b w:val="0"/>
          <w:bCs w:val="0"/>
          <w:kern w:val="2"/>
          <w:sz w:val="28"/>
          <w:szCs w:val="28"/>
          <w:lang w:val="en-US" w:eastAsia="zh-CN" w:bidi="ar-SA"/>
        </w:rPr>
        <w:t>、基层法庭工作人员满意度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6867FB8F">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00D656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A3164E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054C0BF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4AE8031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42B69A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5E96ACB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5F9C3E6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77DE116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5702CC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340862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14:paraId="39D563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服务群众对审批工作满意度</w:t>
            </w:r>
          </w:p>
        </w:tc>
        <w:tc>
          <w:tcPr>
            <w:tcW w:w="1467" w:type="dxa"/>
            <w:vAlign w:val="center"/>
          </w:tcPr>
          <w:p w14:paraId="62A2D6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&gt;=85%</w:t>
            </w:r>
          </w:p>
        </w:tc>
        <w:tc>
          <w:tcPr>
            <w:tcW w:w="1466" w:type="dxa"/>
            <w:vAlign w:val="center"/>
          </w:tcPr>
          <w:p w14:paraId="7A582E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14:paraId="359E5FE6">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582E6876">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5AF9F81B">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49090CE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248" w:type="dxa"/>
            <w:vMerge w:val="continue"/>
            <w:vAlign w:val="center"/>
          </w:tcPr>
          <w:p w14:paraId="43D652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Align w:val="center"/>
          </w:tcPr>
          <w:p w14:paraId="3ABDD6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基层法庭工作人员满意度</w:t>
            </w:r>
          </w:p>
        </w:tc>
        <w:tc>
          <w:tcPr>
            <w:tcW w:w="1467" w:type="dxa"/>
            <w:vAlign w:val="center"/>
          </w:tcPr>
          <w:p w14:paraId="03CE93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&gt;=85%</w:t>
            </w:r>
          </w:p>
        </w:tc>
        <w:tc>
          <w:tcPr>
            <w:tcW w:w="1466" w:type="dxa"/>
            <w:vAlign w:val="center"/>
          </w:tcPr>
          <w:p w14:paraId="248DCA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7" w:type="dxa"/>
            <w:vAlign w:val="center"/>
          </w:tcPr>
          <w:p w14:paraId="3BA229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0A4A16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0D5EC6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8E398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248" w:type="dxa"/>
            <w:shd w:val="clear" w:color="auto" w:fill="BDD6EE"/>
            <w:vAlign w:val="center"/>
          </w:tcPr>
          <w:p w14:paraId="400E1AFB">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0B50D1C7">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529B738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2D6D8B7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57AA662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14:paraId="19326E6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43909C9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4E287663">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ascii="仿宋_GB2312" w:hAnsi="仿宋_GB2312" w:eastAsia="仿宋_GB2312" w:cs="仿宋_GB2312"/>
          <w:b/>
          <w:bCs/>
          <w:sz w:val="28"/>
          <w:szCs w:val="28"/>
          <w:lang w:val="en-US" w:eastAsia="zh-CN"/>
        </w:rPr>
        <w:t>服务群众对审判工作满意度</w:t>
      </w:r>
      <w:r>
        <w:rPr>
          <w:rFonts w:hint="eastAsia" w:ascii="仿宋_GB2312" w:hAnsi="仿宋_GB2312" w:eastAsia="仿宋_GB2312" w:cs="仿宋_GB2312"/>
          <w:b/>
          <w:bCs/>
          <w:sz w:val="28"/>
          <w:szCs w:val="28"/>
        </w:rPr>
        <w:t>：</w:t>
      </w:r>
      <w:r>
        <w:rPr>
          <w:rFonts w:hint="eastAsia"/>
        </w:rPr>
        <w:t>我院依法审理各类案件，妥善化解矛盾纠纷和行政争议，维护了法院审判工作的有序开展，积极保障人民群众生命财产安</w:t>
      </w:r>
      <w:r>
        <w:rPr>
          <w:rFonts w:hint="eastAsia"/>
          <w:lang w:val="en-US" w:eastAsia="zh-CN"/>
        </w:rPr>
        <w:t>全，服务群众对审批工作满意度达到92%，达到目标值。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14:paraId="4C0AACE4">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lang w:val="en-US"/>
        </w:rPr>
      </w:pPr>
      <w:r>
        <w:rPr>
          <w:rFonts w:hint="eastAsia" w:cs="仿宋_GB2312"/>
          <w:b/>
          <w:bCs/>
          <w:sz w:val="28"/>
          <w:szCs w:val="28"/>
          <w:lang w:val="en-US" w:eastAsia="zh-CN"/>
        </w:rPr>
        <w:t>基层</w:t>
      </w:r>
      <w:r>
        <w:rPr>
          <w:rFonts w:hint="eastAsia" w:ascii="仿宋_GB2312" w:hAnsi="仿宋_GB2312" w:eastAsia="仿宋_GB2312" w:cs="仿宋_GB2312"/>
          <w:b/>
          <w:bCs/>
          <w:sz w:val="28"/>
          <w:szCs w:val="28"/>
          <w:lang w:val="en-US" w:eastAsia="zh-CN"/>
        </w:rPr>
        <w:t>法庭工作人员满意度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基层法庭工作人员</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年度目标值为大于等于</w:t>
      </w:r>
      <w:r>
        <w:rPr>
          <w:rFonts w:hint="eastAsia" w:cs="仿宋_GB2312"/>
          <w:sz w:val="28"/>
          <w:szCs w:val="28"/>
          <w:lang w:val="en-US" w:eastAsia="zh-CN"/>
        </w:rPr>
        <w:t>85%，</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14:paraId="34F6C488">
      <w:pPr>
        <w:pStyle w:val="5"/>
        <w:bidi w:val="0"/>
      </w:pPr>
      <w:r>
        <w:t>4、偏离绩效目标的原因及下一步改进措施</w:t>
      </w:r>
    </w:p>
    <w:p w14:paraId="5604EC4C">
      <w:pPr>
        <w:bidi w:val="0"/>
        <w:rPr>
          <w:rFonts w:hint="eastAsia"/>
          <w:lang w:val="en-US" w:eastAsia="zh-CN"/>
        </w:rPr>
      </w:pPr>
      <w:bookmarkStart w:id="65" w:name="_Toc2209"/>
      <w:r>
        <w:rPr>
          <w:rFonts w:hint="eastAsia"/>
          <w:lang w:val="en-US" w:eastAsia="zh-CN"/>
        </w:rPr>
        <w:t>无</w:t>
      </w:r>
    </w:p>
    <w:p w14:paraId="2EBFF082">
      <w:pPr>
        <w:pStyle w:val="3"/>
        <w:keepNext/>
        <w:keepLines/>
        <w:pageBreakBefore w:val="0"/>
        <w:widowControl w:val="0"/>
        <w:numPr>
          <w:ilvl w:val="0"/>
          <w:numId w:val="3"/>
        </w:numPr>
        <w:kinsoku/>
        <w:wordWrap/>
        <w:overflowPunct/>
        <w:topLinePunct w:val="0"/>
        <w:autoSpaceDE/>
        <w:autoSpaceDN/>
        <w:bidi w:val="0"/>
        <w:adjustRightInd/>
        <w:snapToGrid/>
        <w:spacing w:before="0" w:after="0"/>
        <w:ind w:left="638" w:leftChars="228" w:firstLine="0" w:firstLineChars="0"/>
        <w:textAlignment w:val="auto"/>
        <w:rPr>
          <w:rFonts w:hint="eastAsia"/>
          <w:lang w:val="en-US" w:eastAsia="zh-CN"/>
        </w:rPr>
      </w:pPr>
      <w:r>
        <w:rPr>
          <w:rFonts w:hint="eastAsia"/>
          <w:lang w:val="en-US" w:eastAsia="zh-CN"/>
        </w:rPr>
        <w:t>部门管理的省对市县转移支付绩效自评情况</w:t>
      </w:r>
      <w:bookmarkEnd w:id="57"/>
      <w:bookmarkEnd w:id="58"/>
      <w:bookmarkEnd w:id="59"/>
      <w:bookmarkEnd w:id="60"/>
      <w:bookmarkEnd w:id="61"/>
      <w:bookmarkEnd w:id="65"/>
    </w:p>
    <w:p w14:paraId="2F198C33">
      <w:pPr>
        <w:pStyle w:val="3"/>
        <w:keepNext/>
        <w:keepLines/>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仿宋_GB2312" w:hAnsi="仿宋_GB2312" w:eastAsia="仿宋_GB2312" w:cstheme="minorBidi"/>
          <w:b w:val="0"/>
          <w:bCs w:val="0"/>
          <w:kern w:val="2"/>
          <w:sz w:val="28"/>
          <w:szCs w:val="22"/>
          <w:lang w:val="en-US" w:eastAsia="zh-CN" w:bidi="ar-SA"/>
        </w:rPr>
      </w:pPr>
      <w:r>
        <w:rPr>
          <w:rFonts w:hint="eastAsia"/>
          <w:lang w:val="en-US" w:eastAsia="zh-CN"/>
        </w:rPr>
        <w:tab/>
      </w:r>
      <w:r>
        <w:rPr>
          <w:rFonts w:hint="eastAsia"/>
          <w:lang w:val="en-US" w:eastAsia="zh-CN"/>
        </w:rPr>
        <w:t xml:space="preserve"> </w:t>
      </w:r>
      <w:r>
        <w:rPr>
          <w:rFonts w:hint="eastAsia" w:ascii="仿宋_GB2312" w:hAnsi="仿宋_GB2312" w:eastAsia="仿宋_GB2312" w:cstheme="minorBidi"/>
          <w:b w:val="0"/>
          <w:bCs w:val="0"/>
          <w:kern w:val="2"/>
          <w:sz w:val="28"/>
          <w:szCs w:val="22"/>
          <w:lang w:val="en-US" w:eastAsia="zh-CN" w:bidi="ar-SA"/>
        </w:rPr>
        <w:t>中央政法转移支付项目涉密，不予公开</w:t>
      </w:r>
    </w:p>
    <w:p w14:paraId="7D8DE55B">
      <w:pPr>
        <w:bidi w:val="0"/>
        <w:rPr>
          <w:rFonts w:hint="eastAsia" w:ascii="黑体" w:hAnsi="黑体" w:eastAsia="黑体" w:cs="黑体"/>
          <w:b/>
          <w:bCs/>
          <w:lang w:val="en-US" w:eastAsia="zh-CN"/>
        </w:rPr>
      </w:pPr>
      <w:bookmarkStart w:id="66" w:name="_Toc18174"/>
      <w:bookmarkStart w:id="67" w:name="_Toc6252"/>
      <w:bookmarkStart w:id="68" w:name="_Toc26665"/>
      <w:bookmarkStart w:id="69" w:name="_Toc32543"/>
      <w:r>
        <w:rPr>
          <w:rFonts w:hint="eastAsia" w:ascii="黑体" w:hAnsi="黑体" w:eastAsia="黑体" w:cs="黑体"/>
          <w:b/>
          <w:bCs/>
          <w:lang w:val="en-US" w:eastAsia="zh-CN"/>
        </w:rPr>
        <w:t>六、绩效自评结果拟应用和公开情况</w:t>
      </w:r>
      <w:bookmarkEnd w:id="62"/>
      <w:bookmarkEnd w:id="63"/>
      <w:bookmarkEnd w:id="66"/>
      <w:bookmarkEnd w:id="67"/>
      <w:bookmarkEnd w:id="68"/>
      <w:bookmarkEnd w:id="69"/>
    </w:p>
    <w:p w14:paraId="707FE4F2">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14:paraId="62391970">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70" w:name="_Toc17181"/>
      <w:bookmarkStart w:id="71" w:name="_Toc21490"/>
      <w:bookmarkStart w:id="72" w:name="_Toc25628"/>
      <w:bookmarkStart w:id="73" w:name="_Toc6781"/>
      <w:bookmarkStart w:id="74" w:name="_Toc40046066"/>
      <w:bookmarkStart w:id="75" w:name="_Toc4491"/>
      <w:r>
        <w:rPr>
          <w:rFonts w:hint="eastAsia"/>
          <w:lang w:val="en-US" w:eastAsia="zh-CN"/>
        </w:rPr>
        <w:t>七、其他需要说明的问题</w:t>
      </w:r>
      <w:bookmarkEnd w:id="70"/>
      <w:bookmarkEnd w:id="71"/>
      <w:bookmarkEnd w:id="72"/>
      <w:bookmarkEnd w:id="73"/>
      <w:bookmarkEnd w:id="74"/>
      <w:bookmarkEnd w:id="75"/>
    </w:p>
    <w:p w14:paraId="7ECFD4A6">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footerReference r:id="rId11"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B8C3">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95504">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6F84">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E46AB">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14:paraId="6EF2909A">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34D62F9D">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88059213"/>
                    </w:sdtPr>
                    <w:sdtContent>
                      <w:p w14:paraId="6EF2909A">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34D62F9D">
                    <w:pPr>
                      <w:pStyle w:val="2"/>
                    </w:pPr>
                  </w:p>
                </w:txbxContent>
              </v:textbox>
            </v:shape>
          </w:pict>
        </mc:Fallback>
      </mc:AlternateContent>
    </w:r>
  </w:p>
  <w:p w14:paraId="4552F586">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044E">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945F">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3E90F">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D3CA2"/>
    <w:multiLevelType w:val="singleLevel"/>
    <w:tmpl w:val="BF1D3CA2"/>
    <w:lvl w:ilvl="0" w:tentative="0">
      <w:start w:val="2"/>
      <w:numFmt w:val="decimal"/>
      <w:suff w:val="nothing"/>
      <w:lvlText w:val="（%1）"/>
      <w:lvlJc w:val="left"/>
    </w:lvl>
  </w:abstractNum>
  <w:abstractNum w:abstractNumId="1">
    <w:nsid w:val="E3209D48"/>
    <w:multiLevelType w:val="singleLevel"/>
    <w:tmpl w:val="E3209D48"/>
    <w:lvl w:ilvl="0" w:tentative="0">
      <w:start w:val="3"/>
      <w:numFmt w:val="decimal"/>
      <w:suff w:val="nothing"/>
      <w:lvlText w:val="%1、"/>
      <w:lvlJc w:val="left"/>
    </w:lvl>
  </w:abstractNum>
  <w:abstractNum w:abstractNumId="2">
    <w:nsid w:val="5FCC1B05"/>
    <w:multiLevelType w:val="singleLevel"/>
    <w:tmpl w:val="5FCC1B05"/>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OTVlMjM1NzZmMDUyYTY1Yzc4ZDBhMjY0YTBiZTI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A06E9D"/>
    <w:rsid w:val="021F6013"/>
    <w:rsid w:val="023A109F"/>
    <w:rsid w:val="02441F1E"/>
    <w:rsid w:val="0294218E"/>
    <w:rsid w:val="02CA7215"/>
    <w:rsid w:val="02D93C69"/>
    <w:rsid w:val="0305754E"/>
    <w:rsid w:val="032D4760"/>
    <w:rsid w:val="032D7033"/>
    <w:rsid w:val="0333242E"/>
    <w:rsid w:val="035166A0"/>
    <w:rsid w:val="03586C8C"/>
    <w:rsid w:val="03B80F4C"/>
    <w:rsid w:val="03B93EF4"/>
    <w:rsid w:val="03DE64EE"/>
    <w:rsid w:val="04417E07"/>
    <w:rsid w:val="04435015"/>
    <w:rsid w:val="045D1075"/>
    <w:rsid w:val="046D109D"/>
    <w:rsid w:val="04AE1CD1"/>
    <w:rsid w:val="04AE6573"/>
    <w:rsid w:val="04C826FC"/>
    <w:rsid w:val="04D710AE"/>
    <w:rsid w:val="05431AC5"/>
    <w:rsid w:val="055B4129"/>
    <w:rsid w:val="058F525E"/>
    <w:rsid w:val="05D64F65"/>
    <w:rsid w:val="05E41A4E"/>
    <w:rsid w:val="06347F2F"/>
    <w:rsid w:val="064F716B"/>
    <w:rsid w:val="068B5D38"/>
    <w:rsid w:val="06B8742D"/>
    <w:rsid w:val="06D575E9"/>
    <w:rsid w:val="06E8731C"/>
    <w:rsid w:val="06F265AD"/>
    <w:rsid w:val="06F90833"/>
    <w:rsid w:val="071E5658"/>
    <w:rsid w:val="07930250"/>
    <w:rsid w:val="07AF39D1"/>
    <w:rsid w:val="07DE28D4"/>
    <w:rsid w:val="080E4270"/>
    <w:rsid w:val="084A7B62"/>
    <w:rsid w:val="087F1930"/>
    <w:rsid w:val="088272FC"/>
    <w:rsid w:val="08A7247E"/>
    <w:rsid w:val="08A728CF"/>
    <w:rsid w:val="08A84A40"/>
    <w:rsid w:val="08F834BD"/>
    <w:rsid w:val="09077DF6"/>
    <w:rsid w:val="091241C8"/>
    <w:rsid w:val="09376339"/>
    <w:rsid w:val="09952194"/>
    <w:rsid w:val="09B13A45"/>
    <w:rsid w:val="09B72FD5"/>
    <w:rsid w:val="09BE6112"/>
    <w:rsid w:val="0A6C3DC0"/>
    <w:rsid w:val="0AAC7535"/>
    <w:rsid w:val="0AE41BA8"/>
    <w:rsid w:val="0AFC15E8"/>
    <w:rsid w:val="0AFD6D5D"/>
    <w:rsid w:val="0B0D109F"/>
    <w:rsid w:val="0B3D575C"/>
    <w:rsid w:val="0B4E404E"/>
    <w:rsid w:val="0B8D6294"/>
    <w:rsid w:val="0B904D38"/>
    <w:rsid w:val="0B987180"/>
    <w:rsid w:val="0BA35E5E"/>
    <w:rsid w:val="0BA70E60"/>
    <w:rsid w:val="0BE1433A"/>
    <w:rsid w:val="0C040E46"/>
    <w:rsid w:val="0C126BE9"/>
    <w:rsid w:val="0C6032F9"/>
    <w:rsid w:val="0C6C6699"/>
    <w:rsid w:val="0C801DA5"/>
    <w:rsid w:val="0C8F023A"/>
    <w:rsid w:val="0DD248FB"/>
    <w:rsid w:val="0DD423A8"/>
    <w:rsid w:val="0DE74A3D"/>
    <w:rsid w:val="0DF0188C"/>
    <w:rsid w:val="0DF46805"/>
    <w:rsid w:val="0E071816"/>
    <w:rsid w:val="0E130328"/>
    <w:rsid w:val="0E14510B"/>
    <w:rsid w:val="0E5E4367"/>
    <w:rsid w:val="0E791344"/>
    <w:rsid w:val="0E975183"/>
    <w:rsid w:val="0E9E4764"/>
    <w:rsid w:val="0EB9159E"/>
    <w:rsid w:val="0ECB20BE"/>
    <w:rsid w:val="0ECC7523"/>
    <w:rsid w:val="0F087E2F"/>
    <w:rsid w:val="0F0E7B3C"/>
    <w:rsid w:val="0F5301E5"/>
    <w:rsid w:val="0F821592"/>
    <w:rsid w:val="0F96368D"/>
    <w:rsid w:val="0FAD1102"/>
    <w:rsid w:val="0FBE7ED7"/>
    <w:rsid w:val="0FC91CB4"/>
    <w:rsid w:val="0FE30140"/>
    <w:rsid w:val="103F3D25"/>
    <w:rsid w:val="106D6186"/>
    <w:rsid w:val="10795489"/>
    <w:rsid w:val="108C51BC"/>
    <w:rsid w:val="10953945"/>
    <w:rsid w:val="109A22B0"/>
    <w:rsid w:val="10ED0DA6"/>
    <w:rsid w:val="112278CE"/>
    <w:rsid w:val="115B7B4E"/>
    <w:rsid w:val="119368FA"/>
    <w:rsid w:val="11A11963"/>
    <w:rsid w:val="11C03DEA"/>
    <w:rsid w:val="11C20FE9"/>
    <w:rsid w:val="11CF41B2"/>
    <w:rsid w:val="11E85901"/>
    <w:rsid w:val="126D4DDF"/>
    <w:rsid w:val="129465AA"/>
    <w:rsid w:val="12F942BB"/>
    <w:rsid w:val="13970B4D"/>
    <w:rsid w:val="13BC613F"/>
    <w:rsid w:val="13C4619A"/>
    <w:rsid w:val="13DA4490"/>
    <w:rsid w:val="14055456"/>
    <w:rsid w:val="14074F34"/>
    <w:rsid w:val="1410241B"/>
    <w:rsid w:val="146A4AEC"/>
    <w:rsid w:val="14A1264A"/>
    <w:rsid w:val="14A14FAE"/>
    <w:rsid w:val="14A237DC"/>
    <w:rsid w:val="14C17805"/>
    <w:rsid w:val="14FB2910"/>
    <w:rsid w:val="15455939"/>
    <w:rsid w:val="154D47EE"/>
    <w:rsid w:val="1578500A"/>
    <w:rsid w:val="15937A9B"/>
    <w:rsid w:val="15B716F5"/>
    <w:rsid w:val="160A3D95"/>
    <w:rsid w:val="16133C89"/>
    <w:rsid w:val="169A0A5A"/>
    <w:rsid w:val="16EA10E2"/>
    <w:rsid w:val="16F13FCB"/>
    <w:rsid w:val="171A2DA3"/>
    <w:rsid w:val="17364B64"/>
    <w:rsid w:val="17400B06"/>
    <w:rsid w:val="17766424"/>
    <w:rsid w:val="17914727"/>
    <w:rsid w:val="17A22D12"/>
    <w:rsid w:val="17A41D79"/>
    <w:rsid w:val="17D45E88"/>
    <w:rsid w:val="18657FD3"/>
    <w:rsid w:val="187529D9"/>
    <w:rsid w:val="187F540D"/>
    <w:rsid w:val="18CA4D24"/>
    <w:rsid w:val="19167A27"/>
    <w:rsid w:val="19444033"/>
    <w:rsid w:val="194F153B"/>
    <w:rsid w:val="1961463D"/>
    <w:rsid w:val="1980048D"/>
    <w:rsid w:val="19855E4D"/>
    <w:rsid w:val="198804EA"/>
    <w:rsid w:val="199708B4"/>
    <w:rsid w:val="19A35684"/>
    <w:rsid w:val="19A8223C"/>
    <w:rsid w:val="19C01A32"/>
    <w:rsid w:val="19C85E69"/>
    <w:rsid w:val="1A1A43C2"/>
    <w:rsid w:val="1A645D78"/>
    <w:rsid w:val="1A913C2A"/>
    <w:rsid w:val="1AB901AA"/>
    <w:rsid w:val="1ABA3711"/>
    <w:rsid w:val="1ACC2EC5"/>
    <w:rsid w:val="1B3604F2"/>
    <w:rsid w:val="1B367A94"/>
    <w:rsid w:val="1B391536"/>
    <w:rsid w:val="1B7D7F7E"/>
    <w:rsid w:val="1BE0460E"/>
    <w:rsid w:val="1C2E2553"/>
    <w:rsid w:val="1C770035"/>
    <w:rsid w:val="1C934265"/>
    <w:rsid w:val="1CA9356C"/>
    <w:rsid w:val="1CB60D97"/>
    <w:rsid w:val="1CC41839"/>
    <w:rsid w:val="1CCC06EE"/>
    <w:rsid w:val="1CD540C4"/>
    <w:rsid w:val="1CE82FAE"/>
    <w:rsid w:val="1D172F01"/>
    <w:rsid w:val="1D4B2FAC"/>
    <w:rsid w:val="1D4B7A4A"/>
    <w:rsid w:val="1D6B5FA6"/>
    <w:rsid w:val="1DE5415D"/>
    <w:rsid w:val="1E0730ED"/>
    <w:rsid w:val="1E2C7696"/>
    <w:rsid w:val="1E4A23BC"/>
    <w:rsid w:val="1E5D0198"/>
    <w:rsid w:val="1E682553"/>
    <w:rsid w:val="1EC73863"/>
    <w:rsid w:val="1EFC175F"/>
    <w:rsid w:val="1FC16504"/>
    <w:rsid w:val="1FDB5818"/>
    <w:rsid w:val="201C2D22"/>
    <w:rsid w:val="204131A1"/>
    <w:rsid w:val="20462111"/>
    <w:rsid w:val="205A1343"/>
    <w:rsid w:val="206A11BC"/>
    <w:rsid w:val="20B724D5"/>
    <w:rsid w:val="21132B7C"/>
    <w:rsid w:val="215313DE"/>
    <w:rsid w:val="216E0AF3"/>
    <w:rsid w:val="21A10725"/>
    <w:rsid w:val="21D94E53"/>
    <w:rsid w:val="21E94BEF"/>
    <w:rsid w:val="22C541CF"/>
    <w:rsid w:val="22D82450"/>
    <w:rsid w:val="22F26762"/>
    <w:rsid w:val="22F3461B"/>
    <w:rsid w:val="23A31DC3"/>
    <w:rsid w:val="23AF71DA"/>
    <w:rsid w:val="23C10B07"/>
    <w:rsid w:val="23C75000"/>
    <w:rsid w:val="24223CEC"/>
    <w:rsid w:val="247C56A2"/>
    <w:rsid w:val="248C0A40"/>
    <w:rsid w:val="24A819DF"/>
    <w:rsid w:val="24E54A43"/>
    <w:rsid w:val="25AB104A"/>
    <w:rsid w:val="25D37B28"/>
    <w:rsid w:val="25E12217"/>
    <w:rsid w:val="26323CB8"/>
    <w:rsid w:val="26555BF8"/>
    <w:rsid w:val="26893043"/>
    <w:rsid w:val="269A7D3C"/>
    <w:rsid w:val="26D0702D"/>
    <w:rsid w:val="270E5FB0"/>
    <w:rsid w:val="271B299E"/>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C0782D"/>
    <w:rsid w:val="29D52BB5"/>
    <w:rsid w:val="29E81930"/>
    <w:rsid w:val="29F55728"/>
    <w:rsid w:val="29FA3933"/>
    <w:rsid w:val="2A273408"/>
    <w:rsid w:val="2A723A7C"/>
    <w:rsid w:val="2A731D21"/>
    <w:rsid w:val="2A7F3244"/>
    <w:rsid w:val="2AB949A8"/>
    <w:rsid w:val="2ACD0453"/>
    <w:rsid w:val="2ACE3A90"/>
    <w:rsid w:val="2B0A5203"/>
    <w:rsid w:val="2B1238AE"/>
    <w:rsid w:val="2B252A91"/>
    <w:rsid w:val="2B4017F0"/>
    <w:rsid w:val="2B6348E0"/>
    <w:rsid w:val="2B786611"/>
    <w:rsid w:val="2B970537"/>
    <w:rsid w:val="2BDD6474"/>
    <w:rsid w:val="2BE76212"/>
    <w:rsid w:val="2BF612E4"/>
    <w:rsid w:val="2C09185D"/>
    <w:rsid w:val="2C0F7531"/>
    <w:rsid w:val="2C7A0167"/>
    <w:rsid w:val="2C8F33BD"/>
    <w:rsid w:val="2C8F54B1"/>
    <w:rsid w:val="2D03015C"/>
    <w:rsid w:val="2D5662C8"/>
    <w:rsid w:val="2DF56335"/>
    <w:rsid w:val="2DF9286A"/>
    <w:rsid w:val="2ED6443A"/>
    <w:rsid w:val="2EE138F7"/>
    <w:rsid w:val="2F0A6EE5"/>
    <w:rsid w:val="2F0C4BE3"/>
    <w:rsid w:val="2F2B5748"/>
    <w:rsid w:val="2F377CAB"/>
    <w:rsid w:val="2F4D1ED1"/>
    <w:rsid w:val="2FCB61DD"/>
    <w:rsid w:val="2FE34275"/>
    <w:rsid w:val="30952D41"/>
    <w:rsid w:val="30DD0CC4"/>
    <w:rsid w:val="30E271B6"/>
    <w:rsid w:val="31110F92"/>
    <w:rsid w:val="31397F4B"/>
    <w:rsid w:val="31541DBA"/>
    <w:rsid w:val="315471D8"/>
    <w:rsid w:val="317070E4"/>
    <w:rsid w:val="31775428"/>
    <w:rsid w:val="318F7220"/>
    <w:rsid w:val="31B63FAB"/>
    <w:rsid w:val="31D25FD2"/>
    <w:rsid w:val="31D65E3F"/>
    <w:rsid w:val="31EB672C"/>
    <w:rsid w:val="31F02617"/>
    <w:rsid w:val="329A6E6D"/>
    <w:rsid w:val="32DC4272"/>
    <w:rsid w:val="32F72511"/>
    <w:rsid w:val="33150BE9"/>
    <w:rsid w:val="3364565D"/>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56D6ABA"/>
    <w:rsid w:val="357C6CFE"/>
    <w:rsid w:val="36070CBD"/>
    <w:rsid w:val="363277FD"/>
    <w:rsid w:val="36483084"/>
    <w:rsid w:val="365E57FF"/>
    <w:rsid w:val="366A70C8"/>
    <w:rsid w:val="36AF7935"/>
    <w:rsid w:val="36B928EF"/>
    <w:rsid w:val="36D901FE"/>
    <w:rsid w:val="37164F30"/>
    <w:rsid w:val="37215DAE"/>
    <w:rsid w:val="372B7BCD"/>
    <w:rsid w:val="376728C4"/>
    <w:rsid w:val="376E08C8"/>
    <w:rsid w:val="379067CC"/>
    <w:rsid w:val="37D20327"/>
    <w:rsid w:val="37F60FE9"/>
    <w:rsid w:val="38021539"/>
    <w:rsid w:val="380A28CA"/>
    <w:rsid w:val="383A2C56"/>
    <w:rsid w:val="38514471"/>
    <w:rsid w:val="388C6E04"/>
    <w:rsid w:val="389A5030"/>
    <w:rsid w:val="38A327F3"/>
    <w:rsid w:val="38BA2FC6"/>
    <w:rsid w:val="38E250CA"/>
    <w:rsid w:val="395835DE"/>
    <w:rsid w:val="396E65D9"/>
    <w:rsid w:val="39AA5B2A"/>
    <w:rsid w:val="39B95231"/>
    <w:rsid w:val="39E7313A"/>
    <w:rsid w:val="39EC1C54"/>
    <w:rsid w:val="3A1F19CA"/>
    <w:rsid w:val="3A2F206E"/>
    <w:rsid w:val="3A8B731D"/>
    <w:rsid w:val="3A946897"/>
    <w:rsid w:val="3A975742"/>
    <w:rsid w:val="3A9B7C32"/>
    <w:rsid w:val="3AAE4F93"/>
    <w:rsid w:val="3ACB48BB"/>
    <w:rsid w:val="3AD25272"/>
    <w:rsid w:val="3AFC6ED7"/>
    <w:rsid w:val="3B0112DE"/>
    <w:rsid w:val="3B282FD3"/>
    <w:rsid w:val="3B375346"/>
    <w:rsid w:val="3B5129DA"/>
    <w:rsid w:val="3B5B20B0"/>
    <w:rsid w:val="3BA33E48"/>
    <w:rsid w:val="3BBB7E54"/>
    <w:rsid w:val="3BBD0A54"/>
    <w:rsid w:val="3BBE58F0"/>
    <w:rsid w:val="3BDA41CF"/>
    <w:rsid w:val="3BE4409F"/>
    <w:rsid w:val="3C1557B6"/>
    <w:rsid w:val="3C663A24"/>
    <w:rsid w:val="3C75422F"/>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620D12"/>
    <w:rsid w:val="3F9B2476"/>
    <w:rsid w:val="3FC12A9B"/>
    <w:rsid w:val="40287B7C"/>
    <w:rsid w:val="402B55A8"/>
    <w:rsid w:val="403A4B1E"/>
    <w:rsid w:val="40516350"/>
    <w:rsid w:val="4081490E"/>
    <w:rsid w:val="408F79A5"/>
    <w:rsid w:val="409420C8"/>
    <w:rsid w:val="40B17223"/>
    <w:rsid w:val="40C96B6F"/>
    <w:rsid w:val="4113146D"/>
    <w:rsid w:val="41B62723"/>
    <w:rsid w:val="41C474D0"/>
    <w:rsid w:val="41C8474B"/>
    <w:rsid w:val="41CD47B2"/>
    <w:rsid w:val="41D45E19"/>
    <w:rsid w:val="423B584A"/>
    <w:rsid w:val="43166C1A"/>
    <w:rsid w:val="43291B47"/>
    <w:rsid w:val="432F247C"/>
    <w:rsid w:val="43625A2A"/>
    <w:rsid w:val="437F06E0"/>
    <w:rsid w:val="43C31F9B"/>
    <w:rsid w:val="43D14C90"/>
    <w:rsid w:val="44093E52"/>
    <w:rsid w:val="44475071"/>
    <w:rsid w:val="445E3AFF"/>
    <w:rsid w:val="44612E7B"/>
    <w:rsid w:val="44753B35"/>
    <w:rsid w:val="448160DE"/>
    <w:rsid w:val="4490793F"/>
    <w:rsid w:val="44A571E8"/>
    <w:rsid w:val="45343151"/>
    <w:rsid w:val="456F5F37"/>
    <w:rsid w:val="45BE1410"/>
    <w:rsid w:val="45C75D73"/>
    <w:rsid w:val="45CA5863"/>
    <w:rsid w:val="45E00434"/>
    <w:rsid w:val="45F047F0"/>
    <w:rsid w:val="45F4583A"/>
    <w:rsid w:val="45FB4CDF"/>
    <w:rsid w:val="46054912"/>
    <w:rsid w:val="46112717"/>
    <w:rsid w:val="46307B3F"/>
    <w:rsid w:val="46317690"/>
    <w:rsid w:val="466513CA"/>
    <w:rsid w:val="469448BA"/>
    <w:rsid w:val="46C422B2"/>
    <w:rsid w:val="46C818F2"/>
    <w:rsid w:val="46DC1289"/>
    <w:rsid w:val="472655E6"/>
    <w:rsid w:val="472D42FC"/>
    <w:rsid w:val="477D2815"/>
    <w:rsid w:val="47982EAF"/>
    <w:rsid w:val="47CA38F8"/>
    <w:rsid w:val="481B63B6"/>
    <w:rsid w:val="487550B7"/>
    <w:rsid w:val="48A979B2"/>
    <w:rsid w:val="48B40105"/>
    <w:rsid w:val="48C20A74"/>
    <w:rsid w:val="48D569F9"/>
    <w:rsid w:val="48D83D6A"/>
    <w:rsid w:val="48F202EF"/>
    <w:rsid w:val="49747127"/>
    <w:rsid w:val="49B35FD2"/>
    <w:rsid w:val="49B45B0A"/>
    <w:rsid w:val="49B4660E"/>
    <w:rsid w:val="49BF4D9E"/>
    <w:rsid w:val="49D337CF"/>
    <w:rsid w:val="4A2319E6"/>
    <w:rsid w:val="4A4831FA"/>
    <w:rsid w:val="4A642CF0"/>
    <w:rsid w:val="4AC565F9"/>
    <w:rsid w:val="4AF07AF1"/>
    <w:rsid w:val="4B4439C2"/>
    <w:rsid w:val="4B9366F7"/>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ECA0682"/>
    <w:rsid w:val="4F1E7270"/>
    <w:rsid w:val="4F224D8D"/>
    <w:rsid w:val="4F2C30EB"/>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17D5E7F"/>
    <w:rsid w:val="520143BB"/>
    <w:rsid w:val="520E29DF"/>
    <w:rsid w:val="5237602E"/>
    <w:rsid w:val="52397BDB"/>
    <w:rsid w:val="5261421A"/>
    <w:rsid w:val="52701540"/>
    <w:rsid w:val="52874813"/>
    <w:rsid w:val="52986A2B"/>
    <w:rsid w:val="52A068B2"/>
    <w:rsid w:val="53034162"/>
    <w:rsid w:val="53182FAD"/>
    <w:rsid w:val="53283BC9"/>
    <w:rsid w:val="53542C10"/>
    <w:rsid w:val="535A78E2"/>
    <w:rsid w:val="536F17F8"/>
    <w:rsid w:val="53874D93"/>
    <w:rsid w:val="53932FF4"/>
    <w:rsid w:val="53CC09F8"/>
    <w:rsid w:val="53DC53F9"/>
    <w:rsid w:val="543071D9"/>
    <w:rsid w:val="543C16DA"/>
    <w:rsid w:val="54843081"/>
    <w:rsid w:val="54B1353E"/>
    <w:rsid w:val="54E720BB"/>
    <w:rsid w:val="551B4A12"/>
    <w:rsid w:val="5588094F"/>
    <w:rsid w:val="558A2919"/>
    <w:rsid w:val="55D752C5"/>
    <w:rsid w:val="5634588C"/>
    <w:rsid w:val="56615E0C"/>
    <w:rsid w:val="567846EC"/>
    <w:rsid w:val="56AC0B61"/>
    <w:rsid w:val="56B45E9F"/>
    <w:rsid w:val="5714693E"/>
    <w:rsid w:val="57272B15"/>
    <w:rsid w:val="575C16B2"/>
    <w:rsid w:val="57966F2A"/>
    <w:rsid w:val="57AD207D"/>
    <w:rsid w:val="5806097D"/>
    <w:rsid w:val="58134E48"/>
    <w:rsid w:val="583A6878"/>
    <w:rsid w:val="587873A1"/>
    <w:rsid w:val="5889335C"/>
    <w:rsid w:val="589C6BEB"/>
    <w:rsid w:val="58B80B09"/>
    <w:rsid w:val="58C500FD"/>
    <w:rsid w:val="58DC7930"/>
    <w:rsid w:val="590C03A2"/>
    <w:rsid w:val="596334BB"/>
    <w:rsid w:val="59727BBE"/>
    <w:rsid w:val="59964C22"/>
    <w:rsid w:val="59A541C5"/>
    <w:rsid w:val="59A97E57"/>
    <w:rsid w:val="5A112DD4"/>
    <w:rsid w:val="5A4A24F3"/>
    <w:rsid w:val="5A5B1C29"/>
    <w:rsid w:val="5A7F2300"/>
    <w:rsid w:val="5AED49A0"/>
    <w:rsid w:val="5B92709A"/>
    <w:rsid w:val="5BDA5CF3"/>
    <w:rsid w:val="5BFE0297"/>
    <w:rsid w:val="5C161EDE"/>
    <w:rsid w:val="5C207B33"/>
    <w:rsid w:val="5C880D1C"/>
    <w:rsid w:val="5CA91A5D"/>
    <w:rsid w:val="5CB62246"/>
    <w:rsid w:val="5D04082A"/>
    <w:rsid w:val="5D2914FD"/>
    <w:rsid w:val="5D5E4DB7"/>
    <w:rsid w:val="5D611791"/>
    <w:rsid w:val="5D755C5D"/>
    <w:rsid w:val="5DAE0264"/>
    <w:rsid w:val="5DD5494D"/>
    <w:rsid w:val="5DDE74C5"/>
    <w:rsid w:val="5E8819C0"/>
    <w:rsid w:val="5E916AC6"/>
    <w:rsid w:val="5E9640DD"/>
    <w:rsid w:val="5E992621"/>
    <w:rsid w:val="5EC67DA5"/>
    <w:rsid w:val="5ED247CC"/>
    <w:rsid w:val="5ED864A3"/>
    <w:rsid w:val="5F1576F7"/>
    <w:rsid w:val="5F3A0F0C"/>
    <w:rsid w:val="5F58262D"/>
    <w:rsid w:val="5F6419A2"/>
    <w:rsid w:val="5F6817F6"/>
    <w:rsid w:val="5F775691"/>
    <w:rsid w:val="600414DC"/>
    <w:rsid w:val="603319A6"/>
    <w:rsid w:val="605F1472"/>
    <w:rsid w:val="60A0022D"/>
    <w:rsid w:val="60A12843"/>
    <w:rsid w:val="60BA744E"/>
    <w:rsid w:val="60BB23FA"/>
    <w:rsid w:val="60FB49D2"/>
    <w:rsid w:val="6138147B"/>
    <w:rsid w:val="618164DD"/>
    <w:rsid w:val="61D474C9"/>
    <w:rsid w:val="61F77A0A"/>
    <w:rsid w:val="62950A8E"/>
    <w:rsid w:val="629774D1"/>
    <w:rsid w:val="62B339C2"/>
    <w:rsid w:val="62BE64F4"/>
    <w:rsid w:val="62C9714A"/>
    <w:rsid w:val="635A48B1"/>
    <w:rsid w:val="635B3466"/>
    <w:rsid w:val="637B00FA"/>
    <w:rsid w:val="63C90AB0"/>
    <w:rsid w:val="63DC4C88"/>
    <w:rsid w:val="64234172"/>
    <w:rsid w:val="6431668F"/>
    <w:rsid w:val="644D7933"/>
    <w:rsid w:val="64803EF5"/>
    <w:rsid w:val="64835103"/>
    <w:rsid w:val="64970BAF"/>
    <w:rsid w:val="64AA6F1D"/>
    <w:rsid w:val="64F8164D"/>
    <w:rsid w:val="6502427A"/>
    <w:rsid w:val="655C1F5A"/>
    <w:rsid w:val="656C3DE9"/>
    <w:rsid w:val="65715BFD"/>
    <w:rsid w:val="65732D00"/>
    <w:rsid w:val="65B34C8C"/>
    <w:rsid w:val="65C37EAD"/>
    <w:rsid w:val="66050395"/>
    <w:rsid w:val="661A0932"/>
    <w:rsid w:val="66302426"/>
    <w:rsid w:val="66364452"/>
    <w:rsid w:val="6651710F"/>
    <w:rsid w:val="66624588"/>
    <w:rsid w:val="66624590"/>
    <w:rsid w:val="669B6734"/>
    <w:rsid w:val="66BE68C6"/>
    <w:rsid w:val="66C043ED"/>
    <w:rsid w:val="66C739CD"/>
    <w:rsid w:val="66D24120"/>
    <w:rsid w:val="66D90189"/>
    <w:rsid w:val="66E85FB4"/>
    <w:rsid w:val="67330E86"/>
    <w:rsid w:val="674033C8"/>
    <w:rsid w:val="67614E4C"/>
    <w:rsid w:val="679C7C07"/>
    <w:rsid w:val="67B37AAD"/>
    <w:rsid w:val="67D03874"/>
    <w:rsid w:val="67F524F3"/>
    <w:rsid w:val="67F92005"/>
    <w:rsid w:val="68025435"/>
    <w:rsid w:val="685E3EBD"/>
    <w:rsid w:val="687E630D"/>
    <w:rsid w:val="688F22C8"/>
    <w:rsid w:val="68C267B6"/>
    <w:rsid w:val="68CF738C"/>
    <w:rsid w:val="68F20812"/>
    <w:rsid w:val="69021FA8"/>
    <w:rsid w:val="69137A07"/>
    <w:rsid w:val="697415F1"/>
    <w:rsid w:val="697F3ADF"/>
    <w:rsid w:val="69935DE8"/>
    <w:rsid w:val="69DA3ABA"/>
    <w:rsid w:val="6A3762A4"/>
    <w:rsid w:val="6A631F51"/>
    <w:rsid w:val="6A887F5F"/>
    <w:rsid w:val="6AAB7162"/>
    <w:rsid w:val="6AC3566F"/>
    <w:rsid w:val="6B037C3A"/>
    <w:rsid w:val="6B2B4A32"/>
    <w:rsid w:val="6B3A67D0"/>
    <w:rsid w:val="6B4B7556"/>
    <w:rsid w:val="6B6179F5"/>
    <w:rsid w:val="6B7C13D5"/>
    <w:rsid w:val="6B8C7F7D"/>
    <w:rsid w:val="6BCE135A"/>
    <w:rsid w:val="6BD72D2C"/>
    <w:rsid w:val="6C0652F9"/>
    <w:rsid w:val="6C53512B"/>
    <w:rsid w:val="6C560EC1"/>
    <w:rsid w:val="6C8E0AE9"/>
    <w:rsid w:val="6CA04267"/>
    <w:rsid w:val="6CA63EB8"/>
    <w:rsid w:val="6CB227F2"/>
    <w:rsid w:val="6CC30793"/>
    <w:rsid w:val="6CC8224D"/>
    <w:rsid w:val="6D18328F"/>
    <w:rsid w:val="6D6A3304"/>
    <w:rsid w:val="6D8C5C0C"/>
    <w:rsid w:val="6D8D7335"/>
    <w:rsid w:val="6DF95048"/>
    <w:rsid w:val="6E0472B5"/>
    <w:rsid w:val="6E09753D"/>
    <w:rsid w:val="6E7320EC"/>
    <w:rsid w:val="6EB73860"/>
    <w:rsid w:val="6ECE2964"/>
    <w:rsid w:val="6EF255E1"/>
    <w:rsid w:val="6F3C1C82"/>
    <w:rsid w:val="6F4B5004"/>
    <w:rsid w:val="6F9E02F2"/>
    <w:rsid w:val="6FF00AC7"/>
    <w:rsid w:val="700F01D3"/>
    <w:rsid w:val="7015387B"/>
    <w:rsid w:val="705A41AE"/>
    <w:rsid w:val="70B30B1E"/>
    <w:rsid w:val="70D07922"/>
    <w:rsid w:val="70E14841"/>
    <w:rsid w:val="7113156F"/>
    <w:rsid w:val="713A123F"/>
    <w:rsid w:val="718524BB"/>
    <w:rsid w:val="718631F8"/>
    <w:rsid w:val="71BE56F2"/>
    <w:rsid w:val="71CE1DE8"/>
    <w:rsid w:val="71E60A7F"/>
    <w:rsid w:val="72084FA1"/>
    <w:rsid w:val="72A11576"/>
    <w:rsid w:val="72B56CCB"/>
    <w:rsid w:val="72D46929"/>
    <w:rsid w:val="72D57472"/>
    <w:rsid w:val="72D729DB"/>
    <w:rsid w:val="72EC0317"/>
    <w:rsid w:val="73353469"/>
    <w:rsid w:val="73644117"/>
    <w:rsid w:val="736D3FC9"/>
    <w:rsid w:val="73BF6E3A"/>
    <w:rsid w:val="73D03795"/>
    <w:rsid w:val="74026044"/>
    <w:rsid w:val="74035919"/>
    <w:rsid w:val="741D30BD"/>
    <w:rsid w:val="74213FF1"/>
    <w:rsid w:val="74962374"/>
    <w:rsid w:val="7499627D"/>
    <w:rsid w:val="74C07CAE"/>
    <w:rsid w:val="74FB38D2"/>
    <w:rsid w:val="74FF3D98"/>
    <w:rsid w:val="750E0A19"/>
    <w:rsid w:val="7516167C"/>
    <w:rsid w:val="75606932"/>
    <w:rsid w:val="75685790"/>
    <w:rsid w:val="756E5918"/>
    <w:rsid w:val="75712C55"/>
    <w:rsid w:val="75734D20"/>
    <w:rsid w:val="757B7431"/>
    <w:rsid w:val="75D7226C"/>
    <w:rsid w:val="76332FB4"/>
    <w:rsid w:val="763C3364"/>
    <w:rsid w:val="763E5F57"/>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84574E"/>
    <w:rsid w:val="79B80DE0"/>
    <w:rsid w:val="7A574C10"/>
    <w:rsid w:val="7A7F1A71"/>
    <w:rsid w:val="7AAA2F92"/>
    <w:rsid w:val="7AAC0AB8"/>
    <w:rsid w:val="7AAF2356"/>
    <w:rsid w:val="7AC901A9"/>
    <w:rsid w:val="7AD06AA1"/>
    <w:rsid w:val="7B011F41"/>
    <w:rsid w:val="7B0C59FB"/>
    <w:rsid w:val="7B101CDA"/>
    <w:rsid w:val="7B587A97"/>
    <w:rsid w:val="7B7209AE"/>
    <w:rsid w:val="7BD644A9"/>
    <w:rsid w:val="7C162517"/>
    <w:rsid w:val="7C2D3A49"/>
    <w:rsid w:val="7C5950EA"/>
    <w:rsid w:val="7D3D00ED"/>
    <w:rsid w:val="7D657644"/>
    <w:rsid w:val="7D670C49"/>
    <w:rsid w:val="7D7B6D5C"/>
    <w:rsid w:val="7D9A5540"/>
    <w:rsid w:val="7DA16686"/>
    <w:rsid w:val="7DB40352"/>
    <w:rsid w:val="7DF67493"/>
    <w:rsid w:val="7E3B4056"/>
    <w:rsid w:val="7E5F5E41"/>
    <w:rsid w:val="7E8640F9"/>
    <w:rsid w:val="7E8E06E9"/>
    <w:rsid w:val="7E9B46B7"/>
    <w:rsid w:val="7EA31D98"/>
    <w:rsid w:val="7EC81C39"/>
    <w:rsid w:val="7EF700DD"/>
    <w:rsid w:val="7F2655FA"/>
    <w:rsid w:val="7F3160F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5"/>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37"/>
    <w:autoRedefine/>
    <w:unhideWhenUsed/>
    <w:qFormat/>
    <w:uiPriority w:val="9"/>
    <w:pPr>
      <w:keepNext/>
      <w:keepLines/>
      <w:outlineLvl w:val="2"/>
    </w:pPr>
    <w:rPr>
      <w:b/>
      <w:bCs/>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cs="仿宋" w:asciiTheme="majorAscii" w:hAnsiTheme="majorAscii" w:eastAsiaTheme="majorEastAsia"/>
      <w:b/>
      <w:bCs/>
      <w:szCs w:val="28"/>
    </w:rPr>
  </w:style>
  <w:style w:type="paragraph" w:styleId="7">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8">
    <w:name w:val="heading 6"/>
    <w:basedOn w:val="1"/>
    <w:next w:val="1"/>
    <w:autoRedefine/>
    <w:unhideWhenUsed/>
    <w:qFormat/>
    <w:uiPriority w:val="9"/>
    <w:pPr>
      <w:keepNext/>
      <w:keepLines/>
      <w:outlineLvl w:val="5"/>
    </w:pPr>
    <w:rPr>
      <w:rFonts w:ascii="Cambria" w:hAnsi="Cambria"/>
      <w:bCs/>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9">
    <w:name w:val="caption"/>
    <w:basedOn w:val="1"/>
    <w:next w:val="1"/>
    <w:autoRedefine/>
    <w:unhideWhenUsed/>
    <w:qFormat/>
    <w:uiPriority w:val="0"/>
    <w:rPr>
      <w:rFonts w:eastAsia="黑体" w:asciiTheme="majorHAnsi" w:hAnsiTheme="majorHAnsi" w:cstheme="majorBidi"/>
      <w:sz w:val="20"/>
      <w:szCs w:val="20"/>
    </w:rPr>
  </w:style>
  <w:style w:type="paragraph" w:styleId="10">
    <w:name w:val="annotation text"/>
    <w:basedOn w:val="1"/>
    <w:link w:val="39"/>
    <w:autoRedefine/>
    <w:unhideWhenUsed/>
    <w:qFormat/>
    <w:uiPriority w:val="99"/>
    <w:pPr>
      <w:jc w:val="left"/>
    </w:pPr>
  </w:style>
  <w:style w:type="paragraph" w:styleId="11">
    <w:name w:val="Body Text"/>
    <w:basedOn w:val="1"/>
    <w:next w:val="1"/>
    <w:autoRedefine/>
    <w:qFormat/>
    <w:uiPriority w:val="99"/>
    <w:rPr>
      <w:szCs w:val="21"/>
    </w:rPr>
  </w:style>
  <w:style w:type="paragraph" w:styleId="12">
    <w:name w:val="Body Text Indent"/>
    <w:basedOn w:val="1"/>
    <w:link w:val="49"/>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index 1"/>
    <w:basedOn w:val="1"/>
    <w:next w:val="1"/>
    <w:autoRedefine/>
    <w:qFormat/>
    <w:uiPriority w:val="0"/>
  </w:style>
  <w:style w:type="paragraph" w:styleId="22">
    <w:name w:val="annotation subject"/>
    <w:basedOn w:val="10"/>
    <w:next w:val="10"/>
    <w:link w:val="40"/>
    <w:autoRedefine/>
    <w:semiHidden/>
    <w:unhideWhenUsed/>
    <w:qFormat/>
    <w:uiPriority w:val="99"/>
    <w:rPr>
      <w:b/>
      <w:bCs/>
    </w:rPr>
  </w:style>
  <w:style w:type="paragraph" w:styleId="23">
    <w:name w:val="Body Text First Indent 2"/>
    <w:basedOn w:val="12"/>
    <w:link w:val="50"/>
    <w:autoRedefine/>
    <w:unhideWhenUsed/>
    <w:qFormat/>
    <w:uiPriority w:val="0"/>
    <w:pPr>
      <w:spacing w:after="120"/>
      <w:ind w:left="420" w:firstLine="420"/>
    </w:pPr>
    <w:rPr>
      <w:szCs w:val="22"/>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paragraph" w:customStyle="1" w:styleId="29">
    <w:name w:val="正文文本首行缩进 21"/>
    <w:basedOn w:val="1"/>
    <w:autoRedefine/>
    <w:qFormat/>
    <w:uiPriority w:val="0"/>
    <w:pPr>
      <w:ind w:left="420" w:leftChars="200" w:firstLine="420"/>
    </w:pPr>
  </w:style>
  <w:style w:type="paragraph" w:customStyle="1" w:styleId="30">
    <w:name w:val="Body Text First Indent 21"/>
    <w:basedOn w:val="1"/>
    <w:autoRedefine/>
    <w:qFormat/>
    <w:uiPriority w:val="0"/>
    <w:pPr>
      <w:ind w:left="420" w:leftChars="200" w:firstLine="420"/>
    </w:pPr>
  </w:style>
  <w:style w:type="paragraph" w:customStyle="1" w:styleId="31">
    <w:name w:val="BodyTextIndent"/>
    <w:basedOn w:val="1"/>
    <w:autoRedefine/>
    <w:qFormat/>
    <w:uiPriority w:val="0"/>
    <w:pPr>
      <w:widowControl/>
      <w:ind w:left="200" w:leftChars="200"/>
      <w:textAlignment w:val="baseline"/>
    </w:pPr>
    <w:rPr>
      <w:sz w:val="21"/>
      <w:szCs w:val="21"/>
    </w:rPr>
  </w:style>
  <w:style w:type="character" w:customStyle="1" w:styleId="32">
    <w:name w:val="页眉 字符"/>
    <w:basedOn w:val="26"/>
    <w:link w:val="16"/>
    <w:autoRedefine/>
    <w:qFormat/>
    <w:uiPriority w:val="99"/>
    <w:rPr>
      <w:sz w:val="18"/>
      <w:szCs w:val="18"/>
    </w:rPr>
  </w:style>
  <w:style w:type="character" w:customStyle="1" w:styleId="33">
    <w:name w:val="页脚 字符"/>
    <w:basedOn w:val="26"/>
    <w:link w:val="15"/>
    <w:autoRedefine/>
    <w:qFormat/>
    <w:uiPriority w:val="99"/>
    <w:rPr>
      <w:sz w:val="18"/>
      <w:szCs w:val="18"/>
    </w:rPr>
  </w:style>
  <w:style w:type="paragraph" w:customStyle="1" w:styleId="34">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3"/>
    <w:autoRedefine/>
    <w:qFormat/>
    <w:uiPriority w:val="9"/>
    <w:rPr>
      <w:rFonts w:ascii="黑体" w:hAnsi="黑体" w:eastAsia="黑体"/>
      <w:b/>
      <w:bCs/>
      <w:kern w:val="44"/>
      <w:sz w:val="32"/>
      <w:szCs w:val="44"/>
    </w:rPr>
  </w:style>
  <w:style w:type="character" w:customStyle="1" w:styleId="36">
    <w:name w:val="标题 2 字符"/>
    <w:basedOn w:val="26"/>
    <w:link w:val="4"/>
    <w:autoRedefine/>
    <w:qFormat/>
    <w:uiPriority w:val="9"/>
    <w:rPr>
      <w:rFonts w:ascii="楷体" w:hAnsi="楷体" w:eastAsia="楷体" w:cstheme="majorBidi"/>
      <w:b/>
      <w:bCs/>
      <w:sz w:val="32"/>
      <w:szCs w:val="32"/>
    </w:rPr>
  </w:style>
  <w:style w:type="character" w:customStyle="1" w:styleId="37">
    <w:name w:val="标题 3 字符"/>
    <w:basedOn w:val="26"/>
    <w:link w:val="5"/>
    <w:autoRedefine/>
    <w:qFormat/>
    <w:uiPriority w:val="9"/>
    <w:rPr>
      <w:rFonts w:ascii="仿宋_GB2312" w:hAnsi="仿宋_GB2312" w:eastAsia="仿宋_GB2312"/>
      <w:b/>
      <w:bCs/>
      <w:sz w:val="28"/>
      <w:szCs w:val="32"/>
    </w:rPr>
  </w:style>
  <w:style w:type="character" w:customStyle="1" w:styleId="38">
    <w:name w:val="font01"/>
    <w:basedOn w:val="26"/>
    <w:autoRedefine/>
    <w:qFormat/>
    <w:uiPriority w:val="0"/>
    <w:rPr>
      <w:rFonts w:hint="eastAsia" w:ascii="宋体" w:hAnsi="宋体" w:eastAsia="宋体" w:cs="宋体"/>
      <w:color w:val="000000"/>
      <w:sz w:val="21"/>
      <w:szCs w:val="21"/>
      <w:u w:val="none"/>
    </w:rPr>
  </w:style>
  <w:style w:type="character" w:customStyle="1" w:styleId="39">
    <w:name w:val="批注文字 字符"/>
    <w:basedOn w:val="26"/>
    <w:link w:val="10"/>
    <w:autoRedefine/>
    <w:qFormat/>
    <w:uiPriority w:val="99"/>
    <w:rPr>
      <w:rFonts w:ascii="仿宋_GB2312" w:hAnsi="仿宋_GB2312" w:eastAsia="仿宋_GB2312" w:cstheme="minorBidi"/>
      <w:kern w:val="2"/>
      <w:sz w:val="28"/>
      <w:szCs w:val="22"/>
    </w:rPr>
  </w:style>
  <w:style w:type="character" w:customStyle="1" w:styleId="40">
    <w:name w:val="批注主题 字符"/>
    <w:basedOn w:val="39"/>
    <w:link w:val="22"/>
    <w:autoRedefine/>
    <w:semiHidden/>
    <w:qFormat/>
    <w:uiPriority w:val="99"/>
    <w:rPr>
      <w:rFonts w:ascii="仿宋_GB2312" w:hAnsi="仿宋_GB2312" w:eastAsia="仿宋_GB2312" w:cstheme="minorBidi"/>
      <w:b/>
      <w:bCs/>
      <w:kern w:val="2"/>
      <w:sz w:val="28"/>
      <w:szCs w:val="22"/>
    </w:rPr>
  </w:style>
  <w:style w:type="paragraph" w:customStyle="1" w:styleId="41">
    <w:name w:val="NormalIndent"/>
    <w:basedOn w:val="1"/>
    <w:autoRedefine/>
    <w:qFormat/>
    <w:uiPriority w:val="99"/>
    <w:pPr>
      <w:ind w:firstLine="420"/>
      <w:textAlignment w:val="baseline"/>
    </w:pPr>
    <w:rPr>
      <w:szCs w:val="21"/>
    </w:rPr>
  </w:style>
  <w:style w:type="character" w:customStyle="1" w:styleId="42">
    <w:name w:val="content1"/>
    <w:basedOn w:val="26"/>
    <w:autoRedefine/>
    <w:qFormat/>
    <w:uiPriority w:val="0"/>
    <w:rPr>
      <w:rFonts w:hint="default"/>
      <w:sz w:val="21"/>
    </w:rPr>
  </w:style>
  <w:style w:type="paragraph" w:customStyle="1" w:styleId="43">
    <w:name w:val="Char2"/>
    <w:basedOn w:val="1"/>
    <w:autoRedefine/>
    <w:qFormat/>
    <w:uiPriority w:val="0"/>
    <w:rPr>
      <w:rFonts w:ascii="Courier" w:hAnsi="Courier" w:cs="Courier"/>
      <w:szCs w:val="21"/>
    </w:rPr>
  </w:style>
  <w:style w:type="character" w:customStyle="1" w:styleId="44">
    <w:name w:val="NormalCharacter"/>
    <w:autoRedefine/>
    <w:semiHidden/>
    <w:qFormat/>
    <w:uiPriority w:val="0"/>
  </w:style>
  <w:style w:type="paragraph" w:customStyle="1" w:styleId="45">
    <w:name w:val="Normal Indent1"/>
    <w:basedOn w:val="1"/>
    <w:autoRedefine/>
    <w:qFormat/>
    <w:uiPriority w:val="99"/>
    <w:pPr>
      <w:ind w:firstLine="420"/>
    </w:pPr>
  </w:style>
  <w:style w:type="paragraph" w:styleId="46">
    <w:name w:val="List Paragraph"/>
    <w:basedOn w:val="1"/>
    <w:autoRedefine/>
    <w:qFormat/>
    <w:uiPriority w:val="99"/>
    <w:pPr>
      <w:ind w:firstLine="420"/>
    </w:pPr>
  </w:style>
  <w:style w:type="character" w:customStyle="1" w:styleId="47">
    <w:name w:val="标题 4 字符"/>
    <w:basedOn w:val="26"/>
    <w:link w:val="6"/>
    <w:autoRedefine/>
    <w:qFormat/>
    <w:uiPriority w:val="9"/>
    <w:rPr>
      <w:rFonts w:cs="仿宋" w:asciiTheme="majorAscii" w:hAnsiTheme="majorAscii" w:eastAsiaTheme="majorEastAsia"/>
      <w:b/>
      <w:bCs/>
      <w:kern w:val="2"/>
      <w:sz w:val="28"/>
      <w:szCs w:val="28"/>
    </w:rPr>
  </w:style>
  <w:style w:type="character" w:customStyle="1" w:styleId="48">
    <w:name w:val="标题 5 字符"/>
    <w:basedOn w:val="26"/>
    <w:link w:val="7"/>
    <w:autoRedefine/>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autoRedefine/>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autoRedefine/>
    <w:qFormat/>
    <w:uiPriority w:val="0"/>
    <w:rPr>
      <w:rFonts w:ascii="仿宋_GB2312" w:hAnsi="仿宋_GB2312" w:eastAsia="仿宋_GB2312" w:cstheme="minorBidi"/>
      <w:kern w:val="2"/>
      <w:sz w:val="28"/>
      <w:szCs w:val="22"/>
    </w:rPr>
  </w:style>
  <w:style w:type="paragraph" w:customStyle="1" w:styleId="51">
    <w:name w:val="Body Text First Indent 2"/>
    <w:basedOn w:val="1"/>
    <w:autoRedefine/>
    <w:qFormat/>
    <w:uiPriority w:val="0"/>
    <w:pPr>
      <w:ind w:left="420" w:leftChars="200" w:firstLine="420" w:firstLineChars="200"/>
    </w:pPr>
  </w:style>
  <w:style w:type="character" w:customStyle="1" w:styleId="52">
    <w:name w:val="font41"/>
    <w:basedOn w:val="26"/>
    <w:autoRedefine/>
    <w:qFormat/>
    <w:uiPriority w:val="0"/>
    <w:rPr>
      <w:rFonts w:hint="eastAsia" w:ascii="仿宋_GB2312" w:eastAsia="仿宋_GB2312" w:cs="仿宋_GB2312"/>
      <w:b/>
      <w:bCs/>
      <w:color w:val="000000"/>
      <w:sz w:val="24"/>
      <w:szCs w:val="24"/>
      <w:u w:val="none"/>
    </w:rPr>
  </w:style>
  <w:style w:type="character" w:customStyle="1" w:styleId="53">
    <w:name w:val="font31"/>
    <w:basedOn w:val="26"/>
    <w:autoRedefine/>
    <w:qFormat/>
    <w:uiPriority w:val="0"/>
    <w:rPr>
      <w:rFonts w:hint="eastAsia" w:ascii="仿宋_GB2312" w:eastAsia="仿宋_GB2312" w:cs="仿宋_GB2312"/>
      <w:color w:val="000000"/>
      <w:sz w:val="24"/>
      <w:szCs w:val="24"/>
      <w:u w:val="none"/>
    </w:rPr>
  </w:style>
  <w:style w:type="character" w:customStyle="1" w:styleId="54">
    <w:name w:val="font21"/>
    <w:basedOn w:val="26"/>
    <w:autoRedefine/>
    <w:qFormat/>
    <w:uiPriority w:val="0"/>
    <w:rPr>
      <w:rFonts w:hint="eastAsia" w:ascii="仿宋_GB2312" w:eastAsia="仿宋_GB2312" w:cs="仿宋_GB2312"/>
      <w:b/>
      <w:bCs/>
      <w:color w:val="000000"/>
      <w:sz w:val="24"/>
      <w:szCs w:val="24"/>
      <w:u w:val="none"/>
    </w:rPr>
  </w:style>
  <w:style w:type="paragraph" w:customStyle="1" w:styleId="55">
    <w:name w:val="列出段落1"/>
    <w:basedOn w:val="1"/>
    <w:autoRedefine/>
    <w:qFormat/>
    <w:uiPriority w:val="0"/>
    <w:pPr>
      <w:ind w:firstLine="420" w:firstLineChars="200"/>
    </w:pPr>
    <w:rPr>
      <w:rFonts w:ascii="Calibri" w:hAnsi="Calibri" w:eastAsia="宋体" w:cs="Times New Roman"/>
    </w:rPr>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24</Pages>
  <Words>9597</Words>
  <Characters>11582</Characters>
  <Lines>109</Lines>
  <Paragraphs>30</Paragraphs>
  <TotalTime>12</TotalTime>
  <ScaleCrop>false</ScaleCrop>
  <LinksUpToDate>false</LinksUpToDate>
  <CharactersWithSpaces>11644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WPS_1644891119</cp:lastModifiedBy>
  <cp:lastPrinted>2024-04-06T23:14:00Z</cp:lastPrinted>
  <dcterms:modified xsi:type="dcterms:W3CDTF">2024-08-12T08:36:35Z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958E18ECD0FD43F593CD044D176A753E_13</vt:lpwstr>
  </property>
</Properties>
</file>