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eastAsia="宋体" w:cs="宋体"/>
          <w:b/>
          <w:bCs/>
          <w:color w:val="auto"/>
          <w:sz w:val="44"/>
          <w:szCs w:val="44"/>
          <w:lang w:val="zh-CN"/>
        </w:rPr>
      </w:pPr>
    </w:p>
    <w:p>
      <w:pPr>
        <w:spacing w:before="100" w:beforeLines="0" w:after="100" w:afterLines="0"/>
        <w:jc w:val="center"/>
        <w:rPr>
          <w:rFonts w:hint="eastAsia" w:ascii="宋体" w:hAnsi="宋体" w:eastAsia="宋体" w:cs="宋体"/>
          <w:b/>
          <w:bCs/>
          <w:color w:val="auto"/>
          <w:sz w:val="44"/>
          <w:szCs w:val="44"/>
          <w:lang w:val="zh-CN"/>
        </w:rPr>
      </w:pPr>
      <w:r>
        <w:rPr>
          <w:rFonts w:hint="eastAsia" w:ascii="宋体" w:hAnsi="宋体" w:eastAsia="宋体" w:cs="宋体"/>
          <w:b/>
          <w:bCs/>
          <w:color w:val="auto"/>
          <w:sz w:val="44"/>
          <w:szCs w:val="44"/>
          <w:lang w:val="zh-CN"/>
        </w:rPr>
        <w:t>2023年度</w:t>
      </w:r>
    </w:p>
    <w:p>
      <w:pPr>
        <w:spacing w:before="100" w:beforeLines="0" w:after="100" w:afterLines="0"/>
        <w:jc w:val="center"/>
        <w:rPr>
          <w:rFonts w:hint="eastAsia" w:ascii="宋体" w:hAnsi="宋体"/>
          <w:color w:val="auto"/>
          <w:sz w:val="24"/>
          <w:szCs w:val="24"/>
          <w:lang w:val="zh-CN"/>
        </w:rPr>
      </w:pPr>
      <w:r>
        <w:rPr>
          <w:rFonts w:hint="eastAsia" w:ascii="宋体" w:hAnsi="宋体" w:eastAsia="宋体" w:cs="宋体"/>
          <w:b/>
          <w:bCs/>
          <w:color w:val="auto"/>
          <w:sz w:val="44"/>
          <w:szCs w:val="44"/>
          <w:lang w:val="zh-CN"/>
        </w:rPr>
        <w:t>甘肃省武威市中级人民法院（本级）部门决算</w:t>
      </w: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sectPr>
          <w:pgSz w:w="12240" w:h="15840"/>
          <w:pgMar w:top="1440" w:right="1800" w:bottom="1440" w:left="1800" w:header="720" w:footer="720" w:gutter="0"/>
          <w:lnNumType w:countBy="0" w:distance="360"/>
          <w:cols w:space="720" w:num="1"/>
          <w:docGrid w:type="lines" w:linePitch="312" w:charSpace="0"/>
        </w:sectPr>
      </w:pPr>
    </w:p>
    <w:p>
      <w:pPr>
        <w:pStyle w:val="2"/>
        <w:rPr>
          <w:rFonts w:hint="eastAsia"/>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b w:val="0"/>
          <w:bCs/>
          <w:color w:val="auto"/>
          <w:sz w:val="24"/>
          <w:szCs w:val="24"/>
          <w:lang w:val="zh-CN"/>
        </w:rPr>
      </w:pPr>
      <w:r>
        <w:rPr>
          <w:rFonts w:hint="eastAsia" w:ascii="宋体" w:hAnsi="宋体" w:eastAsia="宋体" w:cs="宋体"/>
          <w:b w:val="0"/>
          <w:bCs/>
          <w:color w:val="auto"/>
          <w:sz w:val="44"/>
          <w:szCs w:val="44"/>
          <w:lang w:val="zh-CN"/>
        </w:rPr>
        <w:t>目录</w:t>
      </w:r>
    </w:p>
    <w:p>
      <w:pPr>
        <w:spacing w:before="100" w:beforeLines="0" w:after="100" w:afterLines="0"/>
        <w:jc w:val="left"/>
        <w:rPr>
          <w:rFonts w:hint="eastAsia" w:ascii="仿宋" w:hAnsi="仿宋" w:eastAsia="仿宋" w:cs="仿宋"/>
          <w:b/>
          <w:color w:val="auto"/>
          <w:sz w:val="32"/>
          <w:szCs w:val="32"/>
          <w:lang w:val="zh-CN"/>
        </w:rPr>
      </w:pP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第一部分部门概况</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一、部门职责</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二、机构设置</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第二部分2023年度部门决算表</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一、收入支出决算总表</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二、收入决算表</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三、支出决算表</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四、财政拨款收入支出决算总表</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五、一般公共预算财政拨款支出决算表</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六、一般公共预算财政拨款基本支出决算明细表</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七、政府性基金预算财政拨款收入支出决算表</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八、国有资本经营预算财政拨款支出决算表</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九、财政拨款“三公”经费支出决算表</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第三部分2023年度部门决算情况说明</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一、收入支出决算总体情况说明</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二、收入决算情况说明</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三、支出决算情况说明</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四、财政拨款收入支出决算总体情况说明</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五、一般公共预算财政拨款支出决算情况说明</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六、一般公共预算财政拨款基本支出决算情况说明</w:t>
      </w:r>
    </w:p>
    <w:p>
      <w:pPr>
        <w:spacing w:before="100" w:beforeLines="0" w:after="100" w:afterLines="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zh-CN"/>
        </w:rPr>
        <w:t>七、政府性基金预算财政拨款收支决算情况说明</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八、国有资本经营预算财政拨款支出情况说明</w:t>
      </w:r>
    </w:p>
    <w:p>
      <w:pPr>
        <w:spacing w:before="100" w:beforeLines="0" w:after="100" w:afterLines="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zh-CN"/>
        </w:rPr>
        <w:t>九、财政拨款“三公”经费支出决算情况说明</w:t>
      </w:r>
    </w:p>
    <w:p>
      <w:pPr>
        <w:spacing w:before="100" w:beforeLines="0" w:after="100" w:afterLines="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zh-CN"/>
        </w:rPr>
        <w:t>十、机关运行经费支出情况说明</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十一、政府采购支出情况说明</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十二、国有资产占用情况说明</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十三、其他需要说明的情况</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第四部分预算绩效情况说明</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第五部分名词解释</w:t>
      </w: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宋体" w:hAnsi="宋体"/>
          <w:color w:val="auto"/>
          <w:sz w:val="24"/>
          <w:szCs w:val="24"/>
          <w:lang w:val="zh-CN"/>
        </w:rPr>
      </w:pPr>
    </w:p>
    <w:p>
      <w:pPr>
        <w:spacing w:before="100" w:beforeLines="0" w:after="100" w:afterLines="0"/>
        <w:jc w:val="center"/>
        <w:rPr>
          <w:rFonts w:hint="eastAsia" w:ascii="黑体" w:hAnsi="黑体" w:eastAsia="黑体" w:cs="黑体"/>
          <w:b w:val="0"/>
          <w:bCs/>
          <w:color w:val="auto"/>
          <w:sz w:val="32"/>
          <w:szCs w:val="32"/>
          <w:lang w:val="zh-CN"/>
        </w:rPr>
      </w:pPr>
      <w:r>
        <w:rPr>
          <w:rFonts w:hint="eastAsia" w:ascii="黑体" w:hAnsi="黑体" w:eastAsia="黑体" w:cs="黑体"/>
          <w:b w:val="0"/>
          <w:bCs/>
          <w:color w:val="auto"/>
          <w:sz w:val="32"/>
          <w:szCs w:val="32"/>
          <w:lang w:val="zh-CN"/>
        </w:rPr>
        <w:t>第一部分部门概况</w:t>
      </w:r>
    </w:p>
    <w:p>
      <w:pPr>
        <w:spacing w:before="100" w:beforeLines="0" w:after="100" w:afterLines="0"/>
        <w:jc w:val="left"/>
        <w:rPr>
          <w:rFonts w:hint="eastAsia" w:ascii="黑体" w:hAnsi="黑体" w:eastAsia="黑体" w:cs="黑体"/>
          <w:color w:val="auto"/>
          <w:sz w:val="32"/>
          <w:szCs w:val="32"/>
          <w:lang w:val="zh-CN"/>
        </w:rPr>
      </w:pPr>
    </w:p>
    <w:p>
      <w:pPr>
        <w:spacing w:before="100" w:beforeLines="0" w:after="100" w:afterLines="0"/>
        <w:jc w:val="left"/>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一、部门职责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rPr>
        <w:t>武威市</w:t>
      </w:r>
      <w:r>
        <w:rPr>
          <w:rFonts w:hint="eastAsia" w:ascii="仿宋" w:hAnsi="仿宋" w:eastAsia="仿宋" w:cs="仿宋"/>
          <w:b w:val="0"/>
          <w:bCs w:val="0"/>
          <w:color w:val="auto"/>
          <w:kern w:val="2"/>
          <w:sz w:val="32"/>
          <w:szCs w:val="32"/>
          <w:lang w:eastAsia="zh-CN"/>
        </w:rPr>
        <w:t>中级</w:t>
      </w:r>
      <w:r>
        <w:rPr>
          <w:rFonts w:hint="eastAsia" w:ascii="仿宋" w:hAnsi="仿宋" w:eastAsia="仿宋" w:cs="仿宋"/>
          <w:b w:val="0"/>
          <w:bCs w:val="0"/>
          <w:color w:val="auto"/>
          <w:kern w:val="2"/>
          <w:sz w:val="32"/>
          <w:szCs w:val="32"/>
        </w:rPr>
        <w:t>人民法院是国家审判机关，依法独立行使审判权，对</w:t>
      </w:r>
      <w:r>
        <w:rPr>
          <w:rFonts w:hint="eastAsia" w:ascii="仿宋" w:hAnsi="仿宋" w:eastAsia="仿宋" w:cs="仿宋"/>
          <w:b w:val="0"/>
          <w:bCs w:val="0"/>
          <w:color w:val="auto"/>
          <w:kern w:val="2"/>
          <w:sz w:val="32"/>
          <w:szCs w:val="32"/>
          <w:lang w:eastAsia="zh-CN"/>
        </w:rPr>
        <w:t>武威市</w:t>
      </w:r>
      <w:r>
        <w:rPr>
          <w:rFonts w:hint="eastAsia" w:ascii="仿宋" w:hAnsi="仿宋" w:eastAsia="仿宋" w:cs="仿宋"/>
          <w:b w:val="0"/>
          <w:bCs w:val="0"/>
          <w:color w:val="auto"/>
          <w:kern w:val="2"/>
          <w:sz w:val="32"/>
          <w:szCs w:val="32"/>
        </w:rPr>
        <w:t>人民代表大会及其常务委员会负责并报告工作。</w:t>
      </w:r>
      <w:r>
        <w:rPr>
          <w:rFonts w:hint="eastAsia" w:ascii="仿宋" w:hAnsi="仿宋" w:eastAsia="仿宋" w:cs="仿宋"/>
          <w:b w:val="0"/>
          <w:bCs w:val="0"/>
          <w:color w:val="auto"/>
          <w:kern w:val="2"/>
          <w:sz w:val="32"/>
          <w:szCs w:val="32"/>
          <w:lang w:eastAsia="zh-CN"/>
        </w:rPr>
        <w:t>主要职责有：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审判法律规定由中级人民法院管辖和其认为应当由自己审判的案件。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审判高级人民法院交由中级人民法院审判的刑事、民事、行政案件。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受理不服下级法院生效裁判的各类申诉和再审申请，对其中确有错误的，提审或指令下级人民法院再审。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依法审判由市人民检察院按照审判监督程序提出的抗诉案件。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依法对下级人民法院行使指定管辖权。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监督下级人民法院的审判工作。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调查研究审判工作中的法律政策及疑难问题，总结审判工作经验；针对案件审理中发现的问题提出司法建议；综合指导全市法院司法统计工作。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依法行使司法执行权和司法决定权；统一领导全市法院执行工作。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依法决定国家赔偿。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对市中级人民法院的法官和其他工作人员进行思想政治教育，组织专业培训；指导下级人民法院的思想政治工作和教育培训工作；按照权限管理、培训法官和其他工作人员；协助市管部门管理全市法院的机构、编制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负责本院并领导全市人民法院的监察工作。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rPr>
        <w:t>在审判工作中宣传法制，教育公民自觉遵守宪法、法律。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领导全市人民法院司法警察警务工作。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auto"/>
          <w:sz w:val="32"/>
          <w:szCs w:val="32"/>
          <w:lang w:val="zh-CN"/>
        </w:rPr>
      </w:pPr>
      <w:r>
        <w:rPr>
          <w:rFonts w:hint="eastAsia" w:ascii="仿宋" w:hAnsi="仿宋" w:eastAsia="仿宋" w:cs="仿宋"/>
          <w:color w:val="auto"/>
          <w:kern w:val="2"/>
          <w:sz w:val="32"/>
          <w:szCs w:val="32"/>
          <w:lang w:val="en-US" w:eastAsia="zh-CN" w:bidi="ar"/>
        </w:rPr>
        <w:t>承办其他应由市中级人民法院负责的工作。</w:t>
      </w:r>
    </w:p>
    <w:p>
      <w:pPr>
        <w:spacing w:before="100" w:beforeLines="0" w:after="100" w:afterLines="0"/>
        <w:jc w:val="left"/>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二、机构设置</w:t>
      </w:r>
    </w:p>
    <w:p>
      <w:pPr>
        <w:spacing w:before="100" w:beforeLines="0" w:after="100" w:afterLines="0"/>
        <w:jc w:val="center"/>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 xml:space="preserve">    </w:t>
      </w:r>
      <w:r>
        <w:rPr>
          <w:rFonts w:hint="eastAsia" w:ascii="仿宋" w:hAnsi="仿宋" w:eastAsia="仿宋" w:cs="仿宋"/>
          <w:b w:val="0"/>
          <w:bCs w:val="0"/>
          <w:color w:val="auto"/>
          <w:kern w:val="2"/>
          <w:sz w:val="32"/>
          <w:szCs w:val="32"/>
          <w:lang w:eastAsia="zh-CN"/>
        </w:rPr>
        <w:t>武威市中级</w:t>
      </w:r>
      <w:r>
        <w:rPr>
          <w:rFonts w:hint="eastAsia" w:ascii="仿宋" w:hAnsi="仿宋" w:eastAsia="仿宋" w:cs="仿宋"/>
          <w:b w:val="0"/>
          <w:bCs w:val="0"/>
          <w:color w:val="auto"/>
          <w:kern w:val="2"/>
          <w:sz w:val="32"/>
          <w:szCs w:val="32"/>
        </w:rPr>
        <w:t>人民法院现有部门</w:t>
      </w:r>
      <w:r>
        <w:rPr>
          <w:rFonts w:hint="eastAsia" w:ascii="仿宋" w:hAnsi="仿宋" w:eastAsia="仿宋" w:cs="仿宋"/>
          <w:b w:val="0"/>
          <w:bCs w:val="0"/>
          <w:color w:val="auto"/>
          <w:kern w:val="2"/>
          <w:sz w:val="32"/>
          <w:szCs w:val="32"/>
          <w:lang w:val="en-US" w:eastAsia="zh-CN"/>
        </w:rPr>
        <w:t>20</w:t>
      </w:r>
      <w:r>
        <w:rPr>
          <w:rFonts w:hint="eastAsia" w:ascii="仿宋" w:hAnsi="仿宋" w:eastAsia="仿宋" w:cs="仿宋"/>
          <w:b w:val="0"/>
          <w:bCs w:val="0"/>
          <w:color w:val="auto"/>
          <w:kern w:val="2"/>
          <w:sz w:val="32"/>
          <w:szCs w:val="32"/>
        </w:rPr>
        <w:t>个，分别为：</w:t>
      </w:r>
      <w:r>
        <w:rPr>
          <w:rFonts w:hint="eastAsia" w:ascii="仿宋" w:hAnsi="仿宋" w:eastAsia="仿宋" w:cs="仿宋"/>
          <w:b w:val="0"/>
          <w:bCs w:val="0"/>
          <w:color w:val="auto"/>
          <w:kern w:val="2"/>
          <w:sz w:val="32"/>
          <w:szCs w:val="32"/>
          <w:lang w:val="en-US" w:eastAsia="zh-CN"/>
        </w:rPr>
        <w:t>政治部（内设组织人事科、宣传教育科）、办公室、立案庭、刑事审判第一庭、刑事审判第二庭、民事审判第一庭、民事审判第二庭、民事审判第三庭、行政审判庭、审判监督庭、执行局、研究室、司法警察支队（内设警务科）、法医技术室、监察室、纪检组、司法行政装备处、信访室、审判管理办公室、机关党委。</w:t>
      </w:r>
    </w:p>
    <w:p>
      <w:pPr>
        <w:spacing w:before="100" w:beforeLines="0" w:after="100" w:afterLines="0"/>
        <w:jc w:val="center"/>
        <w:rPr>
          <w:rFonts w:hint="eastAsia" w:ascii="宋体" w:hAnsi="宋体"/>
          <w:b/>
          <w:color w:val="auto"/>
          <w:sz w:val="24"/>
          <w:szCs w:val="24"/>
          <w:lang w:val="zh-CN"/>
        </w:rPr>
      </w:pPr>
    </w:p>
    <w:p>
      <w:pPr>
        <w:spacing w:before="100" w:beforeLines="0" w:after="100" w:afterLines="0"/>
        <w:jc w:val="center"/>
        <w:rPr>
          <w:rFonts w:hint="eastAsia" w:ascii="宋体" w:hAnsi="宋体"/>
          <w:b/>
          <w:color w:val="auto"/>
          <w:sz w:val="24"/>
          <w:szCs w:val="24"/>
          <w:lang w:val="zh-CN"/>
        </w:rPr>
      </w:pPr>
    </w:p>
    <w:p>
      <w:pPr>
        <w:spacing w:before="100" w:beforeLines="0" w:after="100" w:afterLines="0"/>
        <w:jc w:val="center"/>
        <w:rPr>
          <w:rFonts w:hint="eastAsia" w:ascii="黑体" w:hAnsi="黑体" w:eastAsia="黑体" w:cs="黑体"/>
          <w:b/>
          <w:color w:val="auto"/>
          <w:sz w:val="32"/>
          <w:szCs w:val="32"/>
          <w:lang w:val="zh-CN"/>
        </w:rPr>
      </w:pPr>
    </w:p>
    <w:p>
      <w:pPr>
        <w:spacing w:before="100" w:beforeLines="0" w:after="100" w:afterLines="0"/>
        <w:jc w:val="center"/>
        <w:rPr>
          <w:rFonts w:hint="eastAsia" w:ascii="黑体" w:hAnsi="黑体" w:eastAsia="黑体" w:cs="黑体"/>
          <w:b/>
          <w:color w:val="auto"/>
          <w:sz w:val="32"/>
          <w:szCs w:val="32"/>
          <w:lang w:val="zh-CN"/>
        </w:rPr>
      </w:pPr>
    </w:p>
    <w:p>
      <w:pPr>
        <w:spacing w:before="100" w:beforeLines="0" w:after="100" w:afterLines="0"/>
        <w:jc w:val="center"/>
        <w:rPr>
          <w:rFonts w:hint="eastAsia" w:ascii="黑体" w:hAnsi="黑体" w:eastAsia="黑体" w:cs="黑体"/>
          <w:b w:val="0"/>
          <w:bCs/>
          <w:color w:val="auto"/>
          <w:sz w:val="32"/>
          <w:szCs w:val="32"/>
          <w:lang w:val="zh-CN"/>
        </w:rPr>
      </w:pPr>
      <w:r>
        <w:rPr>
          <w:rFonts w:hint="eastAsia" w:ascii="黑体" w:hAnsi="黑体" w:eastAsia="黑体" w:cs="黑体"/>
          <w:b w:val="0"/>
          <w:bCs/>
          <w:color w:val="auto"/>
          <w:sz w:val="32"/>
          <w:szCs w:val="32"/>
          <w:lang w:val="zh-CN"/>
        </w:rPr>
        <w:t>第二部分2023年度部门决算表</w:t>
      </w:r>
    </w:p>
    <w:p>
      <w:pPr>
        <w:spacing w:before="100" w:beforeLines="0" w:after="100" w:afterLines="0"/>
        <w:jc w:val="left"/>
        <w:rPr>
          <w:rFonts w:hint="eastAsia" w:ascii="仿宋" w:hAnsi="仿宋" w:eastAsia="仿宋" w:cs="仿宋"/>
          <w:color w:val="auto"/>
          <w:sz w:val="32"/>
          <w:szCs w:val="32"/>
          <w:lang w:val="en-US" w:eastAsia="zh-CN"/>
        </w:rPr>
      </w:pPr>
    </w:p>
    <w:p>
      <w:pPr>
        <w:spacing w:before="100" w:beforeLines="0" w:after="100" w:afterLines="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2023年度部门决算表详见附件1</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一、收入支出决算总表</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二、收入决算表</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三、支出决算表</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四、财政拨款收入支出决算总表</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五、一般公共预算财政拨款支出决算表</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六、一般公共预算财政拨款基本支出决算明细表</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七、政府性基金预算财政拨款收入支出决算表</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八、国有资本经营预算财政拨款支出决算表</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九、财政拨款“三公”经费支出决算表</w:t>
      </w:r>
    </w:p>
    <w:p>
      <w:pPr>
        <w:spacing w:before="100" w:beforeLines="0" w:after="100" w:afterLines="0"/>
        <w:jc w:val="center"/>
        <w:rPr>
          <w:rFonts w:hint="eastAsia" w:ascii="黑体" w:hAnsi="黑体" w:eastAsia="黑体" w:cs="黑体"/>
          <w:b/>
          <w:color w:val="auto"/>
          <w:sz w:val="32"/>
          <w:szCs w:val="32"/>
          <w:lang w:val="zh-CN"/>
        </w:rPr>
      </w:pPr>
    </w:p>
    <w:p>
      <w:pPr>
        <w:spacing w:before="100" w:beforeLines="0" w:after="100" w:afterLines="0"/>
        <w:jc w:val="center"/>
        <w:rPr>
          <w:rFonts w:hint="eastAsia" w:ascii="黑体" w:hAnsi="黑体" w:eastAsia="黑体" w:cs="黑体"/>
          <w:b/>
          <w:color w:val="auto"/>
          <w:sz w:val="32"/>
          <w:szCs w:val="32"/>
          <w:lang w:val="zh-CN"/>
        </w:rPr>
      </w:pPr>
    </w:p>
    <w:p>
      <w:pPr>
        <w:spacing w:before="100" w:beforeLines="0" w:after="100" w:afterLines="0"/>
        <w:jc w:val="center"/>
        <w:rPr>
          <w:rFonts w:hint="eastAsia" w:ascii="黑体" w:hAnsi="黑体" w:eastAsia="黑体" w:cs="黑体"/>
          <w:b w:val="0"/>
          <w:bCs/>
          <w:color w:val="auto"/>
          <w:sz w:val="32"/>
          <w:szCs w:val="32"/>
          <w:lang w:val="zh-CN"/>
        </w:rPr>
      </w:pPr>
      <w:r>
        <w:rPr>
          <w:rFonts w:hint="eastAsia" w:ascii="黑体" w:hAnsi="黑体" w:eastAsia="黑体" w:cs="黑体"/>
          <w:b w:val="0"/>
          <w:bCs/>
          <w:color w:val="auto"/>
          <w:sz w:val="32"/>
          <w:szCs w:val="32"/>
          <w:lang w:val="zh-CN"/>
        </w:rPr>
        <w:t>第三部分2023年度部门决算情况说明</w:t>
      </w:r>
    </w:p>
    <w:p>
      <w:pPr>
        <w:spacing w:before="100" w:beforeLines="0" w:after="100" w:afterLines="0"/>
        <w:jc w:val="left"/>
        <w:rPr>
          <w:rFonts w:hint="eastAsia" w:ascii="黑体" w:hAnsi="黑体" w:eastAsia="黑体" w:cs="黑体"/>
          <w:b/>
          <w:bCs/>
          <w:color w:val="auto"/>
          <w:sz w:val="32"/>
          <w:szCs w:val="32"/>
          <w:lang w:val="zh-CN" w:eastAsia="zh-CN"/>
        </w:rPr>
      </w:pPr>
    </w:p>
    <w:p>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一、收入支出决算总体情况说明</w:t>
      </w:r>
    </w:p>
    <w:p>
      <w:pPr>
        <w:spacing w:before="100" w:beforeLines="0" w:after="100" w:afterLines="0"/>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2023年度收、支总计</w:t>
      </w:r>
      <w:r>
        <w:rPr>
          <w:rFonts w:hint="eastAsia" w:ascii="仿宋" w:hAnsi="仿宋" w:eastAsia="仿宋" w:cs="仿宋"/>
          <w:color w:val="auto"/>
          <w:sz w:val="32"/>
          <w:szCs w:val="32"/>
          <w:lang w:val="en-US"/>
        </w:rPr>
        <w:t>均为</w:t>
      </w:r>
      <w:r>
        <w:rPr>
          <w:rFonts w:hint="eastAsia" w:ascii="仿宋" w:hAnsi="仿宋" w:eastAsia="仿宋" w:cs="仿宋"/>
          <w:color w:val="auto"/>
          <w:sz w:val="32"/>
          <w:szCs w:val="32"/>
          <w:lang w:val="zh-CN"/>
        </w:rPr>
        <w:t>7636.03万元。</w:t>
      </w:r>
      <w:r>
        <w:rPr>
          <w:rFonts w:hint="eastAsia" w:ascii="仿宋" w:hAnsi="仿宋" w:eastAsia="仿宋" w:cs="仿宋"/>
          <w:color w:val="auto"/>
          <w:sz w:val="32"/>
          <w:szCs w:val="32"/>
          <w:lang w:val="en-US"/>
        </w:rPr>
        <w:t>与上年度相比,</w:t>
      </w:r>
      <w:r>
        <w:rPr>
          <w:rFonts w:hint="eastAsia" w:ascii="仿宋" w:hAnsi="仿宋" w:eastAsia="仿宋" w:cs="仿宋"/>
          <w:color w:val="auto"/>
          <w:sz w:val="32"/>
          <w:szCs w:val="32"/>
          <w:lang w:val="zh-CN"/>
        </w:rPr>
        <w:t>收、支</w:t>
      </w:r>
      <w:r>
        <w:rPr>
          <w:rFonts w:hint="eastAsia" w:ascii="仿宋" w:hAnsi="仿宋" w:eastAsia="仿宋" w:cs="仿宋"/>
          <w:color w:val="auto"/>
          <w:sz w:val="32"/>
          <w:szCs w:val="32"/>
          <w:lang w:val="en-US"/>
        </w:rPr>
        <w:t>总计各</w:t>
      </w:r>
      <w:r>
        <w:rPr>
          <w:rFonts w:hint="eastAsia" w:ascii="仿宋" w:hAnsi="仿宋" w:eastAsia="仿宋" w:cs="仿宋"/>
          <w:color w:val="auto"/>
          <w:sz w:val="32"/>
          <w:szCs w:val="32"/>
          <w:lang w:val="zh-CN"/>
        </w:rPr>
        <w:t>增加1060.45万元,增长16.13%,主要原因是</w:t>
      </w:r>
      <w:r>
        <w:rPr>
          <w:rFonts w:hint="eastAsia" w:ascii="仿宋" w:hAnsi="仿宋" w:eastAsia="仿宋" w:cs="仿宋"/>
          <w:color w:val="auto"/>
          <w:sz w:val="32"/>
          <w:szCs w:val="32"/>
          <w:highlight w:val="none"/>
          <w:lang w:val="en-US" w:eastAsia="zh-CN"/>
        </w:rPr>
        <w:t>2023年度财政拨款增加</w:t>
      </w:r>
      <w:r>
        <w:rPr>
          <w:rFonts w:hint="eastAsia" w:ascii="仿宋" w:hAnsi="仿宋" w:eastAsia="仿宋" w:cs="仿宋"/>
          <w:color w:val="auto"/>
          <w:kern w:val="0"/>
          <w:sz w:val="32"/>
          <w:szCs w:val="32"/>
          <w:lang w:eastAsia="zh-CN"/>
        </w:rPr>
        <w:t>。</w:t>
      </w:r>
      <w:r>
        <w:rPr>
          <w:rFonts w:hint="eastAsia" w:ascii="仿宋" w:hAnsi="仿宋" w:eastAsia="仿宋" w:cs="仿宋"/>
          <w:color w:val="auto"/>
          <w:sz w:val="32"/>
          <w:szCs w:val="32"/>
          <w:lang w:val="zh-CN"/>
        </w:rPr>
        <w:t>(本部分的收入总计包括收入合计、使用非财政拨款结余（含专用结余）、年初结转和结余,支出总计包括本年支出合计、结余分配、年末结转和结余。)</w:t>
      </w:r>
    </w:p>
    <w:p>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二、收入决算情况说明</w:t>
      </w:r>
    </w:p>
    <w:p>
      <w:pPr>
        <w:spacing w:before="100" w:beforeLines="0" w:after="100" w:afterLines="0"/>
        <w:ind w:firstLine="640" w:firstLineChars="200"/>
        <w:jc w:val="left"/>
        <w:rPr>
          <w:rFonts w:hint="eastAsia" w:ascii="仿宋" w:hAnsi="仿宋" w:eastAsia="仿宋" w:cs="仿宋"/>
          <w:color w:val="auto"/>
          <w:sz w:val="32"/>
          <w:szCs w:val="32"/>
          <w:lang w:val="zh-CN" w:eastAsia="zh-CN"/>
        </w:rPr>
      </w:pPr>
      <w:r>
        <w:rPr>
          <w:rFonts w:hint="eastAsia" w:ascii="仿宋" w:hAnsi="仿宋" w:eastAsia="仿宋" w:cs="仿宋"/>
          <w:color w:val="auto"/>
          <w:sz w:val="32"/>
          <w:szCs w:val="32"/>
          <w:lang w:val="zh-CN"/>
        </w:rPr>
        <w:t>2023年度收入合计6706.80万元,其中：财政拨款收入6226.08万元,占92.83%；</w:t>
      </w:r>
      <w:r>
        <w:rPr>
          <w:rFonts w:hint="eastAsia" w:ascii="仿宋" w:hAnsi="仿宋" w:eastAsia="仿宋" w:cs="仿宋"/>
          <w:color w:val="auto"/>
          <w:sz w:val="32"/>
          <w:szCs w:val="32"/>
          <w:lang w:val="en-US"/>
        </w:rPr>
        <w:t>其他</w:t>
      </w:r>
      <w:r>
        <w:rPr>
          <w:rFonts w:hint="eastAsia" w:ascii="仿宋" w:hAnsi="仿宋" w:eastAsia="仿宋" w:cs="仿宋"/>
          <w:color w:val="auto"/>
          <w:sz w:val="32"/>
          <w:szCs w:val="32"/>
          <w:lang w:val="zh-CN"/>
        </w:rPr>
        <w:t>收入480.73万元,占7.17%</w:t>
      </w:r>
      <w:r>
        <w:rPr>
          <w:rFonts w:hint="eastAsia" w:ascii="仿宋" w:hAnsi="仿宋" w:eastAsia="仿宋" w:cs="仿宋"/>
          <w:color w:val="auto"/>
          <w:sz w:val="32"/>
          <w:szCs w:val="32"/>
          <w:lang w:val="zh-CN" w:eastAsia="zh-CN"/>
        </w:rPr>
        <w:t>。</w:t>
      </w:r>
    </w:p>
    <w:p>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三、支出决算情况说明</w:t>
      </w:r>
    </w:p>
    <w:p>
      <w:pPr>
        <w:spacing w:before="100" w:beforeLines="0" w:after="100" w:afterLines="0"/>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2023年度支出合计6760.63万元,其中：基本支出3156.12万元,占46.68%；项目支出3604.51万元,占53.32%。</w:t>
      </w:r>
    </w:p>
    <w:p>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四、财政拨款收入支出决算总体情况说明</w:t>
      </w:r>
    </w:p>
    <w:p>
      <w:pPr>
        <w:wordWrap/>
        <w:adjustRightInd/>
        <w:snapToGrid/>
        <w:spacing w:before="100" w:beforeLines="0" w:after="100" w:afterLines="0" w:line="640" w:lineRule="exact"/>
        <w:ind w:left="0" w:leftChars="0" w:right="0"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zh-CN"/>
        </w:rPr>
        <w:t>2023年度财政拨款收、支总计</w:t>
      </w:r>
      <w:r>
        <w:rPr>
          <w:rFonts w:hint="eastAsia" w:ascii="仿宋" w:hAnsi="仿宋" w:eastAsia="仿宋" w:cs="仿宋"/>
          <w:color w:val="auto"/>
          <w:sz w:val="32"/>
          <w:szCs w:val="32"/>
          <w:lang w:val="en-US"/>
        </w:rPr>
        <w:t>均为</w:t>
      </w:r>
      <w:r>
        <w:rPr>
          <w:rFonts w:hint="eastAsia" w:ascii="仿宋" w:hAnsi="仿宋" w:eastAsia="仿宋" w:cs="仿宋"/>
          <w:color w:val="auto"/>
          <w:sz w:val="32"/>
          <w:szCs w:val="32"/>
          <w:lang w:val="zh-CN"/>
        </w:rPr>
        <w:t>7063.37万元。与</w:t>
      </w:r>
      <w:r>
        <w:rPr>
          <w:rFonts w:hint="eastAsia" w:ascii="仿宋" w:hAnsi="仿宋" w:eastAsia="仿宋" w:cs="仿宋"/>
          <w:color w:val="auto"/>
          <w:sz w:val="32"/>
          <w:szCs w:val="32"/>
          <w:lang w:val="en-US"/>
        </w:rPr>
        <w:t>上</w:t>
      </w:r>
      <w:r>
        <w:rPr>
          <w:rFonts w:hint="eastAsia" w:ascii="仿宋" w:hAnsi="仿宋" w:eastAsia="仿宋" w:cs="仿宋"/>
          <w:color w:val="auto"/>
          <w:sz w:val="32"/>
          <w:szCs w:val="32"/>
          <w:lang w:val="zh-CN"/>
        </w:rPr>
        <w:t>年相比,各增加2043.66万元,增长40.71%。主要原因是</w:t>
      </w:r>
      <w:r>
        <w:rPr>
          <w:rFonts w:hint="eastAsia" w:ascii="仿宋" w:hAnsi="仿宋" w:eastAsia="仿宋" w:cs="仿宋"/>
          <w:color w:val="auto"/>
          <w:sz w:val="32"/>
          <w:szCs w:val="32"/>
          <w:highlight w:val="none"/>
          <w:lang w:val="en-US" w:eastAsia="zh-CN"/>
        </w:rPr>
        <w:t>2023年度财政拨款增加、年初结转资金全部支出。</w:t>
      </w:r>
    </w:p>
    <w:p>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五、一般公共预算财政拨款支出决算情况说明</w:t>
      </w:r>
    </w:p>
    <w:p>
      <w:pPr>
        <w:spacing w:before="100" w:beforeLines="0" w:after="100" w:afterLines="0"/>
        <w:jc w:val="left"/>
        <w:rPr>
          <w:rFonts w:hint="eastAsia" w:ascii="楷体" w:hAnsi="楷体" w:eastAsia="楷体" w:cs="楷体"/>
          <w:b/>
          <w:bCs/>
          <w:color w:val="auto"/>
          <w:sz w:val="32"/>
          <w:szCs w:val="32"/>
          <w:lang w:val="zh-CN"/>
        </w:rPr>
      </w:pPr>
      <w:r>
        <w:rPr>
          <w:rFonts w:hint="eastAsia" w:ascii="楷体" w:hAnsi="楷体" w:eastAsia="楷体" w:cs="楷体"/>
          <w:b/>
          <w:bCs/>
          <w:color w:val="auto"/>
          <w:sz w:val="32"/>
          <w:szCs w:val="32"/>
          <w:lang w:val="zh-CN"/>
        </w:rPr>
        <w:t>（一）一般公共预算财政拨款支出决算总体情况</w:t>
      </w:r>
    </w:p>
    <w:p>
      <w:pPr>
        <w:wordWrap/>
        <w:adjustRightInd/>
        <w:snapToGrid/>
        <w:spacing w:before="100" w:beforeLines="0" w:after="100" w:afterLines="0" w:line="640" w:lineRule="exact"/>
        <w:ind w:left="0" w:leftChars="0" w:right="0" w:firstLine="640" w:firstLineChars="200"/>
        <w:jc w:val="left"/>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2023年度一般公共预算财政拨款支出6187.97万元,较上年决算数增加2001.76万元,增长47.82%。主要原因是</w:t>
      </w:r>
      <w:r>
        <w:rPr>
          <w:rFonts w:hint="eastAsia" w:ascii="仿宋" w:hAnsi="仿宋" w:eastAsia="仿宋" w:cs="仿宋"/>
          <w:color w:val="auto"/>
          <w:sz w:val="32"/>
          <w:szCs w:val="32"/>
          <w:highlight w:val="none"/>
          <w:lang w:val="en-US" w:eastAsia="zh-CN"/>
        </w:rPr>
        <w:t>2023年度财政拨款增加、年初结转资金全部支出。</w:t>
      </w:r>
    </w:p>
    <w:p>
      <w:pPr>
        <w:numPr>
          <w:ilvl w:val="0"/>
          <w:numId w:val="0"/>
        </w:numPr>
        <w:spacing w:before="100" w:beforeLines="0" w:after="100" w:afterLines="0"/>
        <w:jc w:val="left"/>
        <w:rPr>
          <w:rFonts w:hint="eastAsia" w:ascii="楷体" w:hAnsi="楷体" w:eastAsia="楷体" w:cs="楷体"/>
          <w:b/>
          <w:bCs/>
          <w:color w:val="auto"/>
          <w:sz w:val="32"/>
          <w:szCs w:val="32"/>
          <w:lang w:val="zh-CN"/>
        </w:rPr>
      </w:pPr>
      <w:r>
        <w:rPr>
          <w:rFonts w:hint="eastAsia" w:ascii="楷体" w:hAnsi="楷体" w:eastAsia="楷体" w:cs="楷体"/>
          <w:b/>
          <w:bCs/>
          <w:color w:val="auto"/>
          <w:sz w:val="32"/>
          <w:szCs w:val="32"/>
          <w:lang w:val="en-US" w:eastAsia="zh-CN"/>
        </w:rPr>
        <w:t xml:space="preserve">（二） </w:t>
      </w:r>
      <w:r>
        <w:rPr>
          <w:rFonts w:hint="eastAsia" w:ascii="楷体" w:hAnsi="楷体" w:eastAsia="楷体" w:cs="楷体"/>
          <w:b/>
          <w:bCs/>
          <w:color w:val="auto"/>
          <w:sz w:val="32"/>
          <w:szCs w:val="32"/>
          <w:lang w:val="zh-CN"/>
        </w:rPr>
        <w:t>一般公共预算财政拨款支出决算结构情况</w:t>
      </w:r>
    </w:p>
    <w:p>
      <w:pPr>
        <w:numPr>
          <w:ilvl w:val="0"/>
          <w:numId w:val="0"/>
        </w:numPr>
        <w:spacing w:before="100" w:beforeLines="0" w:after="100" w:afterLines="0"/>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2023年度一般公共预算财政拨款支出</w:t>
      </w:r>
      <w:r>
        <w:rPr>
          <w:rFonts w:hint="eastAsia" w:ascii="仿宋" w:hAnsi="仿宋" w:eastAsia="仿宋" w:cs="仿宋"/>
          <w:color w:val="auto"/>
          <w:sz w:val="32"/>
          <w:szCs w:val="32"/>
          <w:lang w:val="zh-CN"/>
        </w:rPr>
        <w:t>6187.97万元，主要用于以下方面：一般公共服务支出64.11万元,占1.04%；公共安全支出5697.56万元,占92.07%；社会保障和就业支出162.09万元,占2.62%；卫生健康支出104.43万元,占1.69%；住房保障支出159.78万元,占2.58%。</w:t>
      </w:r>
    </w:p>
    <w:p>
      <w:pPr>
        <w:numPr>
          <w:ilvl w:val="0"/>
          <w:numId w:val="0"/>
        </w:numPr>
        <w:spacing w:before="100" w:beforeLines="0" w:after="100" w:afterLines="0"/>
        <w:ind w:leftChars="0"/>
        <w:jc w:val="left"/>
        <w:rPr>
          <w:rFonts w:hint="eastAsia" w:ascii="楷体" w:hAnsi="楷体" w:eastAsia="楷体" w:cs="楷体"/>
          <w:b/>
          <w:bCs/>
          <w:color w:val="auto"/>
          <w:sz w:val="32"/>
          <w:szCs w:val="32"/>
          <w:lang w:val="zh-CN"/>
        </w:rPr>
      </w:pPr>
      <w:r>
        <w:rPr>
          <w:rFonts w:hint="eastAsia" w:ascii="楷体" w:hAnsi="楷体" w:eastAsia="楷体" w:cs="楷体"/>
          <w:b/>
          <w:bCs/>
          <w:color w:val="auto"/>
          <w:sz w:val="32"/>
          <w:szCs w:val="32"/>
          <w:lang w:val="zh-CN"/>
        </w:rPr>
        <w:t>（三）一般公共预算财政拨款支出决算具体情况。</w:t>
      </w:r>
    </w:p>
    <w:p>
      <w:pPr>
        <w:numPr>
          <w:ilvl w:val="0"/>
          <w:numId w:val="0"/>
        </w:numPr>
        <w:spacing w:before="100" w:beforeLines="0" w:after="100" w:afterLines="0"/>
        <w:ind w:leftChars="0"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2023年度一般公共预算财政拨款支出年初预算为</w:t>
      </w:r>
      <w:r>
        <w:rPr>
          <w:rFonts w:hint="eastAsia" w:ascii="仿宋" w:hAnsi="仿宋" w:eastAsia="仿宋" w:cs="仿宋"/>
          <w:color w:val="auto"/>
          <w:sz w:val="32"/>
          <w:szCs w:val="32"/>
          <w:lang w:val="zh-CN"/>
        </w:rPr>
        <w:t>5847.01万元,支出决算为6187.97万元,完成年初预算的105.83%。其中：</w:t>
      </w:r>
    </w:p>
    <w:p>
      <w:pPr>
        <w:wordWrap/>
        <w:adjustRightInd/>
        <w:snapToGrid/>
        <w:spacing w:before="100" w:beforeLines="0" w:after="100" w:afterLines="0" w:line="640" w:lineRule="exact"/>
        <w:ind w:left="0" w:leftChars="0" w:right="0" w:firstLine="643" w:firstLineChars="200"/>
        <w:jc w:val="left"/>
        <w:textAlignment w:val="auto"/>
        <w:outlineLvl w:val="9"/>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en-US" w:eastAsia="zh-CN"/>
        </w:rPr>
        <w:t>1.</w:t>
      </w:r>
      <w:r>
        <w:rPr>
          <w:rFonts w:hint="eastAsia" w:ascii="仿宋" w:hAnsi="仿宋" w:eastAsia="仿宋" w:cs="仿宋"/>
          <w:b/>
          <w:color w:val="auto"/>
          <w:sz w:val="32"/>
          <w:szCs w:val="32"/>
          <w:lang w:val="zh-CN"/>
        </w:rPr>
        <w:t>一般公共服务支出</w:t>
      </w:r>
      <w:r>
        <w:rPr>
          <w:rFonts w:hint="eastAsia" w:ascii="仿宋" w:hAnsi="仿宋" w:eastAsia="仿宋" w:cs="仿宋"/>
          <w:color w:val="auto"/>
          <w:sz w:val="32"/>
          <w:szCs w:val="32"/>
          <w:lang w:val="zh-CN"/>
        </w:rPr>
        <w:t>年初预算数为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lang w:val="zh-CN"/>
        </w:rPr>
        <w:t>万元,支出决算为64.11万元,完成年初预算的%,决算数大于预算数的主要原因是年中追加了国家赔偿金预算</w:t>
      </w:r>
      <w:r>
        <w:rPr>
          <w:rFonts w:hint="eastAsia" w:ascii="仿宋" w:hAnsi="仿宋" w:eastAsia="仿宋" w:cs="仿宋"/>
          <w:color w:val="auto"/>
          <w:sz w:val="32"/>
          <w:szCs w:val="32"/>
          <w:lang w:val="en-US" w:eastAsia="zh-CN"/>
        </w:rPr>
        <w:t>64.11万元，因此决算数大于预算数</w:t>
      </w:r>
      <w:r>
        <w:rPr>
          <w:rFonts w:hint="eastAsia" w:ascii="仿宋" w:hAnsi="仿宋" w:eastAsia="仿宋" w:cs="仿宋"/>
          <w:color w:val="auto"/>
          <w:sz w:val="32"/>
          <w:szCs w:val="32"/>
          <w:lang w:val="zh-CN"/>
        </w:rPr>
        <w:t>。</w:t>
      </w:r>
    </w:p>
    <w:p>
      <w:pPr>
        <w:wordWrap/>
        <w:adjustRightInd/>
        <w:snapToGrid/>
        <w:spacing w:before="100" w:beforeLines="0" w:after="100" w:afterLines="0" w:line="640" w:lineRule="exact"/>
        <w:ind w:right="0" w:firstLine="643" w:firstLineChars="200"/>
        <w:jc w:val="left"/>
        <w:textAlignment w:val="auto"/>
        <w:outlineLvl w:val="9"/>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en-US" w:eastAsia="zh-CN"/>
        </w:rPr>
        <w:t>2</w:t>
      </w:r>
      <w:r>
        <w:rPr>
          <w:rFonts w:hint="eastAsia" w:ascii="仿宋" w:hAnsi="仿宋" w:eastAsia="仿宋" w:cs="仿宋"/>
          <w:b/>
          <w:color w:val="auto"/>
          <w:sz w:val="32"/>
          <w:szCs w:val="32"/>
          <w:lang w:val="zh-CN"/>
        </w:rPr>
        <w:t>．公共安全支出</w:t>
      </w:r>
      <w:r>
        <w:rPr>
          <w:rFonts w:hint="eastAsia" w:ascii="仿宋" w:hAnsi="仿宋" w:eastAsia="仿宋" w:cs="仿宋"/>
          <w:color w:val="auto"/>
          <w:sz w:val="32"/>
          <w:szCs w:val="32"/>
          <w:lang w:val="zh-CN"/>
        </w:rPr>
        <w:t>年初预算数为5225.34万元,支出决算为5697.56万元,完成年初预算的109.04%,决算数大于预算数的主要原因是年初结转资金全部支出。</w:t>
      </w:r>
    </w:p>
    <w:p>
      <w:pPr>
        <w:spacing w:before="100" w:beforeLines="0" w:after="100" w:afterLines="0"/>
        <w:ind w:firstLine="643" w:firstLineChars="200"/>
        <w:jc w:val="left"/>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en-US" w:eastAsia="zh-CN"/>
        </w:rPr>
        <w:t>3</w:t>
      </w:r>
      <w:r>
        <w:rPr>
          <w:rFonts w:hint="eastAsia" w:ascii="仿宋" w:hAnsi="仿宋" w:eastAsia="仿宋" w:cs="仿宋"/>
          <w:b/>
          <w:color w:val="auto"/>
          <w:sz w:val="32"/>
          <w:szCs w:val="32"/>
          <w:lang w:val="zh-CN"/>
        </w:rPr>
        <w:t>．社会保障和就业支出</w:t>
      </w:r>
      <w:r>
        <w:rPr>
          <w:rFonts w:hint="eastAsia" w:ascii="仿宋" w:hAnsi="仿宋" w:eastAsia="仿宋" w:cs="仿宋"/>
          <w:color w:val="auto"/>
          <w:sz w:val="32"/>
          <w:szCs w:val="32"/>
          <w:lang w:val="zh-CN"/>
        </w:rPr>
        <w:t>年初预算数为231.65万元,支出决算为162.09万元,完成年初预算的69.97%,决算数小于预算数的主要原因是</w:t>
      </w:r>
      <w:r>
        <w:rPr>
          <w:rFonts w:hint="eastAsia" w:ascii="仿宋" w:hAnsi="仿宋" w:eastAsia="仿宋" w:cs="仿宋"/>
          <w:color w:val="auto"/>
          <w:sz w:val="32"/>
          <w:szCs w:val="32"/>
          <w:lang w:val="en-US" w:eastAsia="zh-CN"/>
        </w:rPr>
        <w:t>人员退休</w:t>
      </w:r>
      <w:r>
        <w:rPr>
          <w:rFonts w:hint="eastAsia" w:ascii="仿宋" w:hAnsi="仿宋" w:eastAsia="仿宋" w:cs="仿宋"/>
          <w:color w:val="auto"/>
          <w:sz w:val="32"/>
          <w:szCs w:val="32"/>
          <w:lang w:val="zh-CN"/>
        </w:rPr>
        <w:t>导致社保缴费减少。</w:t>
      </w:r>
    </w:p>
    <w:p>
      <w:pPr>
        <w:spacing w:before="100" w:beforeLines="0" w:after="100" w:afterLines="0"/>
        <w:ind w:firstLine="643" w:firstLineChars="200"/>
        <w:jc w:val="left"/>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en-US" w:eastAsia="zh-CN"/>
        </w:rPr>
        <w:t>4</w:t>
      </w:r>
      <w:r>
        <w:rPr>
          <w:rFonts w:hint="eastAsia" w:ascii="仿宋" w:hAnsi="仿宋" w:eastAsia="仿宋" w:cs="仿宋"/>
          <w:b/>
          <w:color w:val="auto"/>
          <w:sz w:val="32"/>
          <w:szCs w:val="32"/>
          <w:lang w:val="zh-CN"/>
        </w:rPr>
        <w:t>．卫生健康支出</w:t>
      </w:r>
      <w:r>
        <w:rPr>
          <w:rFonts w:hint="eastAsia" w:ascii="仿宋" w:hAnsi="仿宋" w:eastAsia="仿宋" w:cs="仿宋"/>
          <w:color w:val="auto"/>
          <w:sz w:val="32"/>
          <w:szCs w:val="32"/>
          <w:lang w:val="zh-CN"/>
        </w:rPr>
        <w:t>年初预算数为159.29万元,支出决算为104.43万元,完成年初预算的65.56%,决算数小于预算数的主要原因是</w:t>
      </w:r>
      <w:r>
        <w:rPr>
          <w:rFonts w:hint="eastAsia" w:ascii="仿宋" w:hAnsi="仿宋" w:eastAsia="仿宋" w:cs="仿宋"/>
          <w:color w:val="auto"/>
          <w:sz w:val="32"/>
          <w:szCs w:val="32"/>
          <w:lang w:val="en-US" w:eastAsia="zh-CN"/>
        </w:rPr>
        <w:t>人员退休</w:t>
      </w:r>
      <w:r>
        <w:rPr>
          <w:rFonts w:hint="eastAsia" w:ascii="仿宋" w:hAnsi="仿宋" w:eastAsia="仿宋" w:cs="仿宋"/>
          <w:color w:val="auto"/>
          <w:sz w:val="32"/>
          <w:szCs w:val="32"/>
          <w:lang w:val="zh-CN"/>
        </w:rPr>
        <w:t>导致社保缴费减少。</w:t>
      </w:r>
    </w:p>
    <w:p>
      <w:pPr>
        <w:spacing w:before="100" w:beforeLines="0" w:after="100" w:afterLines="0"/>
        <w:ind w:firstLine="643" w:firstLineChars="200"/>
        <w:jc w:val="left"/>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en-US" w:eastAsia="zh-CN"/>
        </w:rPr>
        <w:t>5</w:t>
      </w:r>
      <w:r>
        <w:rPr>
          <w:rFonts w:hint="eastAsia" w:ascii="仿宋" w:hAnsi="仿宋" w:eastAsia="仿宋" w:cs="仿宋"/>
          <w:b/>
          <w:color w:val="auto"/>
          <w:sz w:val="32"/>
          <w:szCs w:val="32"/>
          <w:lang w:val="zh-CN"/>
        </w:rPr>
        <w:t>．住房保障支出</w:t>
      </w:r>
      <w:r>
        <w:rPr>
          <w:rFonts w:hint="eastAsia" w:ascii="仿宋" w:hAnsi="仿宋" w:eastAsia="仿宋" w:cs="仿宋"/>
          <w:color w:val="auto"/>
          <w:sz w:val="32"/>
          <w:szCs w:val="32"/>
          <w:lang w:val="zh-CN"/>
        </w:rPr>
        <w:t>年初预算数为230.73万元,支出决算为159.78万元,完成年初预算的69.25%,决算数小于预算数的主要原因是</w:t>
      </w:r>
      <w:r>
        <w:rPr>
          <w:rFonts w:hint="eastAsia" w:ascii="仿宋" w:hAnsi="仿宋" w:eastAsia="仿宋" w:cs="仿宋"/>
          <w:color w:val="auto"/>
          <w:sz w:val="32"/>
          <w:szCs w:val="32"/>
          <w:lang w:val="zh-CN" w:eastAsia="zh-CN"/>
        </w:rPr>
        <w:t>人员退休</w:t>
      </w:r>
      <w:r>
        <w:rPr>
          <w:rFonts w:hint="eastAsia" w:ascii="仿宋" w:hAnsi="仿宋" w:eastAsia="仿宋" w:cs="仿宋"/>
          <w:color w:val="auto"/>
          <w:sz w:val="32"/>
          <w:szCs w:val="32"/>
          <w:lang w:val="zh-CN"/>
        </w:rPr>
        <w:t>导致住房公积金缴费减少。</w:t>
      </w:r>
    </w:p>
    <w:p>
      <w:pPr>
        <w:spacing w:before="100" w:beforeLines="0" w:after="100" w:afterLines="0"/>
        <w:jc w:val="left"/>
        <w:rPr>
          <w:rFonts w:hint="eastAsia" w:ascii="仿宋" w:hAnsi="仿宋" w:eastAsia="仿宋" w:cs="仿宋"/>
          <w:b w:val="0"/>
          <w:bCs w:val="0"/>
          <w:color w:val="auto"/>
          <w:sz w:val="32"/>
          <w:szCs w:val="32"/>
          <w:lang w:val="zh-CN" w:eastAsia="zh-CN"/>
        </w:rPr>
      </w:pPr>
      <w:r>
        <w:rPr>
          <w:rFonts w:hint="eastAsia" w:ascii="黑体" w:hAnsi="黑体" w:eastAsia="黑体" w:cs="黑体"/>
          <w:b w:val="0"/>
          <w:bCs w:val="0"/>
          <w:color w:val="auto"/>
          <w:sz w:val="32"/>
          <w:szCs w:val="32"/>
          <w:lang w:val="zh-CN" w:eastAsia="zh-CN"/>
        </w:rPr>
        <w:t>六、一般公共预算财政拨款基本支出决算情况说明</w:t>
      </w:r>
    </w:p>
    <w:p>
      <w:pPr>
        <w:spacing w:before="100" w:beforeLines="0" w:after="100" w:afterLines="0"/>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2023年度一般公共预算财政拨款基本支出2706.57万元。其中：</w:t>
      </w:r>
    </w:p>
    <w:p>
      <w:pPr>
        <w:widowControl/>
        <w:wordWrap/>
        <w:adjustRightInd/>
        <w:snapToGrid/>
        <w:spacing w:before="100" w:beforeLines="0" w:after="100" w:afterLines="0" w:line="640" w:lineRule="exact"/>
        <w:ind w:right="0" w:firstLine="643" w:firstLineChars="200"/>
        <w:jc w:val="left"/>
        <w:textAlignment w:val="auto"/>
        <w:outlineLvl w:val="9"/>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人员经费</w:t>
      </w:r>
      <w:r>
        <w:rPr>
          <w:rFonts w:hint="eastAsia" w:ascii="仿宋" w:hAnsi="仿宋" w:eastAsia="仿宋" w:cs="仿宋"/>
          <w:color w:val="auto"/>
          <w:sz w:val="32"/>
          <w:szCs w:val="32"/>
          <w:lang w:val="zh-CN"/>
        </w:rPr>
        <w:t>2342.84万元,较上年决算数减少105.31万元,下降4.3%,主要原因是人员退休相应的经费支出减少</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zh-CN"/>
        </w:rPr>
        <w:t>人员经费用途主要包括基本工资、津贴补贴、奖金、绩效工资、社会保障缴费、基本医疗保险、公务员医疗补助、住房公积金及其他工资福利支出、对个人和家庭补助支出等项目。</w:t>
      </w:r>
    </w:p>
    <w:p>
      <w:pPr>
        <w:spacing w:before="100" w:beforeLines="0" w:after="100" w:afterLines="0"/>
        <w:ind w:firstLine="643" w:firstLineChars="200"/>
        <w:jc w:val="left"/>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公用经费</w:t>
      </w:r>
      <w:r>
        <w:rPr>
          <w:rFonts w:hint="eastAsia" w:ascii="仿宋" w:hAnsi="仿宋" w:eastAsia="仿宋" w:cs="仿宋"/>
          <w:color w:val="auto"/>
          <w:sz w:val="32"/>
          <w:szCs w:val="32"/>
          <w:lang w:val="zh-CN"/>
        </w:rPr>
        <w:t>363.73万元,较上年决算数增加10.03万元,增长2.84%,主要原因是招录</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val="zh-CN"/>
        </w:rPr>
        <w:t>名公务员和1名选调生，2023年度预算人员数量与2022年相比，呈现增长趋势。公用经费用途主要包括</w:t>
      </w:r>
      <w:r>
        <w:rPr>
          <w:rFonts w:hint="eastAsia" w:ascii="仿宋" w:hAnsi="仿宋" w:eastAsia="仿宋" w:cs="仿宋"/>
          <w:color w:val="auto"/>
          <w:sz w:val="32"/>
          <w:szCs w:val="32"/>
          <w:lang w:val="en-US" w:eastAsia="zh-CN"/>
        </w:rPr>
        <w:t>办公费、印刷费、电费、水费、邮电费、取暖费、</w:t>
      </w:r>
      <w:r>
        <w:rPr>
          <w:rFonts w:hint="eastAsia" w:ascii="仿宋" w:hAnsi="仿宋" w:eastAsia="仿宋" w:cs="仿宋"/>
          <w:color w:val="auto"/>
          <w:sz w:val="32"/>
          <w:szCs w:val="32"/>
          <w:lang w:val="zh-CN"/>
        </w:rPr>
        <w:t>培训费、工会经费、公务接待费、</w:t>
      </w:r>
      <w:r>
        <w:rPr>
          <w:rFonts w:hint="eastAsia" w:ascii="仿宋" w:hAnsi="仿宋" w:eastAsia="仿宋" w:cs="仿宋"/>
          <w:color w:val="auto"/>
          <w:sz w:val="32"/>
          <w:szCs w:val="32"/>
          <w:lang w:val="zh-CN" w:eastAsia="zh-CN"/>
        </w:rPr>
        <w:t>公车</w:t>
      </w:r>
      <w:r>
        <w:rPr>
          <w:rFonts w:hint="eastAsia" w:ascii="仿宋" w:hAnsi="仿宋" w:eastAsia="仿宋" w:cs="仿宋"/>
          <w:color w:val="auto"/>
          <w:sz w:val="32"/>
          <w:szCs w:val="32"/>
          <w:lang w:val="zh-CN"/>
        </w:rPr>
        <w:t>运行维护费</w:t>
      </w:r>
      <w:r>
        <w:rPr>
          <w:rFonts w:hint="eastAsia" w:ascii="仿宋" w:hAnsi="仿宋" w:eastAsia="仿宋" w:cs="仿宋"/>
          <w:color w:val="auto"/>
          <w:sz w:val="32"/>
          <w:szCs w:val="32"/>
          <w:lang w:val="en-US" w:eastAsia="zh-CN"/>
        </w:rPr>
        <w:t>、差旅费等。</w:t>
      </w:r>
    </w:p>
    <w:p>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七、政府性基金预算财政拨款收支决算情况说明</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本部门2023年度无政府性基金收入,也没有使用政府性基金安排的支出。</w:t>
      </w:r>
    </w:p>
    <w:p>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八、国有资本经营预算财政拨款支出情况说明</w:t>
      </w:r>
    </w:p>
    <w:p>
      <w:pPr>
        <w:spacing w:before="100" w:beforeLines="0" w:after="100" w:afterLines="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本部门2023年度没有使用国有资本经营预算安排的支出。</w:t>
      </w:r>
    </w:p>
    <w:p>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en-US" w:eastAsia="zh-CN"/>
        </w:rPr>
        <w:t>九</w:t>
      </w:r>
      <w:r>
        <w:rPr>
          <w:rFonts w:hint="eastAsia" w:ascii="黑体" w:hAnsi="黑体" w:eastAsia="黑体" w:cs="黑体"/>
          <w:b w:val="0"/>
          <w:bCs w:val="0"/>
          <w:color w:val="auto"/>
          <w:sz w:val="32"/>
          <w:szCs w:val="32"/>
          <w:lang w:val="zh-CN" w:eastAsia="zh-CN"/>
        </w:rPr>
        <w:t>、财政拨款“三公”经费支出决算情况说明</w:t>
      </w:r>
    </w:p>
    <w:p>
      <w:pPr>
        <w:spacing w:before="100" w:beforeLines="0" w:after="100" w:afterLines="0"/>
        <w:jc w:val="left"/>
        <w:rPr>
          <w:rFonts w:hint="eastAsia" w:ascii="楷体" w:hAnsi="楷体" w:eastAsia="楷体" w:cs="楷体"/>
          <w:color w:val="auto"/>
          <w:sz w:val="32"/>
          <w:szCs w:val="32"/>
          <w:lang w:val="zh-CN"/>
        </w:rPr>
      </w:pPr>
      <w:r>
        <w:rPr>
          <w:rFonts w:hint="eastAsia" w:ascii="楷体" w:hAnsi="楷体" w:eastAsia="楷体" w:cs="楷体"/>
          <w:b/>
          <w:color w:val="auto"/>
          <w:sz w:val="32"/>
          <w:szCs w:val="32"/>
          <w:lang w:val="zh-CN"/>
        </w:rPr>
        <w:t>(一)“三公”经费财政拨款支出总体情况说明</w:t>
      </w:r>
    </w:p>
    <w:p>
      <w:pPr>
        <w:spacing w:before="100" w:beforeLines="0" w:after="100" w:afterLines="0"/>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2023年度“三公”经费支出</w:t>
      </w:r>
      <w:r>
        <w:rPr>
          <w:rFonts w:hint="eastAsia" w:ascii="仿宋" w:hAnsi="仿宋" w:eastAsia="仿宋" w:cs="仿宋"/>
          <w:color w:val="auto"/>
          <w:sz w:val="32"/>
          <w:szCs w:val="32"/>
          <w:lang w:val="en-US"/>
        </w:rPr>
        <w:t>全年</w:t>
      </w:r>
      <w:r>
        <w:rPr>
          <w:rFonts w:hint="eastAsia" w:ascii="仿宋" w:hAnsi="仿宋" w:eastAsia="仿宋" w:cs="仿宋"/>
          <w:color w:val="auto"/>
          <w:sz w:val="32"/>
          <w:szCs w:val="32"/>
          <w:lang w:val="zh-CN"/>
        </w:rPr>
        <w:t>预算数为30.35万元,支出决算为26.33万元,决算数小于预算数的主要原因是我院严格控制三公经费支出事项。</w:t>
      </w:r>
      <w:r>
        <w:rPr>
          <w:rFonts w:hint="eastAsia" w:ascii="仿宋" w:hAnsi="仿宋" w:eastAsia="仿宋" w:cs="仿宋"/>
          <w:color w:val="auto"/>
          <w:sz w:val="32"/>
          <w:szCs w:val="32"/>
          <w:lang w:val="en-US"/>
        </w:rPr>
        <w:t>较上年决算数</w:t>
      </w:r>
      <w:r>
        <w:rPr>
          <w:rFonts w:hint="eastAsia" w:ascii="仿宋" w:hAnsi="仿宋" w:eastAsia="仿宋" w:cs="仿宋"/>
          <w:color w:val="auto"/>
          <w:sz w:val="32"/>
          <w:szCs w:val="32"/>
          <w:lang w:val="en-US" w:eastAsia="zh-CN"/>
        </w:rPr>
        <w:t>减少21.6</w:t>
      </w:r>
      <w:r>
        <w:rPr>
          <w:rFonts w:hint="eastAsia" w:ascii="仿宋" w:hAnsi="仿宋" w:eastAsia="仿宋" w:cs="仿宋"/>
          <w:color w:val="auto"/>
          <w:sz w:val="32"/>
          <w:szCs w:val="32"/>
          <w:lang w:val="zh-CN"/>
        </w:rPr>
        <w:t>万元</w:t>
      </w:r>
      <w:r>
        <w:rPr>
          <w:rFonts w:hint="eastAsia" w:ascii="仿宋" w:hAnsi="仿宋" w:eastAsia="仿宋" w:cs="仿宋"/>
          <w:color w:val="auto"/>
          <w:sz w:val="32"/>
          <w:szCs w:val="32"/>
          <w:lang w:val="en-US"/>
        </w:rPr>
        <w:t>,</w:t>
      </w:r>
      <w:r>
        <w:rPr>
          <w:rFonts w:hint="eastAsia" w:ascii="仿宋" w:hAnsi="仿宋" w:eastAsia="仿宋" w:cs="仿宋"/>
          <w:color w:val="auto"/>
          <w:sz w:val="32"/>
          <w:szCs w:val="32"/>
          <w:lang w:val="en-US" w:eastAsia="zh-CN"/>
        </w:rPr>
        <w:t>下降45.06</w:t>
      </w: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en-US"/>
        </w:rPr>
        <w:t>,主要原因是</w:t>
      </w:r>
      <w:r>
        <w:rPr>
          <w:rFonts w:hint="eastAsia" w:ascii="仿宋" w:hAnsi="仿宋" w:eastAsia="仿宋" w:cs="仿宋"/>
          <w:color w:val="auto"/>
          <w:sz w:val="32"/>
          <w:szCs w:val="32"/>
          <w:lang w:val="en-US" w:eastAsia="zh-CN"/>
        </w:rPr>
        <w:t>2022年我院更新购置了1辆执法执勤车，2023年无更新购置车辆</w:t>
      </w:r>
      <w:r>
        <w:rPr>
          <w:rFonts w:hint="eastAsia" w:ascii="仿宋" w:hAnsi="仿宋" w:eastAsia="仿宋" w:cs="仿宋"/>
          <w:color w:val="auto"/>
          <w:sz w:val="32"/>
          <w:szCs w:val="32"/>
          <w:lang w:val="zh-CN"/>
        </w:rPr>
        <w:t>。</w:t>
      </w:r>
    </w:p>
    <w:p>
      <w:pPr>
        <w:numPr>
          <w:ilvl w:val="0"/>
          <w:numId w:val="2"/>
        </w:numPr>
        <w:spacing w:before="100" w:beforeLines="0" w:after="100" w:afterLines="0"/>
        <w:jc w:val="left"/>
        <w:rPr>
          <w:rFonts w:hint="eastAsia" w:ascii="楷体" w:hAnsi="楷体" w:eastAsia="楷体" w:cs="楷体"/>
          <w:b/>
          <w:color w:val="auto"/>
          <w:sz w:val="32"/>
          <w:szCs w:val="32"/>
          <w:lang w:val="zh-CN"/>
        </w:rPr>
      </w:pPr>
      <w:r>
        <w:rPr>
          <w:rFonts w:hint="eastAsia" w:ascii="楷体" w:hAnsi="楷体" w:eastAsia="楷体" w:cs="楷体"/>
          <w:b/>
          <w:color w:val="auto"/>
          <w:sz w:val="32"/>
          <w:szCs w:val="32"/>
          <w:lang w:val="zh-CN"/>
        </w:rPr>
        <w:t>“三公”经费财政拨款支出决算具体情况说明</w:t>
      </w:r>
    </w:p>
    <w:p>
      <w:pPr>
        <w:spacing w:before="100" w:beforeLines="0" w:after="100" w:afterLines="0"/>
        <w:ind w:firstLine="643" w:firstLineChars="200"/>
        <w:jc w:val="left"/>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1.因公出国(境)费用</w:t>
      </w:r>
      <w:r>
        <w:rPr>
          <w:rFonts w:hint="eastAsia" w:ascii="仿宋" w:hAnsi="仿宋" w:eastAsia="仿宋" w:cs="仿宋"/>
          <w:color w:val="auto"/>
          <w:sz w:val="32"/>
          <w:szCs w:val="32"/>
          <w:lang w:val="en-US"/>
        </w:rPr>
        <w:t>全年</w:t>
      </w:r>
      <w:r>
        <w:rPr>
          <w:rFonts w:hint="eastAsia" w:ascii="仿宋" w:hAnsi="仿宋" w:eastAsia="仿宋" w:cs="仿宋"/>
          <w:color w:val="auto"/>
          <w:sz w:val="32"/>
          <w:szCs w:val="32"/>
          <w:lang w:val="zh-CN"/>
        </w:rPr>
        <w:t>预算数为0.00万元,支出决算为0.00万元,决算数小于预算数的主要原因是我院无出国计划,</w:t>
      </w:r>
      <w:r>
        <w:rPr>
          <w:rFonts w:hint="eastAsia" w:ascii="仿宋" w:hAnsi="仿宋" w:eastAsia="仿宋" w:cs="仿宋"/>
          <w:color w:val="auto"/>
          <w:sz w:val="32"/>
          <w:szCs w:val="32"/>
          <w:lang w:val="en-US"/>
        </w:rPr>
        <w:t>较上年决算数</w:t>
      </w:r>
      <w:r>
        <w:rPr>
          <w:rFonts w:hint="eastAsia" w:ascii="仿宋" w:hAnsi="仿宋" w:eastAsia="仿宋" w:cs="仿宋"/>
          <w:color w:val="auto"/>
          <w:sz w:val="32"/>
          <w:szCs w:val="32"/>
          <w:lang w:val="en-US" w:eastAsia="zh-CN"/>
        </w:rPr>
        <w:t>减少0.0</w:t>
      </w:r>
      <w:r>
        <w:rPr>
          <w:rFonts w:hint="eastAsia" w:ascii="仿宋" w:hAnsi="仿宋" w:eastAsia="仿宋" w:cs="仿宋"/>
          <w:color w:val="auto"/>
          <w:sz w:val="32"/>
          <w:szCs w:val="32"/>
          <w:lang w:val="zh-CN"/>
        </w:rPr>
        <w:t>万元</w:t>
      </w:r>
      <w:r>
        <w:rPr>
          <w:rFonts w:hint="eastAsia" w:ascii="仿宋" w:hAnsi="仿宋" w:eastAsia="仿宋" w:cs="仿宋"/>
          <w:color w:val="auto"/>
          <w:sz w:val="32"/>
          <w:szCs w:val="32"/>
          <w:lang w:val="en-US"/>
        </w:rPr>
        <w:t>,</w:t>
      </w:r>
      <w:r>
        <w:rPr>
          <w:rFonts w:hint="eastAsia" w:ascii="仿宋" w:hAnsi="仿宋" w:eastAsia="仿宋" w:cs="仿宋"/>
          <w:color w:val="auto"/>
          <w:sz w:val="32"/>
          <w:szCs w:val="32"/>
          <w:lang w:val="en-US" w:eastAsia="zh-CN"/>
        </w:rPr>
        <w:t>下降</w:t>
      </w: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en-US"/>
        </w:rPr>
        <w:t>,主要原因是</w:t>
      </w:r>
      <w:r>
        <w:rPr>
          <w:rFonts w:hint="eastAsia" w:ascii="仿宋" w:hAnsi="仿宋" w:eastAsia="仿宋" w:cs="仿宋"/>
          <w:color w:val="auto"/>
          <w:sz w:val="32"/>
          <w:szCs w:val="32"/>
          <w:lang w:val="zh-CN"/>
        </w:rPr>
        <w:t>我院无出国计划。</w:t>
      </w:r>
    </w:p>
    <w:p>
      <w:pPr>
        <w:spacing w:before="100" w:beforeLines="0" w:after="100" w:afterLines="0"/>
        <w:ind w:firstLine="643" w:firstLineChars="200"/>
        <w:jc w:val="left"/>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2.公务用车购置及运行维护费</w:t>
      </w:r>
      <w:r>
        <w:rPr>
          <w:rFonts w:hint="eastAsia" w:ascii="仿宋" w:hAnsi="仿宋" w:eastAsia="仿宋" w:cs="仿宋"/>
          <w:color w:val="auto"/>
          <w:sz w:val="32"/>
          <w:szCs w:val="32"/>
          <w:lang w:val="en-US"/>
        </w:rPr>
        <w:t>全年</w:t>
      </w:r>
      <w:r>
        <w:rPr>
          <w:rFonts w:hint="eastAsia" w:ascii="仿宋" w:hAnsi="仿宋" w:eastAsia="仿宋" w:cs="仿宋"/>
          <w:color w:val="auto"/>
          <w:sz w:val="32"/>
          <w:szCs w:val="32"/>
          <w:lang w:val="zh-CN"/>
        </w:rPr>
        <w:t>预算数为24.20万元,支出决算为24.04万元,决算数小于预算数的主要原因是我院严格控制公车运行事项,</w:t>
      </w:r>
      <w:r>
        <w:rPr>
          <w:rFonts w:hint="eastAsia" w:ascii="仿宋" w:hAnsi="仿宋" w:eastAsia="仿宋" w:cs="仿宋"/>
          <w:color w:val="auto"/>
          <w:sz w:val="32"/>
          <w:szCs w:val="32"/>
          <w:lang w:val="en-US"/>
        </w:rPr>
        <w:t>较上年决算数</w:t>
      </w:r>
      <w:r>
        <w:rPr>
          <w:rFonts w:hint="eastAsia" w:ascii="仿宋" w:hAnsi="仿宋" w:eastAsia="仿宋" w:cs="仿宋"/>
          <w:color w:val="auto"/>
          <w:sz w:val="32"/>
          <w:szCs w:val="32"/>
          <w:lang w:val="en-US" w:eastAsia="zh-CN"/>
        </w:rPr>
        <w:t>减少20.14</w:t>
      </w:r>
      <w:r>
        <w:rPr>
          <w:rFonts w:hint="eastAsia" w:ascii="仿宋" w:hAnsi="仿宋" w:eastAsia="仿宋" w:cs="仿宋"/>
          <w:color w:val="auto"/>
          <w:sz w:val="32"/>
          <w:szCs w:val="32"/>
          <w:lang w:val="zh-CN"/>
        </w:rPr>
        <w:t>万元</w:t>
      </w:r>
      <w:r>
        <w:rPr>
          <w:rFonts w:hint="eastAsia" w:ascii="仿宋" w:hAnsi="仿宋" w:eastAsia="仿宋" w:cs="仿宋"/>
          <w:color w:val="auto"/>
          <w:sz w:val="32"/>
          <w:szCs w:val="32"/>
          <w:lang w:val="en-US"/>
        </w:rPr>
        <w:t>,</w:t>
      </w:r>
      <w:r>
        <w:rPr>
          <w:rFonts w:hint="eastAsia" w:ascii="仿宋" w:hAnsi="仿宋" w:eastAsia="仿宋" w:cs="仿宋"/>
          <w:color w:val="auto"/>
          <w:sz w:val="32"/>
          <w:szCs w:val="32"/>
          <w:lang w:val="en-US" w:eastAsia="zh-CN"/>
        </w:rPr>
        <w:t>下降45.58</w:t>
      </w: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en-US"/>
        </w:rPr>
        <w:t>,主要原因是</w:t>
      </w:r>
      <w:r>
        <w:rPr>
          <w:rFonts w:hint="eastAsia" w:ascii="仿宋" w:hAnsi="仿宋" w:eastAsia="仿宋" w:cs="仿宋"/>
          <w:color w:val="auto"/>
          <w:sz w:val="32"/>
          <w:szCs w:val="32"/>
          <w:lang w:val="en-US" w:eastAsia="zh-CN"/>
        </w:rPr>
        <w:t>2022年我院更新购置了1辆执法执勤车，2023年无更新购置车辆</w:t>
      </w:r>
      <w:r>
        <w:rPr>
          <w:rFonts w:hint="eastAsia" w:ascii="仿宋" w:hAnsi="仿宋" w:eastAsia="仿宋" w:cs="仿宋"/>
          <w:color w:val="auto"/>
          <w:sz w:val="32"/>
          <w:szCs w:val="32"/>
          <w:lang w:val="zh-CN"/>
        </w:rPr>
        <w:t>。</w:t>
      </w:r>
    </w:p>
    <w:p>
      <w:pPr>
        <w:spacing w:before="100" w:beforeLines="0" w:after="100" w:afterLines="0"/>
        <w:ind w:firstLine="643" w:firstLineChars="200"/>
        <w:jc w:val="left"/>
        <w:rPr>
          <w:rFonts w:hint="eastAsia" w:ascii="仿宋" w:hAnsi="仿宋" w:eastAsia="仿宋" w:cs="仿宋"/>
          <w:color w:val="auto"/>
          <w:sz w:val="32"/>
          <w:szCs w:val="32"/>
          <w:lang w:val="en-US" w:eastAsia="zh-CN"/>
        </w:rPr>
      </w:pPr>
      <w:r>
        <w:rPr>
          <w:rFonts w:hint="eastAsia" w:ascii="仿宋" w:hAnsi="仿宋" w:eastAsia="仿宋" w:cs="仿宋"/>
          <w:b/>
          <w:color w:val="auto"/>
          <w:sz w:val="32"/>
          <w:szCs w:val="32"/>
          <w:lang w:val="zh-CN"/>
        </w:rPr>
        <w:t>其中：公务用车购置费</w:t>
      </w:r>
      <w:r>
        <w:rPr>
          <w:rFonts w:hint="eastAsia" w:ascii="仿宋" w:hAnsi="仿宋" w:eastAsia="仿宋" w:cs="仿宋"/>
          <w:color w:val="auto"/>
          <w:sz w:val="32"/>
          <w:szCs w:val="32"/>
          <w:lang w:val="en-US"/>
        </w:rPr>
        <w:t>全年</w:t>
      </w:r>
      <w:r>
        <w:rPr>
          <w:rFonts w:hint="eastAsia" w:ascii="仿宋" w:hAnsi="仿宋" w:eastAsia="仿宋" w:cs="仿宋"/>
          <w:color w:val="auto"/>
          <w:sz w:val="32"/>
          <w:szCs w:val="32"/>
          <w:lang w:val="zh-CN"/>
        </w:rPr>
        <w:t>预算数为0.00万元,支出决算为0.00万元,决算数小于预算数的主要原因是我院无更新购置车辆计划。</w:t>
      </w:r>
      <w:r>
        <w:rPr>
          <w:rFonts w:hint="eastAsia" w:ascii="仿宋" w:hAnsi="仿宋" w:eastAsia="仿宋" w:cs="仿宋"/>
          <w:color w:val="auto"/>
          <w:sz w:val="32"/>
          <w:szCs w:val="32"/>
          <w:lang w:val="en-US"/>
        </w:rPr>
        <w:t>较上年决算数</w:t>
      </w:r>
      <w:r>
        <w:rPr>
          <w:rFonts w:hint="eastAsia" w:ascii="仿宋" w:hAnsi="仿宋" w:eastAsia="仿宋" w:cs="仿宋"/>
          <w:color w:val="auto"/>
          <w:sz w:val="32"/>
          <w:szCs w:val="32"/>
          <w:lang w:val="en-US" w:eastAsia="zh-CN"/>
        </w:rPr>
        <w:t>减少24.98</w:t>
      </w:r>
      <w:r>
        <w:rPr>
          <w:rFonts w:hint="eastAsia" w:ascii="仿宋" w:hAnsi="仿宋" w:eastAsia="仿宋" w:cs="仿宋"/>
          <w:color w:val="auto"/>
          <w:sz w:val="32"/>
          <w:szCs w:val="32"/>
          <w:lang w:val="zh-CN"/>
        </w:rPr>
        <w:t>万元</w:t>
      </w:r>
      <w:r>
        <w:rPr>
          <w:rFonts w:hint="eastAsia" w:ascii="仿宋" w:hAnsi="仿宋" w:eastAsia="仿宋" w:cs="仿宋"/>
          <w:color w:val="auto"/>
          <w:sz w:val="32"/>
          <w:szCs w:val="32"/>
          <w:lang w:val="en-US"/>
        </w:rPr>
        <w:t>,</w:t>
      </w:r>
      <w:r>
        <w:rPr>
          <w:rFonts w:hint="eastAsia" w:ascii="仿宋" w:hAnsi="仿宋" w:eastAsia="仿宋" w:cs="仿宋"/>
          <w:color w:val="auto"/>
          <w:sz w:val="32"/>
          <w:szCs w:val="32"/>
          <w:lang w:val="en-US" w:eastAsia="zh-CN"/>
        </w:rPr>
        <w:t>下降100.0</w:t>
      </w: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en-US"/>
        </w:rPr>
        <w:t>,主要原因是</w:t>
      </w:r>
      <w:r>
        <w:rPr>
          <w:rFonts w:hint="eastAsia" w:ascii="仿宋" w:hAnsi="仿宋" w:eastAsia="仿宋" w:cs="仿宋"/>
          <w:color w:val="auto"/>
          <w:sz w:val="32"/>
          <w:szCs w:val="32"/>
          <w:lang w:val="en-US" w:eastAsia="zh-CN"/>
        </w:rPr>
        <w:t>2023年我院无更新购置车辆。</w:t>
      </w:r>
    </w:p>
    <w:p>
      <w:pPr>
        <w:spacing w:before="100" w:beforeLines="0" w:after="100" w:afterLines="0"/>
        <w:ind w:firstLine="643" w:firstLineChars="200"/>
        <w:jc w:val="left"/>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公务用车运行维护费</w:t>
      </w:r>
      <w:r>
        <w:rPr>
          <w:rFonts w:hint="eastAsia" w:ascii="仿宋" w:hAnsi="仿宋" w:eastAsia="仿宋" w:cs="仿宋"/>
          <w:color w:val="auto"/>
          <w:sz w:val="32"/>
          <w:szCs w:val="32"/>
          <w:lang w:val="en-US"/>
        </w:rPr>
        <w:t>全年</w:t>
      </w:r>
      <w:r>
        <w:rPr>
          <w:rFonts w:hint="eastAsia" w:ascii="仿宋" w:hAnsi="仿宋" w:eastAsia="仿宋" w:cs="仿宋"/>
          <w:color w:val="auto"/>
          <w:sz w:val="32"/>
          <w:szCs w:val="32"/>
          <w:lang w:val="zh-CN"/>
        </w:rPr>
        <w:t>预算数为24.20万元,支出决算为24.04万元,决算数小于预算数的主要原因是我院严格控制公车运行事项,</w:t>
      </w:r>
      <w:r>
        <w:rPr>
          <w:rFonts w:hint="eastAsia" w:ascii="仿宋" w:hAnsi="仿宋" w:eastAsia="仿宋" w:cs="仿宋"/>
          <w:color w:val="auto"/>
          <w:sz w:val="32"/>
          <w:szCs w:val="32"/>
          <w:lang w:val="en-US"/>
        </w:rPr>
        <w:t>较上年决算数</w:t>
      </w:r>
      <w:r>
        <w:rPr>
          <w:rFonts w:hint="eastAsia" w:ascii="仿宋" w:hAnsi="仿宋" w:eastAsia="仿宋" w:cs="仿宋"/>
          <w:color w:val="auto"/>
          <w:sz w:val="32"/>
          <w:szCs w:val="32"/>
          <w:lang w:val="en-US" w:eastAsia="zh-CN"/>
        </w:rPr>
        <w:t>增加4.84</w:t>
      </w:r>
      <w:r>
        <w:rPr>
          <w:rFonts w:hint="eastAsia" w:ascii="仿宋" w:hAnsi="仿宋" w:eastAsia="仿宋" w:cs="仿宋"/>
          <w:color w:val="auto"/>
          <w:sz w:val="32"/>
          <w:szCs w:val="32"/>
          <w:lang w:val="zh-CN"/>
        </w:rPr>
        <w:t>万元</w:t>
      </w:r>
      <w:r>
        <w:rPr>
          <w:rFonts w:hint="eastAsia" w:ascii="仿宋" w:hAnsi="仿宋" w:eastAsia="仿宋" w:cs="仿宋"/>
          <w:color w:val="auto"/>
          <w:sz w:val="32"/>
          <w:szCs w:val="32"/>
          <w:lang w:val="en-US"/>
        </w:rPr>
        <w:t>,</w:t>
      </w:r>
      <w:r>
        <w:rPr>
          <w:rFonts w:hint="eastAsia" w:ascii="仿宋" w:hAnsi="仿宋" w:eastAsia="仿宋" w:cs="仿宋"/>
          <w:color w:val="auto"/>
          <w:sz w:val="32"/>
          <w:szCs w:val="32"/>
          <w:lang w:val="en-US" w:eastAsia="zh-CN"/>
        </w:rPr>
        <w:t>增长25.22</w:t>
      </w: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en-US"/>
        </w:rPr>
        <w:t>,主要原因是</w:t>
      </w:r>
      <w:r>
        <w:rPr>
          <w:rFonts w:hint="eastAsia" w:ascii="仿宋" w:hAnsi="仿宋" w:eastAsia="仿宋" w:cs="仿宋"/>
          <w:color w:val="auto"/>
          <w:sz w:val="32"/>
          <w:szCs w:val="32"/>
        </w:rPr>
        <w:t>2023年度出车频次、路程增加，导致车辆损耗增加</w:t>
      </w:r>
      <w:r>
        <w:rPr>
          <w:rFonts w:hint="eastAsia" w:ascii="仿宋" w:hAnsi="仿宋" w:eastAsia="仿宋" w:cs="仿宋"/>
          <w:color w:val="auto"/>
          <w:sz w:val="32"/>
          <w:szCs w:val="32"/>
          <w:lang w:val="zh-CN"/>
        </w:rPr>
        <w:t>。</w:t>
      </w:r>
    </w:p>
    <w:p>
      <w:pPr>
        <w:numPr>
          <w:ilvl w:val="0"/>
          <w:numId w:val="0"/>
        </w:numPr>
        <w:spacing w:before="100" w:beforeLines="0" w:after="100" w:afterLines="0"/>
        <w:ind w:firstLine="643" w:firstLineChars="200"/>
        <w:jc w:val="left"/>
        <w:rPr>
          <w:rFonts w:hint="eastAsia" w:ascii="仿宋" w:hAnsi="仿宋" w:eastAsia="仿宋" w:cs="仿宋"/>
          <w:color w:val="auto"/>
          <w:sz w:val="32"/>
          <w:szCs w:val="32"/>
          <w:lang w:val="en-US" w:eastAsia="zh-CN"/>
        </w:rPr>
      </w:pPr>
      <w:r>
        <w:rPr>
          <w:rFonts w:hint="eastAsia" w:ascii="仿宋" w:hAnsi="仿宋" w:eastAsia="仿宋" w:cs="仿宋"/>
          <w:b/>
          <w:color w:val="auto"/>
          <w:sz w:val="32"/>
          <w:szCs w:val="32"/>
          <w:lang w:val="en-US" w:eastAsia="zh-CN"/>
        </w:rPr>
        <w:t>3.</w:t>
      </w:r>
      <w:r>
        <w:rPr>
          <w:rFonts w:hint="eastAsia" w:ascii="仿宋" w:hAnsi="仿宋" w:eastAsia="仿宋" w:cs="仿宋"/>
          <w:b/>
          <w:color w:val="auto"/>
          <w:sz w:val="32"/>
          <w:szCs w:val="32"/>
          <w:lang w:val="zh-CN"/>
        </w:rPr>
        <w:t>公务接待费</w:t>
      </w:r>
      <w:r>
        <w:rPr>
          <w:rFonts w:hint="eastAsia" w:ascii="仿宋" w:hAnsi="仿宋" w:eastAsia="仿宋" w:cs="仿宋"/>
          <w:color w:val="auto"/>
          <w:sz w:val="32"/>
          <w:szCs w:val="32"/>
          <w:lang w:val="en-US"/>
        </w:rPr>
        <w:t>全</w:t>
      </w:r>
      <w:r>
        <w:rPr>
          <w:rFonts w:hint="eastAsia" w:ascii="仿宋" w:hAnsi="仿宋" w:eastAsia="仿宋" w:cs="仿宋"/>
          <w:color w:val="auto"/>
          <w:sz w:val="32"/>
          <w:szCs w:val="32"/>
          <w:lang w:val="zh-CN"/>
        </w:rPr>
        <w:t>年预算数为6.15万元,支出决算为2.29万元,决算数小于预算数的主要原因是</w:t>
      </w:r>
      <w:r>
        <w:rPr>
          <w:rFonts w:hint="eastAsia" w:ascii="仿宋" w:hAnsi="仿宋" w:eastAsia="仿宋" w:cs="仿宋"/>
          <w:color w:val="auto"/>
          <w:sz w:val="32"/>
          <w:szCs w:val="32"/>
          <w:lang w:val="zh-CN" w:eastAsia="zh-CN"/>
        </w:rPr>
        <w:t>本部门严格落实过紧日子要求，厉行节约</w:t>
      </w: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en-US"/>
        </w:rPr>
        <w:t>较上年决算数</w:t>
      </w:r>
      <w:r>
        <w:rPr>
          <w:rFonts w:hint="eastAsia" w:ascii="仿宋" w:hAnsi="仿宋" w:eastAsia="仿宋" w:cs="仿宋"/>
          <w:color w:val="auto"/>
          <w:sz w:val="32"/>
          <w:szCs w:val="32"/>
          <w:lang w:val="en-US" w:eastAsia="zh-CN"/>
        </w:rPr>
        <w:t>减少1.46</w:t>
      </w:r>
      <w:r>
        <w:rPr>
          <w:rFonts w:hint="eastAsia" w:ascii="仿宋" w:hAnsi="仿宋" w:eastAsia="仿宋" w:cs="仿宋"/>
          <w:color w:val="auto"/>
          <w:sz w:val="32"/>
          <w:szCs w:val="32"/>
          <w:lang w:val="zh-CN"/>
        </w:rPr>
        <w:t>万元</w:t>
      </w:r>
      <w:r>
        <w:rPr>
          <w:rFonts w:hint="eastAsia" w:ascii="仿宋" w:hAnsi="仿宋" w:eastAsia="仿宋" w:cs="仿宋"/>
          <w:color w:val="auto"/>
          <w:sz w:val="32"/>
          <w:szCs w:val="32"/>
          <w:lang w:val="en-US"/>
        </w:rPr>
        <w:t>,</w:t>
      </w:r>
      <w:r>
        <w:rPr>
          <w:rFonts w:hint="eastAsia" w:ascii="仿宋" w:hAnsi="仿宋" w:eastAsia="仿宋" w:cs="仿宋"/>
          <w:color w:val="auto"/>
          <w:sz w:val="32"/>
          <w:szCs w:val="32"/>
          <w:lang w:val="en-US" w:eastAsia="zh-CN"/>
        </w:rPr>
        <w:t>下降38.93</w:t>
      </w: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en-US"/>
        </w:rPr>
        <w:t>,主要原因是</w:t>
      </w:r>
      <w:r>
        <w:rPr>
          <w:rFonts w:hint="eastAsia" w:ascii="仿宋" w:hAnsi="仿宋" w:eastAsia="仿宋" w:cs="仿宋"/>
          <w:color w:val="auto"/>
          <w:sz w:val="32"/>
          <w:szCs w:val="32"/>
          <w:lang w:val="zh-CN" w:eastAsia="zh-CN"/>
        </w:rPr>
        <w:t>本部门严格落实过紧日子要求，厉行节约。</w:t>
      </w:r>
    </w:p>
    <w:p>
      <w:pPr>
        <w:numPr>
          <w:ilvl w:val="0"/>
          <w:numId w:val="3"/>
        </w:numPr>
        <w:spacing w:before="100" w:beforeLines="0" w:after="100" w:afterLines="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zh-CN"/>
        </w:rPr>
        <w:t>外事接待费支出0.00万元。主要是我院无外事接待费。</w:t>
      </w:r>
    </w:p>
    <w:p>
      <w:pPr>
        <w:numPr>
          <w:ilvl w:val="0"/>
          <w:numId w:val="0"/>
        </w:numPr>
        <w:spacing w:before="100" w:beforeLines="0" w:after="100" w:afterLines="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其他国内公务接待支出2.29</w:t>
      </w:r>
      <w:r>
        <w:rPr>
          <w:rFonts w:hint="eastAsia" w:ascii="仿宋" w:hAnsi="仿宋" w:eastAsia="仿宋" w:cs="仿宋"/>
          <w:color w:val="auto"/>
          <w:sz w:val="32"/>
          <w:szCs w:val="32"/>
          <w:lang w:val="zh-CN"/>
        </w:rPr>
        <w:t>万元。主要是我院接待上级部门调研，督导等事项支出。</w:t>
      </w:r>
    </w:p>
    <w:p>
      <w:pPr>
        <w:numPr>
          <w:ilvl w:val="0"/>
          <w:numId w:val="2"/>
        </w:numPr>
        <w:spacing w:before="100" w:beforeLines="0" w:after="100" w:afterLines="0"/>
        <w:ind w:left="0" w:leftChars="0" w:firstLine="0" w:firstLineChars="0"/>
        <w:jc w:val="left"/>
        <w:rPr>
          <w:rFonts w:hint="eastAsia" w:ascii="楷体" w:hAnsi="楷体" w:eastAsia="楷体" w:cs="楷体"/>
          <w:b/>
          <w:color w:val="auto"/>
          <w:sz w:val="32"/>
          <w:szCs w:val="32"/>
          <w:lang w:val="zh-CN"/>
        </w:rPr>
      </w:pPr>
      <w:r>
        <w:rPr>
          <w:rFonts w:hint="eastAsia" w:ascii="楷体" w:hAnsi="楷体" w:eastAsia="楷体" w:cs="楷体"/>
          <w:b/>
          <w:color w:val="auto"/>
          <w:sz w:val="32"/>
          <w:szCs w:val="32"/>
          <w:lang w:val="zh-CN"/>
        </w:rPr>
        <w:t>“三公”经费财政拨款支出决算实物量情况</w:t>
      </w:r>
    </w:p>
    <w:p>
      <w:pPr>
        <w:spacing w:before="100" w:beforeLines="0" w:after="100" w:afterLines="0"/>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2023年度本部门</w:t>
      </w:r>
      <w:r>
        <w:rPr>
          <w:rFonts w:hint="eastAsia" w:ascii="仿宋" w:hAnsi="仿宋" w:eastAsia="仿宋" w:cs="仿宋"/>
          <w:b/>
          <w:color w:val="auto"/>
          <w:sz w:val="32"/>
          <w:szCs w:val="32"/>
          <w:lang w:val="zh-CN"/>
        </w:rPr>
        <w:t>因公出国(境)</w:t>
      </w:r>
      <w:r>
        <w:rPr>
          <w:rFonts w:hint="eastAsia" w:ascii="仿宋" w:hAnsi="仿宋" w:eastAsia="仿宋" w:cs="仿宋"/>
          <w:color w:val="auto"/>
          <w:sz w:val="32"/>
          <w:szCs w:val="32"/>
          <w:lang w:val="zh-CN"/>
        </w:rPr>
        <w:t>共计</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lang w:val="zh-CN"/>
        </w:rPr>
        <w:t>个团组,</w:t>
      </w:r>
      <w:r>
        <w:rPr>
          <w:rFonts w:hint="eastAsia" w:ascii="仿宋" w:hAnsi="仿宋" w:eastAsia="仿宋" w:cs="仿宋"/>
          <w:b w:val="0"/>
          <w:bCs w:val="0"/>
          <w:color w:val="auto"/>
          <w:sz w:val="32"/>
          <w:szCs w:val="32"/>
          <w:lang w:val="en-US" w:eastAsia="zh-CN"/>
        </w:rPr>
        <w:t>0</w:t>
      </w:r>
      <w:r>
        <w:rPr>
          <w:rFonts w:hint="eastAsia" w:ascii="仿宋" w:hAnsi="仿宋" w:eastAsia="仿宋" w:cs="仿宋"/>
          <w:color w:val="auto"/>
          <w:sz w:val="32"/>
          <w:szCs w:val="32"/>
          <w:lang w:val="zh-CN"/>
        </w:rPr>
        <w:t>人；</w:t>
      </w:r>
      <w:r>
        <w:rPr>
          <w:rFonts w:hint="eastAsia" w:ascii="仿宋" w:hAnsi="仿宋" w:eastAsia="仿宋" w:cs="仿宋"/>
          <w:b/>
          <w:color w:val="auto"/>
          <w:sz w:val="32"/>
          <w:szCs w:val="32"/>
          <w:lang w:val="zh-CN"/>
        </w:rPr>
        <w:t>公务用车购置</w:t>
      </w:r>
      <w:r>
        <w:rPr>
          <w:rFonts w:hint="eastAsia" w:ascii="仿宋" w:hAnsi="仿宋" w:eastAsia="仿宋" w:cs="仿宋"/>
          <w:color w:val="auto"/>
          <w:sz w:val="32"/>
          <w:szCs w:val="32"/>
          <w:lang w:val="zh-CN"/>
        </w:rPr>
        <w:t>0辆,</w:t>
      </w:r>
      <w:r>
        <w:rPr>
          <w:rFonts w:hint="eastAsia" w:ascii="仿宋" w:hAnsi="仿宋" w:eastAsia="仿宋" w:cs="仿宋"/>
          <w:b/>
          <w:color w:val="auto"/>
          <w:sz w:val="32"/>
          <w:szCs w:val="32"/>
          <w:lang w:val="zh-CN"/>
        </w:rPr>
        <w:t>公务用车保有量</w:t>
      </w:r>
      <w:r>
        <w:rPr>
          <w:rFonts w:hint="eastAsia" w:ascii="仿宋" w:hAnsi="仿宋" w:eastAsia="仿宋" w:cs="仿宋"/>
          <w:color w:val="auto"/>
          <w:sz w:val="32"/>
          <w:szCs w:val="32"/>
          <w:lang w:val="zh-CN"/>
        </w:rPr>
        <w:t>为8辆；</w:t>
      </w:r>
      <w:r>
        <w:rPr>
          <w:rFonts w:hint="eastAsia" w:ascii="仿宋" w:hAnsi="仿宋" w:eastAsia="仿宋" w:cs="仿宋"/>
          <w:b/>
          <w:color w:val="auto"/>
          <w:sz w:val="32"/>
          <w:szCs w:val="32"/>
          <w:lang w:val="zh-CN"/>
        </w:rPr>
        <w:t>国内公务接待</w:t>
      </w:r>
      <w:r>
        <w:rPr>
          <w:rFonts w:hint="eastAsia" w:ascii="仿宋" w:hAnsi="仿宋" w:eastAsia="仿宋" w:cs="仿宋"/>
          <w:color w:val="auto"/>
          <w:sz w:val="32"/>
          <w:szCs w:val="32"/>
          <w:lang w:val="zh-CN"/>
        </w:rPr>
        <w:t>50批次229人,其中：</w:t>
      </w:r>
      <w:r>
        <w:rPr>
          <w:rFonts w:hint="eastAsia" w:ascii="仿宋" w:hAnsi="仿宋" w:eastAsia="仿宋" w:cs="仿宋"/>
          <w:b/>
          <w:color w:val="auto"/>
          <w:sz w:val="32"/>
          <w:szCs w:val="32"/>
          <w:lang w:val="zh-CN"/>
        </w:rPr>
        <w:t>外事接待</w:t>
      </w:r>
      <w:r>
        <w:rPr>
          <w:rFonts w:hint="eastAsia" w:ascii="仿宋" w:hAnsi="仿宋" w:eastAsia="仿宋" w:cs="仿宋"/>
          <w:b w:val="0"/>
          <w:bCs/>
          <w:color w:val="auto"/>
          <w:sz w:val="32"/>
          <w:szCs w:val="32"/>
          <w:lang w:val="en-US" w:eastAsia="zh-CN"/>
        </w:rPr>
        <w:t>0</w:t>
      </w:r>
      <w:r>
        <w:rPr>
          <w:rFonts w:hint="eastAsia" w:ascii="仿宋" w:hAnsi="仿宋" w:eastAsia="仿宋" w:cs="仿宋"/>
          <w:color w:val="auto"/>
          <w:sz w:val="32"/>
          <w:szCs w:val="32"/>
          <w:lang w:val="zh-CN"/>
        </w:rPr>
        <w:t>批次,</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lang w:val="zh-CN"/>
        </w:rPr>
        <w:t>人；</w:t>
      </w:r>
      <w:r>
        <w:rPr>
          <w:rFonts w:hint="eastAsia" w:ascii="仿宋" w:hAnsi="仿宋" w:eastAsia="仿宋" w:cs="仿宋"/>
          <w:b/>
          <w:color w:val="auto"/>
          <w:sz w:val="32"/>
          <w:szCs w:val="32"/>
          <w:lang w:val="zh-CN"/>
        </w:rPr>
        <w:t>国(境)外公务接待</w:t>
      </w:r>
      <w:r>
        <w:rPr>
          <w:rFonts w:hint="eastAsia" w:ascii="仿宋" w:hAnsi="仿宋" w:eastAsia="仿宋" w:cs="仿宋"/>
          <w:b w:val="0"/>
          <w:bCs/>
          <w:color w:val="auto"/>
          <w:sz w:val="32"/>
          <w:szCs w:val="32"/>
          <w:lang w:val="en-US" w:eastAsia="zh-CN"/>
        </w:rPr>
        <w:t>0</w:t>
      </w:r>
      <w:r>
        <w:rPr>
          <w:rFonts w:hint="eastAsia" w:ascii="仿宋" w:hAnsi="仿宋" w:eastAsia="仿宋" w:cs="仿宋"/>
          <w:color w:val="auto"/>
          <w:sz w:val="32"/>
          <w:szCs w:val="32"/>
          <w:lang w:val="zh-CN"/>
        </w:rPr>
        <w:t>批次,</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lang w:val="zh-CN"/>
        </w:rPr>
        <w:t>人。</w:t>
      </w:r>
      <w:bookmarkStart w:id="0" w:name="_GoBack"/>
      <w:bookmarkEnd w:id="0"/>
    </w:p>
    <w:p>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en-US" w:eastAsia="zh-CN"/>
        </w:rPr>
        <w:t>十</w:t>
      </w:r>
      <w:r>
        <w:rPr>
          <w:rFonts w:hint="eastAsia" w:ascii="黑体" w:hAnsi="黑体" w:eastAsia="黑体" w:cs="黑体"/>
          <w:b w:val="0"/>
          <w:bCs w:val="0"/>
          <w:color w:val="auto"/>
          <w:sz w:val="32"/>
          <w:szCs w:val="32"/>
          <w:lang w:val="zh-CN" w:eastAsia="zh-CN"/>
        </w:rPr>
        <w:t>、机关运行经费支出情况说明</w:t>
      </w:r>
    </w:p>
    <w:p>
      <w:pPr>
        <w:spacing w:before="100" w:beforeLines="0" w:after="100" w:afterLines="0"/>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2023年度本部门机关运行经费支出363.73万元,机关运行经费主要用于开支</w:t>
      </w:r>
      <w:r>
        <w:rPr>
          <w:rFonts w:hint="eastAsia" w:ascii="仿宋" w:hAnsi="仿宋" w:eastAsia="仿宋" w:cs="仿宋"/>
          <w:color w:val="auto"/>
          <w:sz w:val="32"/>
          <w:szCs w:val="32"/>
          <w:lang w:val="en-US" w:eastAsia="zh-CN"/>
        </w:rPr>
        <w:t>办公费、印刷费、电费、水费、邮电费、取暖费、</w:t>
      </w:r>
      <w:r>
        <w:rPr>
          <w:rFonts w:hint="eastAsia" w:ascii="仿宋" w:hAnsi="仿宋" w:eastAsia="仿宋" w:cs="仿宋"/>
          <w:color w:val="auto"/>
          <w:sz w:val="32"/>
          <w:szCs w:val="32"/>
          <w:lang w:val="zh-CN"/>
        </w:rPr>
        <w:t>培训费、公务接待费、车辆运行维护费</w:t>
      </w:r>
      <w:r>
        <w:rPr>
          <w:rFonts w:hint="eastAsia" w:ascii="仿宋" w:hAnsi="仿宋" w:eastAsia="仿宋" w:cs="仿宋"/>
          <w:color w:val="auto"/>
          <w:sz w:val="32"/>
          <w:szCs w:val="32"/>
          <w:lang w:val="en-US" w:eastAsia="zh-CN"/>
        </w:rPr>
        <w:t>、差旅费等。</w:t>
      </w:r>
      <w:r>
        <w:rPr>
          <w:rFonts w:hint="eastAsia" w:ascii="仿宋" w:hAnsi="仿宋" w:eastAsia="仿宋" w:cs="仿宋"/>
          <w:color w:val="auto"/>
          <w:sz w:val="32"/>
          <w:szCs w:val="32"/>
          <w:lang w:val="zh-CN"/>
        </w:rPr>
        <w:t>机关运行经费较上年决算数增加10.03万元,增长2.84%,主要原因是新考录人员数量增加，年初预算较上年增加。</w:t>
      </w:r>
    </w:p>
    <w:p>
      <w:pPr>
        <w:spacing w:before="100" w:beforeLines="0" w:after="100" w:afterLines="0"/>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本年度会议费支出0.00万元,较上年决算数减少0.0万元,下降%,主要原因是,主要原因是本年度无会议费支出。本年度培训费支出32.64万元,较上年决算数增加28.72万元,增长732.65%,主要原因是为进一步提高办案法官业务能力，保障审判执行业务，增加了办案业务人员外出培训安排，培训费支出增加。</w:t>
      </w:r>
    </w:p>
    <w:p>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十一、政府采购支出情况说明</w:t>
      </w:r>
    </w:p>
    <w:p>
      <w:pPr>
        <w:spacing w:before="100" w:beforeLines="0" w:after="100" w:afterLines="0"/>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2023年度本部门政府采购支出合计577.83万元,其中：政府采购货物支出495.63万元、政府采购工程支出0.00万元、政府采购服务支出82.20万元。授予中小企业合同金额577.83万元,占政府采购支出总额的100.00%,其中：授予小微企业合同金额577.83万元,占政府采购支出总额的100.00%。</w:t>
      </w:r>
    </w:p>
    <w:p>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en-US" w:eastAsia="zh-CN"/>
        </w:rPr>
        <w:t>十二</w:t>
      </w:r>
      <w:r>
        <w:rPr>
          <w:rFonts w:hint="eastAsia" w:ascii="黑体" w:hAnsi="黑体" w:eastAsia="黑体" w:cs="黑体"/>
          <w:b w:val="0"/>
          <w:bCs w:val="0"/>
          <w:color w:val="auto"/>
          <w:sz w:val="32"/>
          <w:szCs w:val="32"/>
          <w:lang w:val="zh-CN" w:eastAsia="zh-CN"/>
        </w:rPr>
        <w:t>、国有资产占用情况说明</w:t>
      </w:r>
    </w:p>
    <w:p>
      <w:pPr>
        <w:spacing w:before="100" w:beforeLines="0" w:after="100" w:afterLines="0"/>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截至2023年12月31日,本部门共有车辆8辆,其中,副部(省)级及以上领导用车0辆、主要领导干部用车0辆、机要通信用车0辆、应急保障用车1辆、执法执勤用车7辆,特种专业技术用车0辆,离退休干部用车0辆,其他用车0辆。单价100万元(含)以上设备2台(套)。</w:t>
      </w:r>
    </w:p>
    <w:p>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十三、其他需要说明的情况</w:t>
      </w:r>
    </w:p>
    <w:p>
      <w:pPr>
        <w:spacing w:before="100" w:beforeLines="0" w:after="100" w:afterLines="0"/>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由于决算公开表格中金额数值应当保留两位小数，公开数据为四舍五入计算结果，个别数据合计项与分项之和存在小数点后差额，特此说明。</w:t>
      </w:r>
    </w:p>
    <w:p>
      <w:pPr>
        <w:spacing w:before="100" w:beforeLines="0" w:after="100" w:afterLines="0"/>
        <w:jc w:val="left"/>
        <w:rPr>
          <w:rFonts w:hint="eastAsia" w:ascii="仿宋" w:hAnsi="仿宋" w:eastAsia="仿宋" w:cs="仿宋"/>
          <w:color w:val="auto"/>
          <w:sz w:val="32"/>
          <w:szCs w:val="32"/>
          <w:lang w:val="zh-CN"/>
        </w:rPr>
      </w:pPr>
    </w:p>
    <w:p>
      <w:pPr>
        <w:spacing w:before="100" w:beforeLines="0" w:after="100" w:afterLines="0"/>
        <w:jc w:val="left"/>
        <w:rPr>
          <w:rFonts w:hint="eastAsia" w:ascii="黑体" w:hAnsi="黑体" w:eastAsia="黑体" w:cs="黑体"/>
          <w:color w:val="auto"/>
          <w:sz w:val="32"/>
          <w:szCs w:val="32"/>
          <w:lang w:val="zh-CN"/>
        </w:rPr>
      </w:pPr>
    </w:p>
    <w:p>
      <w:pPr>
        <w:spacing w:before="100" w:beforeLines="0" w:after="100" w:afterLines="0"/>
        <w:jc w:val="center"/>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第四部分</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val="zh-CN" w:eastAsia="zh-CN"/>
        </w:rPr>
        <w:t>预算绩效情况说明</w:t>
      </w:r>
    </w:p>
    <w:p>
      <w:pPr>
        <w:spacing w:before="100" w:beforeLines="0" w:after="100" w:afterLines="0"/>
        <w:jc w:val="left"/>
        <w:rPr>
          <w:rFonts w:hint="eastAsia" w:ascii="黑体" w:hAnsi="黑体" w:eastAsia="黑体" w:cs="黑体"/>
          <w:b/>
          <w:bCs/>
          <w:color w:val="auto"/>
          <w:sz w:val="32"/>
          <w:szCs w:val="32"/>
          <w:lang w:val="zh-CN" w:eastAsia="zh-CN"/>
        </w:rPr>
      </w:pPr>
    </w:p>
    <w:p>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一、预算绩效管理工作开展情况</w:t>
      </w:r>
    </w:p>
    <w:p>
      <w:pPr>
        <w:keepNext/>
        <w:keepLines/>
        <w:suppressLineNumbers/>
        <w:spacing w:beforeLines="0" w:afterLines="0"/>
        <w:ind w:firstLine="640" w:firstLineChars="200"/>
        <w:jc w:val="both"/>
        <w:rPr>
          <w:rFonts w:hint="eastAsia" w:ascii="仿宋" w:hAnsi="仿宋" w:eastAsia="仿宋" w:cs="仿宋"/>
          <w:color w:val="auto"/>
          <w:sz w:val="32"/>
          <w:szCs w:val="32"/>
          <w:lang w:val="zh-CN"/>
        </w:rPr>
      </w:pPr>
      <w:r>
        <w:rPr>
          <w:rFonts w:hint="eastAsia" w:ascii="仿宋" w:hAnsi="仿宋" w:eastAsia="仿宋" w:cs="仿宋"/>
          <w:color w:val="auto"/>
          <w:kern w:val="0"/>
          <w:sz w:val="32"/>
          <w:szCs w:val="32"/>
          <w:lang w:val="en-US"/>
        </w:rPr>
        <w:t>根据预算绩效管理要求,本部门对</w:t>
      </w:r>
      <w:r>
        <w:rPr>
          <w:rFonts w:hint="eastAsia" w:ascii="仿宋" w:hAnsi="仿宋" w:eastAsia="仿宋" w:cs="仿宋"/>
          <w:color w:val="auto"/>
          <w:kern w:val="0"/>
          <w:sz w:val="32"/>
          <w:szCs w:val="32"/>
          <w:lang w:val="en-US" w:eastAsia="zh-CN"/>
        </w:rPr>
        <w:t>2023</w:t>
      </w:r>
      <w:r>
        <w:rPr>
          <w:rFonts w:hint="eastAsia" w:ascii="仿宋" w:hAnsi="仿宋" w:eastAsia="仿宋" w:cs="仿宋"/>
          <w:color w:val="auto"/>
          <w:kern w:val="0"/>
          <w:sz w:val="32"/>
          <w:szCs w:val="32"/>
          <w:lang w:val="en-US"/>
        </w:rPr>
        <w:t>年度一般公共预算项目支出全面开展绩效自评,其中二级项目</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lang w:val="en-US"/>
        </w:rPr>
        <w:t>个,共涉及资金</w:t>
      </w:r>
      <w:r>
        <w:rPr>
          <w:rFonts w:hint="eastAsia" w:ascii="仿宋" w:hAnsi="仿宋" w:eastAsia="仿宋" w:cs="仿宋"/>
          <w:color w:val="auto"/>
          <w:kern w:val="0"/>
          <w:sz w:val="32"/>
          <w:szCs w:val="32"/>
          <w:lang w:val="en-US" w:eastAsia="zh-CN"/>
        </w:rPr>
        <w:t>3208.99万元</w:t>
      </w:r>
      <w:r>
        <w:rPr>
          <w:rFonts w:hint="eastAsia" w:ascii="仿宋" w:hAnsi="仿宋" w:eastAsia="仿宋" w:cs="仿宋"/>
          <w:color w:val="auto"/>
          <w:kern w:val="0"/>
          <w:sz w:val="32"/>
          <w:szCs w:val="32"/>
          <w:lang w:val="en-US"/>
        </w:rPr>
        <w:t>,占一般公共预算项目支出总额的</w:t>
      </w:r>
      <w:r>
        <w:rPr>
          <w:rFonts w:hint="eastAsia" w:ascii="仿宋" w:hAnsi="仿宋" w:eastAsia="仿宋" w:cs="仿宋"/>
          <w:color w:val="auto"/>
          <w:kern w:val="0"/>
          <w:sz w:val="32"/>
          <w:szCs w:val="32"/>
          <w:lang w:val="en-US" w:eastAsia="zh-CN"/>
        </w:rPr>
        <w:t>81.06</w:t>
      </w:r>
      <w:r>
        <w:rPr>
          <w:rFonts w:hint="eastAsia" w:ascii="仿宋" w:hAnsi="仿宋" w:eastAsia="仿宋" w:cs="仿宋"/>
          <w:color w:val="auto"/>
          <w:kern w:val="0"/>
          <w:sz w:val="32"/>
          <w:szCs w:val="32"/>
          <w:lang w:val="en-US"/>
        </w:rPr>
        <w:t>%。</w:t>
      </w:r>
      <w:r>
        <w:rPr>
          <w:rFonts w:hint="eastAsia" w:ascii="仿宋" w:hAnsi="仿宋" w:eastAsia="仿宋" w:cs="仿宋"/>
          <w:color w:val="auto"/>
          <w:sz w:val="32"/>
          <w:szCs w:val="32"/>
          <w:lang w:val="en-US"/>
        </w:rPr>
        <w:t>从评价情况来看,</w:t>
      </w:r>
      <w:r>
        <w:rPr>
          <w:rFonts w:hint="eastAsia" w:ascii="仿宋" w:hAnsi="仿宋" w:eastAsia="仿宋" w:cs="仿宋"/>
          <w:color w:val="auto"/>
          <w:sz w:val="32"/>
          <w:szCs w:val="32"/>
          <w:lang w:val="en-US" w:eastAsia="zh-CN"/>
        </w:rPr>
        <w:t>2023年度</w:t>
      </w:r>
      <w:r>
        <w:rPr>
          <w:rFonts w:hint="eastAsia" w:ascii="仿宋" w:hAnsi="仿宋" w:eastAsia="仿宋" w:cs="仿宋"/>
          <w:color w:val="auto"/>
          <w:sz w:val="32"/>
          <w:szCs w:val="32"/>
          <w:lang w:val="en-US"/>
        </w:rPr>
        <w:t>部门整体支出预算执行率为</w:t>
      </w:r>
      <w:r>
        <w:rPr>
          <w:rFonts w:hint="eastAsia" w:ascii="仿宋" w:hAnsi="仿宋" w:eastAsia="仿宋" w:cs="仿宋"/>
          <w:color w:val="auto"/>
          <w:sz w:val="32"/>
          <w:szCs w:val="32"/>
          <w:lang w:val="en-US" w:eastAsia="zh-CN"/>
        </w:rPr>
        <w:t>88.54%，2023年度部门整体支出绩效评价最终得分为96.45分，评价结果为“优秀”。</w:t>
      </w:r>
    </w:p>
    <w:p>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二、绩效自评结果</w:t>
      </w:r>
    </w:p>
    <w:p>
      <w:pPr>
        <w:keepNext/>
        <w:keepLines/>
        <w:suppressLineNumbers/>
        <w:spacing w:beforeLines="0" w:afterLines="0"/>
        <w:ind w:firstLine="480" w:firstLineChars="150"/>
        <w:jc w:val="both"/>
        <w:rPr>
          <w:rFonts w:hint="eastAsia" w:ascii="仿宋" w:hAnsi="仿宋" w:eastAsia="仿宋" w:cs="仿宋"/>
          <w:color w:val="auto"/>
          <w:kern w:val="0"/>
          <w:sz w:val="32"/>
          <w:szCs w:val="32"/>
          <w:highlight w:val="none"/>
          <w:lang w:val="en-US"/>
        </w:rPr>
      </w:pPr>
      <w:r>
        <w:rPr>
          <w:rFonts w:hint="eastAsia" w:ascii="仿宋" w:hAnsi="仿宋" w:eastAsia="仿宋" w:cs="仿宋"/>
          <w:color w:val="auto"/>
          <w:kern w:val="0"/>
          <w:sz w:val="32"/>
          <w:szCs w:val="32"/>
          <w:highlight w:val="none"/>
          <w:lang w:val="en-US"/>
        </w:rPr>
        <w:t>我部门在</w:t>
      </w:r>
      <w:r>
        <w:rPr>
          <w:rFonts w:hint="eastAsia" w:ascii="仿宋" w:hAnsi="仿宋" w:eastAsia="仿宋" w:cs="仿宋"/>
          <w:color w:val="auto"/>
          <w:kern w:val="0"/>
          <w:sz w:val="32"/>
          <w:szCs w:val="32"/>
          <w:highlight w:val="none"/>
          <w:lang w:val="en-US" w:eastAsia="zh-CN"/>
        </w:rPr>
        <w:t>2023</w:t>
      </w:r>
      <w:r>
        <w:rPr>
          <w:rFonts w:hint="eastAsia" w:ascii="仿宋" w:hAnsi="仿宋" w:eastAsia="仿宋" w:cs="仿宋"/>
          <w:color w:val="auto"/>
          <w:kern w:val="0"/>
          <w:sz w:val="32"/>
          <w:szCs w:val="32"/>
          <w:highlight w:val="none"/>
          <w:lang w:val="en-US"/>
        </w:rPr>
        <w:t>年度部门决算中反映</w:t>
      </w:r>
      <w:r>
        <w:rPr>
          <w:rFonts w:hint="eastAsia" w:ascii="仿宋" w:hAnsi="仿宋" w:eastAsia="仿宋" w:cs="仿宋"/>
          <w:color w:val="auto"/>
          <w:kern w:val="0"/>
          <w:sz w:val="32"/>
          <w:szCs w:val="32"/>
          <w:highlight w:val="none"/>
          <w:lang w:val="en-US" w:eastAsia="zh-CN"/>
        </w:rPr>
        <w:t>“</w:t>
      </w:r>
      <w:r>
        <w:rPr>
          <w:rFonts w:hint="eastAsia" w:ascii="仿宋" w:hAnsi="仿宋" w:eastAsia="仿宋" w:cs="仿宋"/>
          <w:color w:val="auto"/>
          <w:kern w:val="0"/>
          <w:sz w:val="32"/>
          <w:szCs w:val="32"/>
        </w:rPr>
        <w:t>全省法院业务费</w:t>
      </w:r>
      <w:r>
        <w:rPr>
          <w:rFonts w:hint="eastAsia" w:ascii="仿宋" w:hAnsi="仿宋" w:eastAsia="仿宋" w:cs="仿宋"/>
          <w:color w:val="auto"/>
          <w:kern w:val="0"/>
          <w:sz w:val="32"/>
          <w:szCs w:val="32"/>
          <w:highlight w:val="none"/>
          <w:lang w:val="en-US" w:eastAsia="zh-CN"/>
        </w:rPr>
        <w:t>”</w:t>
      </w:r>
      <w:r>
        <w:rPr>
          <w:rFonts w:hint="eastAsia" w:ascii="仿宋" w:hAnsi="仿宋" w:eastAsia="仿宋" w:cs="仿宋"/>
          <w:color w:val="auto"/>
          <w:kern w:val="0"/>
          <w:sz w:val="32"/>
          <w:szCs w:val="32"/>
          <w:highlight w:val="none"/>
          <w:lang w:val="en-US"/>
        </w:rPr>
        <w:t>、</w:t>
      </w:r>
      <w:r>
        <w:rPr>
          <w:rFonts w:hint="eastAsia" w:ascii="仿宋" w:hAnsi="仿宋" w:eastAsia="仿宋" w:cs="仿宋"/>
          <w:color w:val="auto"/>
          <w:kern w:val="0"/>
          <w:sz w:val="32"/>
          <w:szCs w:val="32"/>
          <w:highlight w:val="none"/>
          <w:lang w:val="en-US" w:eastAsia="zh-CN"/>
        </w:rPr>
        <w:t>“</w:t>
      </w:r>
      <w:r>
        <w:rPr>
          <w:rFonts w:hint="eastAsia" w:ascii="仿宋" w:hAnsi="仿宋" w:eastAsia="仿宋" w:cs="仿宋"/>
          <w:color w:val="auto"/>
          <w:kern w:val="0"/>
          <w:sz w:val="32"/>
          <w:szCs w:val="32"/>
          <w:lang w:val="en-US" w:eastAsia="zh-CN"/>
        </w:rPr>
        <w:t>全省法院‘两庭建设’资金”、“中央政法资金转移支付”</w:t>
      </w:r>
      <w:r>
        <w:rPr>
          <w:rFonts w:hint="eastAsia" w:ascii="仿宋" w:hAnsi="仿宋" w:eastAsia="仿宋" w:cs="仿宋"/>
          <w:color w:val="auto"/>
          <w:kern w:val="0"/>
          <w:sz w:val="32"/>
          <w:szCs w:val="32"/>
          <w:highlight w:val="none"/>
          <w:lang w:val="en-US"/>
        </w:rPr>
        <w:t>等</w:t>
      </w: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lang w:val="en-US"/>
        </w:rPr>
        <w:t>个项目绩效自评结果。</w:t>
      </w:r>
    </w:p>
    <w:p>
      <w:pPr>
        <w:widowControl/>
        <w:numPr>
          <w:ilvl w:val="0"/>
          <w:numId w:val="0"/>
        </w:numPr>
        <w:wordWrap/>
        <w:adjustRightInd/>
        <w:snapToGrid/>
        <w:spacing w:line="640" w:lineRule="exact"/>
        <w:ind w:left="0" w:leftChars="0" w:right="0" w:firstLine="640" w:firstLineChars="200"/>
        <w:jc w:val="left"/>
        <w:textAlignment w:val="auto"/>
        <w:outlineLvl w:val="9"/>
        <w:rPr>
          <w:rFonts w:hint="eastAsia" w:ascii="仿宋" w:hAnsi="仿宋" w:eastAsia="仿宋" w:cs="仿宋"/>
          <w:b w:val="0"/>
          <w:bCs w:val="0"/>
          <w:color w:val="auto"/>
          <w:kern w:val="0"/>
          <w:sz w:val="32"/>
          <w:szCs w:val="32"/>
          <w:lang w:val="en-US" w:eastAsia="zh-CN"/>
        </w:rPr>
      </w:pPr>
      <w:r>
        <w:rPr>
          <w:rFonts w:hint="eastAsia" w:ascii="仿宋" w:hAnsi="仿宋" w:eastAsia="仿宋" w:cs="仿宋"/>
          <w:color w:val="auto"/>
          <w:kern w:val="0"/>
          <w:sz w:val="32"/>
          <w:szCs w:val="32"/>
          <w:highlight w:val="none"/>
          <w:lang w:val="en-US" w:eastAsia="zh-CN"/>
        </w:rPr>
        <w:t>1.“</w:t>
      </w:r>
      <w:r>
        <w:rPr>
          <w:rFonts w:hint="eastAsia" w:ascii="仿宋" w:hAnsi="仿宋" w:eastAsia="仿宋" w:cs="仿宋"/>
          <w:color w:val="auto"/>
          <w:kern w:val="0"/>
          <w:sz w:val="32"/>
          <w:szCs w:val="32"/>
        </w:rPr>
        <w:t>全省法院业务费</w:t>
      </w:r>
      <w:r>
        <w:rPr>
          <w:rFonts w:hint="eastAsia" w:ascii="仿宋" w:hAnsi="仿宋" w:eastAsia="仿宋" w:cs="仿宋"/>
          <w:color w:val="auto"/>
          <w:kern w:val="0"/>
          <w:sz w:val="32"/>
          <w:szCs w:val="32"/>
          <w:highlight w:val="none"/>
          <w:lang w:val="en-US" w:eastAsia="zh-CN"/>
        </w:rPr>
        <w:t>”</w:t>
      </w:r>
      <w:r>
        <w:rPr>
          <w:rFonts w:hint="eastAsia" w:ascii="仿宋" w:hAnsi="仿宋" w:eastAsia="仿宋" w:cs="仿宋"/>
          <w:color w:val="auto"/>
          <w:kern w:val="0"/>
          <w:sz w:val="32"/>
          <w:szCs w:val="32"/>
          <w:lang w:val="en-US"/>
        </w:rPr>
        <w:t>项目绩效自评情况：根据年初设定的绩效目标,项目绩效自评得分为</w:t>
      </w:r>
      <w:r>
        <w:rPr>
          <w:rFonts w:hint="eastAsia" w:ascii="仿宋" w:hAnsi="仿宋" w:eastAsia="仿宋" w:cs="仿宋"/>
          <w:color w:val="auto"/>
          <w:kern w:val="0"/>
          <w:sz w:val="32"/>
          <w:szCs w:val="32"/>
          <w:lang w:val="en-US" w:eastAsia="zh-CN"/>
        </w:rPr>
        <w:t>100</w:t>
      </w:r>
      <w:r>
        <w:rPr>
          <w:rFonts w:hint="eastAsia" w:ascii="仿宋" w:hAnsi="仿宋" w:eastAsia="仿宋" w:cs="仿宋"/>
          <w:color w:val="auto"/>
          <w:kern w:val="0"/>
          <w:sz w:val="32"/>
          <w:szCs w:val="32"/>
          <w:lang w:val="en-US"/>
        </w:rPr>
        <w:t>分</w:t>
      </w:r>
      <w:r>
        <w:rPr>
          <w:rFonts w:hint="eastAsia" w:ascii="仿宋" w:hAnsi="仿宋" w:eastAsia="仿宋" w:cs="仿宋"/>
          <w:color w:val="auto"/>
          <w:kern w:val="0"/>
          <w:sz w:val="32"/>
          <w:szCs w:val="32"/>
          <w:lang w:val="en-US" w:eastAsia="zh-CN"/>
        </w:rPr>
        <w:t>，绩效等级为“优”</w:t>
      </w:r>
      <w:r>
        <w:rPr>
          <w:rFonts w:hint="eastAsia" w:ascii="仿宋" w:hAnsi="仿宋" w:eastAsia="仿宋" w:cs="仿宋"/>
          <w:color w:val="auto"/>
          <w:kern w:val="0"/>
          <w:sz w:val="32"/>
          <w:szCs w:val="32"/>
          <w:lang w:val="en-US"/>
        </w:rPr>
        <w:t>。项目全年预算数为</w:t>
      </w:r>
      <w:r>
        <w:rPr>
          <w:rFonts w:hint="eastAsia" w:ascii="仿宋" w:hAnsi="仿宋" w:eastAsia="仿宋" w:cs="仿宋"/>
          <w:color w:val="auto"/>
          <w:kern w:val="0"/>
          <w:sz w:val="32"/>
          <w:szCs w:val="32"/>
          <w:lang w:val="en-US" w:eastAsia="zh-CN"/>
        </w:rPr>
        <w:t>370.77万元</w:t>
      </w:r>
      <w:r>
        <w:rPr>
          <w:rFonts w:hint="eastAsia" w:ascii="仿宋" w:hAnsi="仿宋" w:eastAsia="仿宋" w:cs="仿宋"/>
          <w:color w:val="auto"/>
          <w:kern w:val="0"/>
          <w:sz w:val="32"/>
          <w:szCs w:val="32"/>
          <w:lang w:val="en-US"/>
        </w:rPr>
        <w:t>,执行数为</w:t>
      </w:r>
      <w:r>
        <w:rPr>
          <w:rFonts w:hint="eastAsia" w:ascii="仿宋" w:hAnsi="仿宋" w:eastAsia="仿宋" w:cs="仿宋"/>
          <w:color w:val="auto"/>
          <w:kern w:val="0"/>
          <w:sz w:val="32"/>
          <w:szCs w:val="32"/>
          <w:lang w:val="en-US" w:eastAsia="zh-CN"/>
        </w:rPr>
        <w:t>370.77万元</w:t>
      </w:r>
      <w:r>
        <w:rPr>
          <w:rFonts w:hint="eastAsia" w:ascii="仿宋" w:hAnsi="仿宋" w:eastAsia="仿宋" w:cs="仿宋"/>
          <w:color w:val="auto"/>
          <w:kern w:val="0"/>
          <w:sz w:val="32"/>
          <w:szCs w:val="32"/>
          <w:lang w:val="en-US"/>
        </w:rPr>
        <w:t>,完成预算的</w:t>
      </w:r>
      <w:r>
        <w:rPr>
          <w:rFonts w:hint="eastAsia" w:ascii="仿宋" w:hAnsi="仿宋" w:eastAsia="仿宋" w:cs="仿宋"/>
          <w:color w:val="auto"/>
          <w:kern w:val="0"/>
          <w:sz w:val="32"/>
          <w:szCs w:val="32"/>
          <w:lang w:val="en-US" w:eastAsia="zh-CN"/>
        </w:rPr>
        <w:t>100%。项目绩效目标完成情况：一是各类案件工作完成较好，结案率达标，有效保障审判服务；二是及时有效完成各项采购工作，为促进案件审判及法院各项事业运转提供有力保障。发现的主要问题及原因：全省法院业务费未偏离绩效目标。下一步</w:t>
      </w:r>
      <w:r>
        <w:rPr>
          <w:rFonts w:hint="eastAsia" w:ascii="仿宋" w:hAnsi="仿宋" w:eastAsia="仿宋" w:cs="仿宋"/>
          <w:b w:val="0"/>
          <w:bCs w:val="0"/>
          <w:color w:val="auto"/>
          <w:kern w:val="0"/>
          <w:sz w:val="32"/>
          <w:szCs w:val="32"/>
          <w:lang w:val="en-US" w:eastAsia="zh-CN"/>
        </w:rPr>
        <w:t>改进措施：全省法院业务费未偏离绩效目标。</w:t>
      </w:r>
    </w:p>
    <w:p>
      <w:pPr>
        <w:pStyle w:val="3"/>
        <w:keepNext/>
        <w:keepLines/>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0"/>
          <w:sz w:val="32"/>
          <w:szCs w:val="32"/>
          <w:lang w:val="en-US" w:eastAsia="zh-CN"/>
        </w:rPr>
        <w:t>2.“全省法院‘两庭建设’资金”项目</w:t>
      </w:r>
      <w:r>
        <w:rPr>
          <w:rFonts w:hint="eastAsia" w:ascii="仿宋" w:hAnsi="仿宋" w:eastAsia="仿宋" w:cs="仿宋"/>
          <w:b w:val="0"/>
          <w:bCs w:val="0"/>
          <w:color w:val="auto"/>
          <w:kern w:val="0"/>
          <w:sz w:val="32"/>
          <w:szCs w:val="32"/>
          <w:lang w:val="en-US"/>
        </w:rPr>
        <w:t>绩效自评情况：根据年初设定的绩效目标,项目绩效自评得分为</w:t>
      </w:r>
      <w:r>
        <w:rPr>
          <w:rFonts w:hint="eastAsia" w:ascii="仿宋" w:hAnsi="仿宋" w:eastAsia="仿宋" w:cs="仿宋"/>
          <w:b w:val="0"/>
          <w:bCs w:val="0"/>
          <w:color w:val="auto"/>
          <w:kern w:val="0"/>
          <w:sz w:val="32"/>
          <w:szCs w:val="32"/>
          <w:lang w:val="en-US" w:eastAsia="zh-CN"/>
        </w:rPr>
        <w:t>97.10</w:t>
      </w:r>
      <w:r>
        <w:rPr>
          <w:rFonts w:hint="eastAsia" w:ascii="仿宋" w:hAnsi="仿宋" w:eastAsia="仿宋" w:cs="仿宋"/>
          <w:b w:val="0"/>
          <w:bCs w:val="0"/>
          <w:color w:val="auto"/>
          <w:kern w:val="0"/>
          <w:sz w:val="32"/>
          <w:szCs w:val="32"/>
          <w:lang w:val="en-US"/>
        </w:rPr>
        <w:t>分。项目全年预算数为</w:t>
      </w:r>
      <w:r>
        <w:rPr>
          <w:rFonts w:hint="eastAsia" w:ascii="仿宋" w:hAnsi="仿宋" w:eastAsia="仿宋" w:cs="仿宋"/>
          <w:b w:val="0"/>
          <w:bCs w:val="0"/>
          <w:color w:val="auto"/>
          <w:kern w:val="0"/>
          <w:sz w:val="32"/>
          <w:szCs w:val="32"/>
          <w:lang w:val="en-US" w:eastAsia="zh-CN"/>
        </w:rPr>
        <w:t>2583.22万元</w:t>
      </w:r>
      <w:r>
        <w:rPr>
          <w:rFonts w:hint="eastAsia" w:ascii="仿宋" w:hAnsi="仿宋" w:eastAsia="仿宋" w:cs="仿宋"/>
          <w:b w:val="0"/>
          <w:bCs w:val="0"/>
          <w:color w:val="auto"/>
          <w:kern w:val="0"/>
          <w:sz w:val="32"/>
          <w:szCs w:val="32"/>
          <w:lang w:val="en-US"/>
        </w:rPr>
        <w:t>,执行数为</w:t>
      </w:r>
      <w:r>
        <w:rPr>
          <w:rFonts w:hint="eastAsia" w:ascii="仿宋" w:hAnsi="仿宋" w:eastAsia="仿宋" w:cs="仿宋"/>
          <w:b w:val="0"/>
          <w:bCs w:val="0"/>
          <w:color w:val="auto"/>
          <w:kern w:val="0"/>
          <w:sz w:val="32"/>
          <w:szCs w:val="32"/>
          <w:lang w:val="en-US" w:eastAsia="zh-CN"/>
        </w:rPr>
        <w:t>1833.22万元</w:t>
      </w:r>
      <w:r>
        <w:rPr>
          <w:rFonts w:hint="eastAsia" w:ascii="仿宋" w:hAnsi="仿宋" w:eastAsia="仿宋" w:cs="仿宋"/>
          <w:b w:val="0"/>
          <w:bCs w:val="0"/>
          <w:color w:val="auto"/>
          <w:kern w:val="0"/>
          <w:sz w:val="32"/>
          <w:szCs w:val="32"/>
          <w:lang w:val="en-US"/>
        </w:rPr>
        <w:t>,完成预算的</w:t>
      </w:r>
      <w:r>
        <w:rPr>
          <w:rFonts w:hint="eastAsia" w:ascii="仿宋" w:hAnsi="仿宋" w:eastAsia="仿宋" w:cs="仿宋"/>
          <w:b w:val="0"/>
          <w:bCs w:val="0"/>
          <w:color w:val="auto"/>
          <w:kern w:val="0"/>
          <w:sz w:val="32"/>
          <w:szCs w:val="32"/>
          <w:lang w:val="en-US" w:eastAsia="zh-CN"/>
        </w:rPr>
        <w:t>70.97</w:t>
      </w:r>
      <w:r>
        <w:rPr>
          <w:rFonts w:hint="eastAsia" w:ascii="仿宋" w:hAnsi="仿宋" w:eastAsia="仿宋" w:cs="仿宋"/>
          <w:b w:val="0"/>
          <w:bCs w:val="0"/>
          <w:color w:val="auto"/>
          <w:kern w:val="0"/>
          <w:sz w:val="32"/>
          <w:szCs w:val="32"/>
          <w:lang w:val="en-US"/>
        </w:rPr>
        <w:t>%。项目绩效目标完成情况：一是</w:t>
      </w:r>
      <w:r>
        <w:rPr>
          <w:rFonts w:hint="eastAsia" w:ascii="仿宋" w:hAnsi="仿宋" w:eastAsia="仿宋" w:cs="仿宋"/>
          <w:b w:val="0"/>
          <w:bCs w:val="0"/>
          <w:color w:val="auto"/>
          <w:kern w:val="0"/>
          <w:sz w:val="32"/>
          <w:szCs w:val="32"/>
          <w:lang w:val="en-US" w:eastAsia="zh-CN"/>
        </w:rPr>
        <w:t>审判大楼建设验收合格</w:t>
      </w:r>
      <w:r>
        <w:rPr>
          <w:rFonts w:hint="eastAsia" w:ascii="仿宋" w:hAnsi="仿宋" w:eastAsia="仿宋" w:cs="仿宋"/>
          <w:b w:val="0"/>
          <w:bCs w:val="0"/>
          <w:color w:val="auto"/>
          <w:kern w:val="0"/>
          <w:sz w:val="32"/>
          <w:szCs w:val="32"/>
          <w:lang w:val="en-US"/>
        </w:rPr>
        <w:t>；二是</w:t>
      </w:r>
      <w:r>
        <w:rPr>
          <w:rFonts w:hint="eastAsia" w:ascii="仿宋" w:hAnsi="仿宋" w:eastAsia="仿宋" w:cs="仿宋"/>
          <w:b w:val="0"/>
          <w:bCs w:val="0"/>
          <w:color w:val="auto"/>
          <w:kern w:val="0"/>
          <w:sz w:val="32"/>
          <w:szCs w:val="32"/>
          <w:lang w:val="en-US" w:eastAsia="zh-CN"/>
        </w:rPr>
        <w:t>相关审判人员及当事人满意度达到 92%</w:t>
      </w:r>
      <w:r>
        <w:rPr>
          <w:rFonts w:hint="eastAsia" w:ascii="仿宋" w:hAnsi="仿宋" w:eastAsia="仿宋" w:cs="仿宋"/>
          <w:b w:val="0"/>
          <w:bCs w:val="0"/>
          <w:color w:val="auto"/>
          <w:kern w:val="0"/>
          <w:sz w:val="32"/>
          <w:szCs w:val="32"/>
          <w:lang w:val="en-US"/>
        </w:rPr>
        <w:t>。发现的主要问题及原因：</w:t>
      </w:r>
      <w:r>
        <w:rPr>
          <w:rFonts w:hint="eastAsia" w:ascii="仿宋" w:hAnsi="仿宋" w:eastAsia="仿宋" w:cs="仿宋"/>
          <w:b w:val="0"/>
          <w:bCs w:val="0"/>
          <w:color w:val="auto"/>
          <w:kern w:val="0"/>
          <w:sz w:val="32"/>
          <w:szCs w:val="32"/>
          <w:lang w:val="en-US" w:eastAsia="zh-CN"/>
        </w:rPr>
        <w:t>资金下达后留给的支付时间不充足，致使资金未及时完成支付</w:t>
      </w:r>
      <w:r>
        <w:rPr>
          <w:rFonts w:hint="eastAsia" w:ascii="仿宋" w:hAnsi="仿宋" w:eastAsia="仿宋" w:cs="仿宋"/>
          <w:b w:val="0"/>
          <w:bCs w:val="0"/>
          <w:color w:val="auto"/>
          <w:kern w:val="0"/>
          <w:sz w:val="32"/>
          <w:szCs w:val="32"/>
          <w:lang w:val="en-US"/>
        </w:rPr>
        <w:t>。下一步改进措施：</w:t>
      </w:r>
      <w:r>
        <w:rPr>
          <w:rFonts w:hint="eastAsia" w:ascii="仿宋" w:hAnsi="仿宋" w:eastAsia="仿宋" w:cs="仿宋"/>
          <w:b w:val="0"/>
          <w:bCs w:val="0"/>
          <w:color w:val="auto"/>
          <w:kern w:val="2"/>
          <w:sz w:val="32"/>
          <w:szCs w:val="32"/>
          <w:lang w:val="en-US" w:eastAsia="zh-CN" w:bidi="ar-SA"/>
        </w:rPr>
        <w:t>项目支出预算执行率较低，年末结转结余资金较多，下一步我院将督促提高资金执行率。</w:t>
      </w:r>
    </w:p>
    <w:p>
      <w:pPr>
        <w:rPr>
          <w:rFonts w:hint="eastAsia" w:ascii="仿宋" w:hAnsi="仿宋" w:eastAsia="仿宋" w:cs="仿宋"/>
          <w:color w:val="auto"/>
          <w:kern w:val="0"/>
          <w:sz w:val="32"/>
          <w:szCs w:val="32"/>
          <w:lang w:val="en-US" w:eastAsia="zh-CN"/>
        </w:rPr>
      </w:pPr>
      <w:r>
        <w:rPr>
          <w:rFonts w:hint="eastAsia" w:ascii="仿宋" w:hAnsi="仿宋" w:eastAsia="仿宋" w:cs="仿宋"/>
          <w:b w:val="0"/>
          <w:bCs w:val="0"/>
          <w:color w:val="auto"/>
          <w:kern w:val="2"/>
          <w:sz w:val="32"/>
          <w:szCs w:val="32"/>
          <w:lang w:val="en-US" w:eastAsia="zh-CN" w:bidi="ar-SA"/>
        </w:rPr>
        <w:t xml:space="preserve">    3.“中央政法转移支付资金”涉密，不予公开。</w:t>
      </w:r>
    </w:p>
    <w:p>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三、部门绩效评价结果</w:t>
      </w:r>
    </w:p>
    <w:p>
      <w:pPr>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color w:val="auto"/>
          <w:kern w:val="0"/>
          <w:sz w:val="32"/>
          <w:szCs w:val="32"/>
        </w:rPr>
        <w:t>部门绩效评价结果见附件</w:t>
      </w:r>
      <w:r>
        <w:rPr>
          <w:rFonts w:hint="eastAsia" w:ascii="仿宋" w:hAnsi="仿宋" w:eastAsia="仿宋" w:cs="仿宋"/>
          <w:color w:val="auto"/>
          <w:kern w:val="0"/>
          <w:sz w:val="32"/>
          <w:szCs w:val="32"/>
          <w:lang w:val="en-US" w:eastAsia="zh-CN"/>
        </w:rPr>
        <w:t>2.</w:t>
      </w:r>
    </w:p>
    <w:p>
      <w:pPr>
        <w:spacing w:before="100" w:beforeLines="0" w:after="100" w:afterLines="0"/>
        <w:jc w:val="both"/>
        <w:rPr>
          <w:rFonts w:hint="eastAsia" w:ascii="仿宋" w:hAnsi="仿宋" w:eastAsia="仿宋" w:cs="仿宋"/>
          <w:color w:val="auto"/>
          <w:sz w:val="32"/>
          <w:szCs w:val="32"/>
          <w:lang w:val="zh-CN"/>
        </w:rPr>
      </w:pPr>
    </w:p>
    <w:p>
      <w:pPr>
        <w:spacing w:before="100" w:beforeLines="0" w:after="100" w:afterLines="0"/>
        <w:jc w:val="center"/>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第五部分</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val="zh-CN" w:eastAsia="zh-CN"/>
        </w:rPr>
        <w:t>名词解释</w:t>
      </w:r>
    </w:p>
    <w:p>
      <w:pPr>
        <w:spacing w:before="100" w:beforeLines="0" w:after="100" w:afterLines="0"/>
        <w:jc w:val="both"/>
        <w:rPr>
          <w:rFonts w:hint="eastAsia" w:ascii="仿宋" w:hAnsi="仿宋" w:eastAsia="仿宋" w:cs="仿宋"/>
          <w:b/>
          <w:color w:val="auto"/>
          <w:sz w:val="32"/>
          <w:szCs w:val="32"/>
          <w:lang w:val="zh-CN"/>
        </w:rPr>
      </w:pPr>
    </w:p>
    <w:p>
      <w:pPr>
        <w:spacing w:before="100" w:beforeLines="0" w:after="100" w:afterLines="0"/>
        <w:jc w:val="both"/>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一、财政拨款收入</w:t>
      </w:r>
      <w:r>
        <w:rPr>
          <w:rFonts w:hint="eastAsia" w:ascii="仿宋" w:hAnsi="仿宋" w:eastAsia="仿宋" w:cs="仿宋"/>
          <w:color w:val="auto"/>
          <w:sz w:val="32"/>
          <w:szCs w:val="32"/>
          <w:lang w:val="zh-CN"/>
        </w:rPr>
        <w:t>：指本年度从同级财政部门取得的财政拨款,包括一般公共预算财政拨款、政府性基金预算财政拨款和国有资本经营预算财政拨款。</w:t>
      </w:r>
    </w:p>
    <w:p>
      <w:pPr>
        <w:spacing w:before="100" w:beforeLines="0" w:after="100" w:afterLines="0"/>
        <w:jc w:val="both"/>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二、事业收入</w:t>
      </w:r>
      <w:r>
        <w:rPr>
          <w:rFonts w:hint="eastAsia" w:ascii="仿宋" w:hAnsi="仿宋" w:eastAsia="仿宋" w:cs="仿宋"/>
          <w:color w:val="auto"/>
          <w:sz w:val="32"/>
          <w:szCs w:val="32"/>
          <w:lang w:val="zh-CN"/>
        </w:rPr>
        <w:t>：指事业单位开展专业业务活动及其辅助活动取得的收入。</w:t>
      </w:r>
    </w:p>
    <w:p>
      <w:pPr>
        <w:spacing w:before="100" w:beforeLines="0" w:after="100" w:afterLines="0"/>
        <w:jc w:val="both"/>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三、经营收入</w:t>
      </w:r>
      <w:r>
        <w:rPr>
          <w:rFonts w:hint="eastAsia" w:ascii="仿宋" w:hAnsi="仿宋" w:eastAsia="仿宋" w:cs="仿宋"/>
          <w:color w:val="auto"/>
          <w:sz w:val="32"/>
          <w:szCs w:val="32"/>
          <w:lang w:val="zh-CN"/>
        </w:rPr>
        <w:t>：指事业单位在专业业务活动及其辅助活动之外开展非独立核算经营活动取得的收入。</w:t>
      </w:r>
    </w:p>
    <w:p>
      <w:pPr>
        <w:spacing w:before="100" w:beforeLines="0" w:after="100" w:afterLines="0"/>
        <w:jc w:val="both"/>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四、其他收入</w:t>
      </w:r>
      <w:r>
        <w:rPr>
          <w:rFonts w:hint="eastAsia" w:ascii="仿宋" w:hAnsi="仿宋" w:eastAsia="仿宋" w:cs="仿宋"/>
          <w:color w:val="auto"/>
          <w:sz w:val="32"/>
          <w:szCs w:val="32"/>
          <w:lang w:val="zh-CN"/>
        </w:rPr>
        <w:t>：指除上述“财政拨款收入”“事业收入”、“经营收入”以外的收入。</w:t>
      </w:r>
    </w:p>
    <w:p>
      <w:pPr>
        <w:spacing w:before="100" w:beforeLines="0" w:after="100" w:afterLines="0"/>
        <w:jc w:val="both"/>
        <w:rPr>
          <w:rFonts w:hint="eastAsia" w:ascii="仿宋" w:hAnsi="仿宋" w:eastAsia="仿宋" w:cs="仿宋"/>
          <w:b w:val="0"/>
          <w:bCs w:val="0"/>
          <w:color w:val="auto"/>
          <w:sz w:val="32"/>
          <w:szCs w:val="32"/>
          <w:lang w:val="zh-CN"/>
        </w:rPr>
      </w:pPr>
      <w:r>
        <w:rPr>
          <w:rFonts w:hint="eastAsia" w:ascii="仿宋" w:hAnsi="仿宋" w:eastAsia="仿宋" w:cs="仿宋"/>
          <w:b/>
          <w:bCs/>
          <w:color w:val="auto"/>
          <w:sz w:val="32"/>
          <w:szCs w:val="32"/>
          <w:lang w:val="zh-CN"/>
        </w:rPr>
        <w:t>五、使用非财政拨款结余（含专用结余）：</w:t>
      </w:r>
      <w:r>
        <w:rPr>
          <w:rFonts w:hint="eastAsia" w:ascii="仿宋" w:hAnsi="仿宋" w:eastAsia="仿宋" w:cs="仿宋"/>
          <w:b w:val="0"/>
          <w:bCs w:val="0"/>
          <w:color w:val="auto"/>
          <w:sz w:val="32"/>
          <w:szCs w:val="32"/>
          <w:lang w:val="zh-CN"/>
        </w:rPr>
        <w:t>指事业单位按照预算管理要求使用非财政拨款结余弥补收支差额的金额，以及使用专用结余安排支出的金额。</w:t>
      </w:r>
    </w:p>
    <w:p>
      <w:pPr>
        <w:spacing w:before="100" w:beforeLines="0" w:after="100" w:afterLines="0"/>
        <w:jc w:val="both"/>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六、年初结转和结余</w:t>
      </w:r>
      <w:r>
        <w:rPr>
          <w:rFonts w:hint="eastAsia" w:ascii="仿宋" w:hAnsi="仿宋" w:eastAsia="仿宋" w:cs="仿宋"/>
          <w:color w:val="auto"/>
          <w:sz w:val="32"/>
          <w:szCs w:val="32"/>
          <w:lang w:val="zh-CN"/>
        </w:rPr>
        <w:t>：指单位上年结转至本年使用的基本支出结转、项目支出结转和结余、经营结余。</w:t>
      </w:r>
    </w:p>
    <w:p>
      <w:pPr>
        <w:spacing w:before="100" w:beforeLines="0" w:after="100" w:afterLines="0"/>
        <w:jc w:val="both"/>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七、结余分配</w:t>
      </w:r>
      <w:r>
        <w:rPr>
          <w:rFonts w:hint="eastAsia" w:ascii="仿宋" w:hAnsi="仿宋" w:eastAsia="仿宋" w:cs="仿宋"/>
          <w:color w:val="auto"/>
          <w:sz w:val="32"/>
          <w:szCs w:val="32"/>
          <w:lang w:val="zh-CN"/>
        </w:rPr>
        <w:t>：指单位按照会计制度规定缴纳的所得税、提取的专用结余以及转入非财政拨款结余的金额等。</w:t>
      </w:r>
    </w:p>
    <w:p>
      <w:pPr>
        <w:spacing w:before="100" w:beforeLines="0" w:after="100" w:afterLines="0"/>
        <w:jc w:val="both"/>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八、年末结转和结余</w:t>
      </w:r>
      <w:r>
        <w:rPr>
          <w:rFonts w:hint="eastAsia" w:ascii="仿宋" w:hAnsi="仿宋" w:eastAsia="仿宋" w:cs="仿宋"/>
          <w:color w:val="auto"/>
          <w:sz w:val="32"/>
          <w:szCs w:val="32"/>
          <w:lang w:val="zh-CN"/>
        </w:rPr>
        <w:t>：指单位按有关规定结转到下年的基本支出结转、项目支出结转和结余、经营结余。</w:t>
      </w:r>
    </w:p>
    <w:p>
      <w:pPr>
        <w:spacing w:before="100" w:beforeLines="0" w:after="100" w:afterLines="0"/>
        <w:jc w:val="both"/>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九、基本支出</w:t>
      </w:r>
      <w:r>
        <w:rPr>
          <w:rFonts w:hint="eastAsia" w:ascii="仿宋" w:hAnsi="仿宋" w:eastAsia="仿宋" w:cs="仿宋"/>
          <w:color w:val="auto"/>
          <w:sz w:val="32"/>
          <w:szCs w:val="32"/>
          <w:lang w:val="zh-CN"/>
        </w:rPr>
        <w:t>：指为保障机构正常运转、完成日常工作任务而发生的人员经费和公用经费。</w:t>
      </w:r>
    </w:p>
    <w:p>
      <w:pPr>
        <w:spacing w:before="100" w:beforeLines="0" w:after="100" w:afterLines="0"/>
        <w:jc w:val="both"/>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十、项目支出</w:t>
      </w:r>
      <w:r>
        <w:rPr>
          <w:rFonts w:hint="eastAsia" w:ascii="仿宋" w:hAnsi="仿宋" w:eastAsia="仿宋" w:cs="仿宋"/>
          <w:color w:val="auto"/>
          <w:sz w:val="32"/>
          <w:szCs w:val="32"/>
          <w:lang w:val="zh-CN"/>
        </w:rPr>
        <w:t>：指在基本支出之外为完成特定行政任务或事业发展目标所发生的支出。</w:t>
      </w:r>
    </w:p>
    <w:p>
      <w:pPr>
        <w:spacing w:before="100" w:beforeLines="0" w:after="100" w:afterLines="0"/>
        <w:jc w:val="both"/>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十一、经营支出</w:t>
      </w:r>
      <w:r>
        <w:rPr>
          <w:rFonts w:hint="eastAsia" w:ascii="仿宋" w:hAnsi="仿宋" w:eastAsia="仿宋" w:cs="仿宋"/>
          <w:color w:val="auto"/>
          <w:sz w:val="32"/>
          <w:szCs w:val="32"/>
          <w:lang w:val="zh-CN"/>
        </w:rPr>
        <w:t>：指事业单位在专业业务活动及其辅助活动之外开展非独立核算经营活动发生的支出。</w:t>
      </w:r>
    </w:p>
    <w:p>
      <w:pPr>
        <w:spacing w:before="100" w:beforeLines="0" w:after="100" w:afterLines="0"/>
        <w:jc w:val="both"/>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十二、“三公”经费</w:t>
      </w:r>
      <w:r>
        <w:rPr>
          <w:rFonts w:hint="eastAsia" w:ascii="仿宋" w:hAnsi="仿宋" w:eastAsia="仿宋" w:cs="仿宋"/>
          <w:color w:val="auto"/>
          <w:sz w:val="32"/>
          <w:szCs w:val="32"/>
          <w:lang w:val="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before="100" w:beforeLines="0" w:after="100" w:afterLines="0"/>
        <w:jc w:val="both"/>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十三、机关运行经费</w:t>
      </w:r>
      <w:r>
        <w:rPr>
          <w:rFonts w:hint="eastAsia" w:ascii="仿宋" w:hAnsi="仿宋" w:eastAsia="仿宋" w:cs="仿宋"/>
          <w:color w:val="auto"/>
          <w:sz w:val="32"/>
          <w:szCs w:val="32"/>
          <w:lang w:val="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spacing w:before="100" w:beforeLines="0" w:after="100" w:afterLines="0"/>
        <w:jc w:val="both"/>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十四、社会保障和就业支出（类）行政事业单位养老支出（款）机关事业单位基本养老保险缴费支出（项）：</w:t>
      </w:r>
      <w:r>
        <w:rPr>
          <w:rFonts w:hint="eastAsia" w:ascii="仿宋" w:hAnsi="仿宋" w:eastAsia="仿宋" w:cs="仿宋"/>
          <w:color w:val="auto"/>
          <w:sz w:val="32"/>
          <w:szCs w:val="32"/>
          <w:lang w:val="zh-CN"/>
        </w:rPr>
        <w:t>反映机关事业单位实施养老保险制度由单位缴纳的基本养老保险支出。</w:t>
      </w:r>
    </w:p>
    <w:p>
      <w:pPr>
        <w:pStyle w:val="6"/>
        <w:widowControl/>
        <w:wordWrap/>
        <w:adjustRightInd/>
        <w:snapToGrid/>
        <w:spacing w:before="0" w:beforeAutospacing="0" w:after="0" w:afterAutospacing="0" w:line="640" w:lineRule="exact"/>
        <w:ind w:left="0" w:leftChars="0" w:right="0" w:firstLine="640" w:firstLineChars="200"/>
        <w:jc w:val="left"/>
        <w:textAlignment w:val="auto"/>
        <w:outlineLvl w:val="9"/>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zh-CN" w:eastAsia="zh-CN" w:bidi="ar-SA"/>
        </w:rPr>
        <w:t>附件：1、武威市中级人民法院202</w:t>
      </w: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kern w:val="2"/>
          <w:sz w:val="32"/>
          <w:szCs w:val="32"/>
          <w:lang w:val="zh-CN" w:eastAsia="zh-CN" w:bidi="ar-SA"/>
        </w:rPr>
        <w:t xml:space="preserve">年度部门决算公开报表      </w:t>
      </w:r>
      <w:r>
        <w:rPr>
          <w:rFonts w:hint="eastAsia" w:ascii="仿宋" w:hAnsi="仿宋" w:eastAsia="仿宋" w:cs="仿宋"/>
          <w:color w:val="auto"/>
          <w:kern w:val="2"/>
          <w:sz w:val="32"/>
          <w:szCs w:val="32"/>
          <w:lang w:val="en-US" w:eastAsia="zh-CN" w:bidi="ar-SA"/>
        </w:rPr>
        <w:t xml:space="preserve">        </w:t>
      </w:r>
    </w:p>
    <w:p>
      <w:pPr>
        <w:pStyle w:val="6"/>
        <w:widowControl/>
        <w:wordWrap/>
        <w:adjustRightInd/>
        <w:snapToGrid/>
        <w:spacing w:before="0" w:beforeAutospacing="0" w:after="0" w:afterAutospacing="0" w:line="640" w:lineRule="exact"/>
        <w:ind w:left="0" w:leftChars="0" w:right="0" w:firstLine="640" w:firstLineChars="200"/>
        <w:jc w:val="left"/>
        <w:textAlignment w:val="auto"/>
        <w:outlineLvl w:val="9"/>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 xml:space="preserve">      </w:t>
      </w:r>
      <w:r>
        <w:rPr>
          <w:rFonts w:hint="eastAsia" w:ascii="仿宋" w:hAnsi="仿宋" w:eastAsia="仿宋" w:cs="仿宋"/>
          <w:color w:val="auto"/>
          <w:kern w:val="2"/>
          <w:sz w:val="32"/>
          <w:szCs w:val="32"/>
          <w:lang w:val="zh-CN" w:eastAsia="zh-CN" w:bidi="ar-SA"/>
        </w:rPr>
        <w:t>2、武威市中级人民法院</w:t>
      </w: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kern w:val="2"/>
          <w:sz w:val="32"/>
          <w:szCs w:val="32"/>
          <w:lang w:val="zh-CN" w:eastAsia="zh-CN" w:bidi="ar-SA"/>
        </w:rPr>
        <w:t>02</w:t>
      </w: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kern w:val="2"/>
          <w:sz w:val="32"/>
          <w:szCs w:val="32"/>
          <w:lang w:val="zh-CN" w:eastAsia="zh-CN" w:bidi="ar-SA"/>
        </w:rPr>
        <w:t>年度预算执行情况绩效自评报表</w:t>
      </w:r>
    </w:p>
    <w:p>
      <w:pPr>
        <w:widowControl/>
        <w:wordWrap/>
        <w:adjustRightInd/>
        <w:snapToGrid/>
        <w:spacing w:before="100" w:beforeLines="0" w:after="100" w:afterLines="0" w:line="640" w:lineRule="exact"/>
        <w:ind w:left="0" w:leftChars="0" w:right="0"/>
        <w:jc w:val="both"/>
        <w:textAlignment w:val="auto"/>
        <w:outlineLvl w:val="9"/>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zh-CN" w:eastAsia="zh-CN" w:bidi="ar-SA"/>
        </w:rPr>
        <w:t xml:space="preserve">      </w:t>
      </w:r>
      <w:r>
        <w:rPr>
          <w:rFonts w:hint="eastAsia" w:ascii="仿宋" w:hAnsi="仿宋" w:eastAsia="仿宋" w:cs="仿宋"/>
          <w:color w:val="auto"/>
          <w:kern w:val="2"/>
          <w:sz w:val="32"/>
          <w:szCs w:val="32"/>
          <w:lang w:val="en-US" w:eastAsia="zh-CN" w:bidi="ar-SA"/>
        </w:rPr>
        <w:t xml:space="preserve">    </w:t>
      </w:r>
      <w:r>
        <w:rPr>
          <w:rFonts w:hint="eastAsia" w:ascii="仿宋" w:hAnsi="仿宋" w:eastAsia="仿宋" w:cs="仿宋"/>
          <w:color w:val="auto"/>
          <w:kern w:val="2"/>
          <w:sz w:val="32"/>
          <w:szCs w:val="32"/>
          <w:lang w:val="zh-CN" w:eastAsia="zh-CN" w:bidi="ar-SA"/>
        </w:rPr>
        <w:t>3、武威市中级人民法院202</w:t>
      </w: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kern w:val="2"/>
          <w:sz w:val="32"/>
          <w:szCs w:val="32"/>
          <w:lang w:val="zh-CN" w:eastAsia="zh-CN" w:bidi="ar-SA"/>
        </w:rPr>
        <w:t>年度绩效自评报告 </w:t>
      </w:r>
    </w:p>
    <w:p>
      <w:pPr>
        <w:spacing w:before="100" w:beforeLines="0" w:after="100" w:afterLines="0"/>
        <w:jc w:val="both"/>
        <w:rPr>
          <w:rFonts w:hint="eastAsia" w:ascii="仿宋" w:hAnsi="仿宋" w:eastAsia="仿宋" w:cs="仿宋"/>
          <w:color w:val="auto"/>
          <w:sz w:val="32"/>
          <w:szCs w:val="32"/>
          <w:lang w:val="zh-CN"/>
        </w:rPr>
      </w:pPr>
    </w:p>
    <w:sectPr>
      <w:footerReference r:id="rId3" w:type="default"/>
      <w:pgSz w:w="12240" w:h="15840"/>
      <w:pgMar w:top="1440" w:right="1800" w:bottom="1440" w:left="1800" w:header="720" w:footer="720" w:gutter="0"/>
      <w:lnNumType w:countBy="0" w:distance="36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2"/>
      <w:numFmt w:val="chineseCounting"/>
      <w:lvlText w:val="(%1)"/>
      <w:lvlJc w:val="left"/>
      <w:pPr>
        <w:tabs>
          <w:tab w:val="left" w:pos="312"/>
        </w:tabs>
      </w:pPr>
      <w:rPr>
        <w:rFonts w:hint="eastAsia"/>
      </w:rPr>
    </w:lvl>
  </w:abstractNum>
  <w:abstractNum w:abstractNumId="1">
    <w:nsid w:val="59ADCABA"/>
    <w:multiLevelType w:val="singleLevel"/>
    <w:tmpl w:val="59ADCABA"/>
    <w:lvl w:ilvl="0" w:tentative="0">
      <w:start w:val="3"/>
      <w:numFmt w:val="decimal"/>
      <w:lvlText w:val="%1."/>
      <w:lvlJc w:val="left"/>
      <w:pPr>
        <w:tabs>
          <w:tab w:val="left" w:pos="312"/>
        </w:tabs>
      </w:pPr>
      <w:rPr>
        <w:rFonts w:hint="default"/>
        <w:color w:val="000000" w:themeColor="text1"/>
        <w14:textFill>
          <w14:solidFill>
            <w14:schemeClr w14:val="tx1"/>
          </w14:solidFill>
        </w14:textFill>
      </w:rPr>
    </w:lvl>
  </w:abstractNum>
  <w:abstractNum w:abstractNumId="2">
    <w:nsid w:val="7372A2E4"/>
    <w:multiLevelType w:val="singleLevel"/>
    <w:tmpl w:val="7372A2E4"/>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OTVlMjM1NzZmMDUyYTY1Yzc4ZDBhMjY0YTBiZTIifQ=="/>
  </w:docVars>
  <w:rsids>
    <w:rsidRoot w:val="00000000"/>
    <w:rsid w:val="04993F99"/>
    <w:rsid w:val="07A8437E"/>
    <w:rsid w:val="0DDC5C1C"/>
    <w:rsid w:val="0FF40355"/>
    <w:rsid w:val="11167533"/>
    <w:rsid w:val="115B4B8E"/>
    <w:rsid w:val="160A7AC1"/>
    <w:rsid w:val="21EE4FD9"/>
    <w:rsid w:val="23B5557B"/>
    <w:rsid w:val="247E33E9"/>
    <w:rsid w:val="2C115EBA"/>
    <w:rsid w:val="2D133870"/>
    <w:rsid w:val="331237FD"/>
    <w:rsid w:val="3335268D"/>
    <w:rsid w:val="3E2369B0"/>
    <w:rsid w:val="3FF3441B"/>
    <w:rsid w:val="44100E3F"/>
    <w:rsid w:val="45095CBF"/>
    <w:rsid w:val="4898687B"/>
    <w:rsid w:val="4AF33DCF"/>
    <w:rsid w:val="5073519B"/>
    <w:rsid w:val="51D84C39"/>
    <w:rsid w:val="52ED7982"/>
    <w:rsid w:val="5A3410A5"/>
    <w:rsid w:val="5DEF70AD"/>
    <w:rsid w:val="5EBC56BB"/>
    <w:rsid w:val="5FF32BD2"/>
    <w:rsid w:val="62B8478E"/>
    <w:rsid w:val="6BC47DEF"/>
    <w:rsid w:val="6D7B3C96"/>
    <w:rsid w:val="6DED5B6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rPr>
  </w:style>
  <w:style w:type="paragraph" w:styleId="3">
    <w:name w:val="heading 1"/>
    <w:basedOn w:val="1"/>
    <w:next w:val="1"/>
    <w:qFormat/>
    <w:uiPriority w:val="9"/>
    <w:pPr>
      <w:keepNext/>
      <w:keepLines/>
      <w:spacing w:before="200" w:after="200"/>
      <w:ind w:firstLine="0" w:firstLineChars="0"/>
      <w:outlineLvl w:val="0"/>
    </w:pPr>
    <w:rPr>
      <w:rFonts w:ascii="黑体" w:hAnsi="黑体" w:eastAsia="黑体"/>
      <w:b/>
      <w:bCs/>
      <w:kern w:val="44"/>
      <w:sz w:val="32"/>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0"/>
    <w:pPr>
      <w:ind w:firstLine="640" w:firstLineChars="200"/>
    </w:pPr>
    <w:rPr>
      <w:rFonts w:ascii="仿宋_GB2312" w:hAnsi="仿宋_GB2312" w:eastAsia="仿宋_GB2312" w:cs="仿宋_GB2312"/>
      <w:color w:val="0000FF"/>
      <w:sz w:val="32"/>
      <w:szCs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lang w:val="en-US" w:eastAsia="zh-CN" w:bidi="ar"/>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dc:creator>O.L.Problem without you</dc:creator>
  <cp:lastModifiedBy>admin</cp:lastModifiedBy>
  <cp:revision>1</cp:revision>
  <dcterms:created xsi:type="dcterms:W3CDTF">2023-07-20T03:33:00Z</dcterms:created>
  <dcterms:modified xsi:type="dcterms:W3CDTF">2024-08-07T09:26:33Z</dcterms:modified>
</cp:coreProperties>
</file>

<file path=customXml/item2.xml><?xml version="1.0" encoding="utf-8"?>
<Properties xmlns:vt="http://schemas.openxmlformats.org/officeDocument/2006/docPropsVTypes" xmlns="http://schemas.openxmlformats.org/officeDocument/2006/extended-properties">
  <Template>Normal.dotm</Template>
  <TotalTime>0</TotalTime>
  <Pages>13</Pages>
  <Words>6363</Words>
  <Characters>16240</Characters>
  <Application>WPS Office_11.1.0.12980_F1E327BC-269C-435d-A152-05C5408002CA</Application>
  <DocSecurity>0</DocSecurity>
  <Lines>0</Lines>
  <Paragraphs>0</Paragraphs>
  <CharactersWithSpaces>16240</CharactersWithSpaces>
  <AppVersion>14.0000</AppVersion>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wstr>2052-11.1.0.12980</vt:lpwstr>
  </property>
  <property fmtid="{D5CDD505-2E9C-101B-9397-08002B2CF9AE}" pid="3" name="ICV">
    <vt:lpwstr>E06D266F13EA4024808CEEADBAD91186_11</vt:lpwstr>
  </proper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admin</cp:lastModifiedBy>
  <dcterms:modified xsi:type="dcterms:W3CDTF">2024-08-07T09:26:33Z</dcterms:modified>
  <cp:revision>1</cp:revision>
</cp:coreProperties>
</file>

<file path=customXml/item5.xml><?xml version="1.0" encoding="utf-8"?>
<Properties xmlns="http://schemas.openxmlformats.org/officeDocument/2006/extended-properties" xmlns:vt="http://schemas.openxmlformats.org/officeDocument/2006/docPropsVTypes">
  <Template>Normal.dotm</Template>
  <Pages>13</Pages>
  <Words>6363</Words>
  <Characters>16240</Characters>
  <Lines>0</Lines>
  <Paragraphs>0</Paragraphs>
  <TotalTime>0</TotalTime>
  <ScaleCrop>false</ScaleCrop>
  <LinksUpToDate>false</LinksUpToDate>
  <CharactersWithSpaces>16240</CharactersWithSpaces>
  <Application>WPS Office_11.1.0.12980_F1E327BC-269C-435d-A152-05C5408002CA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E06D266F13EA4024808CEEADBAD91186_11</vt:lpwstr>
  </property>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admin</cp:lastModifiedBy>
  <dcterms:modified xsi:type="dcterms:W3CDTF">2024-08-07T09:26:33Z</dcterms:modified>
  <cp:revision>1</cp:revision>
</cp:coreProperties>
</file>

<file path=customXml/item8.xml><?xml version="1.0" encoding="utf-8"?>
<Properties xmlns="http://schemas.openxmlformats.org/officeDocument/2006/extended-properties" xmlns:vt="http://schemas.openxmlformats.org/officeDocument/2006/docPropsVTypes">
  <Template>Normal.dotm</Template>
  <Pages>13</Pages>
  <Words>6363</Words>
  <Characters>16240</Characters>
  <Lines>0</Lines>
  <Paragraphs>0</Paragraphs>
  <TotalTime>0</TotalTime>
  <ScaleCrop>false</ScaleCrop>
  <LinksUpToDate>false</LinksUpToDate>
  <CharactersWithSpaces>16240</CharactersWithSpaces>
  <Application>WPS Office_11.1.0.12980_F1E327BC-269C-435d-A152-05C5408002CA</Application>
  <DocSecurity>0</DocSecurity>
</Properties>
</file>

<file path=customXml/item9.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E06D266F13EA4024808CEEADBAD91186_11</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7b1d3358-0482-4016-b0ad-c867d59613d3}">
  <ds:schemaRefs/>
</ds:datastoreItem>
</file>

<file path=customXml/itemProps2.xml><?xml version="1.0" encoding="utf-8"?>
<ds:datastoreItem xmlns:ds="http://schemas.openxmlformats.org/officeDocument/2006/customXml" ds:itemID="{7791d572-4e65-4618-86ac-1b29d76edead}">
  <ds:schemaRefs/>
</ds:datastoreItem>
</file>

<file path=customXml/itemProps3.xml><?xml version="1.0" encoding="utf-8"?>
<ds:datastoreItem xmlns:ds="http://schemas.openxmlformats.org/officeDocument/2006/customXml" ds:itemID="{689a494a-e399-4121-bf0e-6dc601e0dbd3}">
  <ds:schemaRefs/>
</ds:datastoreItem>
</file>

<file path=customXml/itemProps4.xml><?xml version="1.0" encoding="utf-8"?>
<ds:datastoreItem xmlns:ds="http://schemas.openxmlformats.org/officeDocument/2006/customXml" ds:itemID="{55f99db1-88ab-4122-b34b-b07f9912a5d9}">
  <ds:schemaRefs/>
</ds:datastoreItem>
</file>

<file path=customXml/itemProps5.xml><?xml version="1.0" encoding="utf-8"?>
<ds:datastoreItem xmlns:ds="http://schemas.openxmlformats.org/officeDocument/2006/customXml" ds:itemID="{dbbf0b12-7ee3-46b5-9512-7b26ae9b468a}">
  <ds:schemaRefs/>
</ds:datastoreItem>
</file>

<file path=customXml/itemProps6.xml><?xml version="1.0" encoding="utf-8"?>
<ds:datastoreItem xmlns:ds="http://schemas.openxmlformats.org/officeDocument/2006/customXml" ds:itemID="{548609bf-ffb8-40ef-8de8-e2cad505a52d}">
  <ds:schemaRefs/>
</ds:datastoreItem>
</file>

<file path=customXml/itemProps7.xml><?xml version="1.0" encoding="utf-8"?>
<ds:datastoreItem xmlns:ds="http://schemas.openxmlformats.org/officeDocument/2006/customXml" ds:itemID="{34b06458-a7d5-4d38-99ac-f2a2ae5ceac7}">
  <ds:schemaRefs/>
</ds:datastoreItem>
</file>

<file path=customXml/itemProps8.xml><?xml version="1.0" encoding="utf-8"?>
<ds:datastoreItem xmlns:ds="http://schemas.openxmlformats.org/officeDocument/2006/customXml" ds:itemID="{01f150d4-3e7c-4116-ab63-6663828dcf96}">
  <ds:schemaRefs/>
</ds:datastoreItem>
</file>

<file path=customXml/itemProps9.xml><?xml version="1.0" encoding="utf-8"?>
<ds:datastoreItem xmlns:ds="http://schemas.openxmlformats.org/officeDocument/2006/customXml" ds:itemID="{eff056fc-d067-4d3d-b1a5-13d581532794}">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5670</Words>
  <Characters>6319</Characters>
  <Lines>0</Lines>
  <Paragraphs>0</Paragraphs>
  <TotalTime>6</TotalTime>
  <ScaleCrop>false</ScaleCrop>
  <LinksUpToDate>false</LinksUpToDate>
  <CharactersWithSpaces>6364</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lenovo</cp:lastModifiedBy>
  <cp:lastPrinted>2024-08-12T02:15:00Z</cp:lastPrinted>
  <dcterms:modified xsi:type="dcterms:W3CDTF">2024-08-20T09:07:38Z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7EE3B3CA964C4D86966615545D69A0DD</vt:lpwstr>
  </property>
</Properties>
</file>