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79B3D">
      <w:pPr>
        <w:spacing w:line="480" w:lineRule="auto"/>
        <w:ind w:firstLine="883"/>
        <w:jc w:val="center"/>
        <w:rPr>
          <w:rFonts w:ascii="宋体" w:hAnsi="宋体" w:eastAsia="宋体"/>
          <w:b/>
          <w:bCs/>
          <w:sz w:val="44"/>
          <w:szCs w:val="44"/>
        </w:rPr>
      </w:pPr>
    </w:p>
    <w:p w14:paraId="17E9D718">
      <w:pPr>
        <w:spacing w:line="480" w:lineRule="auto"/>
        <w:ind w:firstLine="883"/>
        <w:jc w:val="center"/>
        <w:rPr>
          <w:rFonts w:ascii="宋体" w:hAnsi="宋体" w:eastAsia="宋体"/>
          <w:b/>
          <w:bCs/>
          <w:sz w:val="44"/>
          <w:szCs w:val="44"/>
        </w:rPr>
      </w:pPr>
    </w:p>
    <w:p w14:paraId="583F26B8">
      <w:pPr>
        <w:spacing w:line="480" w:lineRule="auto"/>
        <w:ind w:firstLine="883"/>
        <w:jc w:val="center"/>
        <w:rPr>
          <w:rFonts w:ascii="宋体" w:hAnsi="宋体" w:eastAsia="宋体"/>
          <w:b/>
          <w:bCs/>
          <w:sz w:val="44"/>
          <w:szCs w:val="44"/>
        </w:rPr>
      </w:pPr>
    </w:p>
    <w:p w14:paraId="2305F290">
      <w:pPr>
        <w:spacing w:line="720" w:lineRule="auto"/>
        <w:ind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2023年度兰州市西固区人民法院</w:t>
      </w:r>
    </w:p>
    <w:p w14:paraId="084B7D68">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lang w:eastAsia="zh-CN"/>
        </w:rPr>
        <w:t>绩效</w:t>
      </w:r>
      <w:r>
        <w:rPr>
          <w:rFonts w:ascii="宋体" w:hAnsi="宋体" w:eastAsia="宋体"/>
          <w:b/>
          <w:bCs/>
          <w:sz w:val="44"/>
          <w:szCs w:val="44"/>
        </w:rPr>
        <w:t>自评报告</w:t>
      </w:r>
    </w:p>
    <w:p w14:paraId="0655C9AC">
      <w:pPr>
        <w:widowControl/>
        <w:spacing w:line="240" w:lineRule="auto"/>
        <w:ind w:firstLine="0" w:firstLineChars="0"/>
        <w:jc w:val="left"/>
        <w:rPr>
          <w:rFonts w:ascii="宋体" w:hAnsi="宋体" w:eastAsia="宋体"/>
          <w:b/>
          <w:bCs/>
          <w:sz w:val="44"/>
          <w:szCs w:val="44"/>
        </w:rPr>
      </w:pPr>
    </w:p>
    <w:p w14:paraId="67395392">
      <w:pPr>
        <w:ind w:firstLine="883"/>
        <w:jc w:val="center"/>
        <w:rPr>
          <w:rFonts w:ascii="宋体" w:hAnsi="宋体" w:eastAsia="宋体"/>
          <w:b/>
          <w:bCs/>
          <w:sz w:val="44"/>
          <w:szCs w:val="44"/>
        </w:rPr>
      </w:pPr>
    </w:p>
    <w:p w14:paraId="19828F87">
      <w:pPr>
        <w:ind w:firstLine="883"/>
        <w:jc w:val="center"/>
        <w:rPr>
          <w:rFonts w:ascii="宋体" w:hAnsi="宋体" w:eastAsia="宋体"/>
          <w:b/>
          <w:bCs/>
          <w:sz w:val="44"/>
          <w:szCs w:val="44"/>
        </w:rPr>
      </w:pPr>
    </w:p>
    <w:p w14:paraId="39880687">
      <w:pPr>
        <w:ind w:firstLine="883"/>
        <w:jc w:val="center"/>
        <w:rPr>
          <w:rFonts w:ascii="宋体" w:hAnsi="宋体" w:eastAsia="宋体"/>
          <w:b/>
          <w:bCs/>
          <w:sz w:val="44"/>
          <w:szCs w:val="44"/>
        </w:rPr>
      </w:pPr>
    </w:p>
    <w:p w14:paraId="688A7EC8">
      <w:pPr>
        <w:ind w:firstLine="883"/>
        <w:jc w:val="center"/>
        <w:rPr>
          <w:rFonts w:ascii="宋体" w:hAnsi="宋体" w:eastAsia="宋体"/>
          <w:b/>
          <w:bCs/>
          <w:sz w:val="44"/>
          <w:szCs w:val="44"/>
        </w:rPr>
      </w:pPr>
    </w:p>
    <w:p w14:paraId="767A5D97">
      <w:pPr>
        <w:ind w:firstLine="883"/>
        <w:jc w:val="center"/>
        <w:rPr>
          <w:rFonts w:ascii="宋体" w:hAnsi="宋体" w:eastAsia="宋体"/>
          <w:b/>
          <w:bCs/>
          <w:sz w:val="44"/>
          <w:szCs w:val="44"/>
        </w:rPr>
      </w:pPr>
    </w:p>
    <w:p w14:paraId="1942B7E8">
      <w:pPr>
        <w:ind w:firstLine="883"/>
        <w:jc w:val="center"/>
        <w:rPr>
          <w:rFonts w:ascii="宋体" w:hAnsi="宋体" w:eastAsia="宋体"/>
          <w:b/>
          <w:bCs/>
          <w:sz w:val="44"/>
          <w:szCs w:val="44"/>
        </w:rPr>
      </w:pPr>
    </w:p>
    <w:p w14:paraId="36FF6204">
      <w:pPr>
        <w:ind w:firstLine="883"/>
        <w:jc w:val="center"/>
        <w:rPr>
          <w:rFonts w:ascii="宋体" w:hAnsi="宋体" w:eastAsia="宋体"/>
          <w:b/>
          <w:bCs/>
          <w:sz w:val="44"/>
          <w:szCs w:val="44"/>
        </w:rPr>
      </w:pPr>
    </w:p>
    <w:p w14:paraId="2BFF75F7">
      <w:pPr>
        <w:ind w:firstLine="883"/>
        <w:jc w:val="center"/>
        <w:rPr>
          <w:rFonts w:ascii="宋体" w:hAnsi="宋体" w:eastAsia="宋体"/>
          <w:b/>
          <w:bCs/>
          <w:sz w:val="44"/>
          <w:szCs w:val="44"/>
        </w:rPr>
      </w:pPr>
    </w:p>
    <w:p w14:paraId="03B5E7FB">
      <w:pPr>
        <w:ind w:firstLine="883"/>
        <w:jc w:val="center"/>
        <w:rPr>
          <w:rFonts w:ascii="宋体" w:hAnsi="宋体" w:eastAsia="宋体"/>
          <w:b/>
          <w:bCs/>
          <w:sz w:val="44"/>
          <w:szCs w:val="44"/>
        </w:rPr>
      </w:pPr>
    </w:p>
    <w:p w14:paraId="0B8C17FF">
      <w:pPr>
        <w:ind w:firstLine="883"/>
        <w:jc w:val="center"/>
        <w:rPr>
          <w:rFonts w:ascii="宋体" w:hAnsi="宋体" w:eastAsia="宋体"/>
          <w:b/>
          <w:bCs/>
          <w:sz w:val="44"/>
          <w:szCs w:val="44"/>
        </w:rPr>
      </w:pPr>
    </w:p>
    <w:p w14:paraId="10E90422">
      <w:pPr>
        <w:ind w:firstLine="883"/>
        <w:jc w:val="center"/>
        <w:rPr>
          <w:rFonts w:ascii="宋体" w:hAnsi="宋体" w:eastAsia="宋体"/>
          <w:b/>
          <w:bCs/>
          <w:sz w:val="44"/>
          <w:szCs w:val="44"/>
        </w:rPr>
      </w:pPr>
    </w:p>
    <w:p w14:paraId="3C549D0D">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兰州市西固区人民法院</w:t>
      </w:r>
    </w:p>
    <w:p w14:paraId="4AD4BD5E">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4</w:t>
      </w:r>
      <w:r>
        <w:rPr>
          <w:rFonts w:hint="eastAsia" w:ascii="宋体" w:hAnsi="宋体" w:eastAsia="宋体"/>
          <w:b/>
          <w:bCs/>
          <w:sz w:val="32"/>
          <w:szCs w:val="32"/>
        </w:rPr>
        <w:t>年</w:t>
      </w:r>
      <w:r>
        <w:rPr>
          <w:rFonts w:hint="eastAsia" w:ascii="宋体" w:hAnsi="宋体" w:eastAsia="宋体"/>
          <w:b/>
          <w:bCs/>
          <w:sz w:val="32"/>
          <w:szCs w:val="32"/>
          <w:lang w:val="en-US" w:eastAsia="zh-CN"/>
        </w:rPr>
        <w:t>3</w:t>
      </w:r>
      <w:r>
        <w:rPr>
          <w:rFonts w:hint="eastAsia" w:ascii="宋体" w:hAnsi="宋体" w:eastAsia="宋体"/>
          <w:b/>
          <w:bCs/>
          <w:sz w:val="32"/>
          <w:szCs w:val="32"/>
        </w:rPr>
        <w:t>月</w:t>
      </w:r>
    </w:p>
    <w:p w14:paraId="6ECA6EA9">
      <w:pPr>
        <w:ind w:firstLine="560"/>
      </w:pPr>
    </w:p>
    <w:p w14:paraId="190DC194">
      <w:pPr>
        <w:pStyle w:val="32"/>
        <w:spacing w:line="360" w:lineRule="auto"/>
        <w:ind w:firstLine="560"/>
        <w:jc w:val="center"/>
        <w:rPr>
          <w:rFonts w:ascii="仿宋_GB2312" w:hAnsi="仿宋_GB2312" w:eastAsia="仿宋_GB2312" w:cstheme="minorBidi"/>
          <w:color w:val="auto"/>
          <w:kern w:val="2"/>
          <w:sz w:val="28"/>
          <w:szCs w:val="22"/>
          <w:lang w:val="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14:paraId="0F2C94A1">
          <w:pPr>
            <w:pStyle w:val="32"/>
            <w:spacing w:line="360" w:lineRule="auto"/>
            <w:ind w:firstLine="560"/>
            <w:jc w:val="center"/>
            <w:rPr>
              <w:rFonts w:ascii="黑体" w:hAnsi="黑体" w:eastAsia="黑体"/>
              <w:color w:val="auto"/>
            </w:rPr>
          </w:pPr>
          <w:r>
            <w:rPr>
              <w:rFonts w:ascii="黑体" w:hAnsi="黑体" w:eastAsia="黑体"/>
              <w:color w:val="auto"/>
              <w:lang w:val="zh-CN"/>
            </w:rPr>
            <w:t>目</w:t>
          </w:r>
          <w:r>
            <w:rPr>
              <w:rFonts w:hint="eastAsia" w:ascii="黑体" w:hAnsi="黑体" w:eastAsia="黑体"/>
              <w:color w:val="auto"/>
              <w:lang w:val="zh-CN"/>
            </w:rPr>
            <w:t xml:space="preserve"> </w:t>
          </w:r>
          <w:r>
            <w:rPr>
              <w:rFonts w:ascii="黑体" w:hAnsi="黑体" w:eastAsia="黑体"/>
              <w:color w:val="auto"/>
              <w:lang w:val="zh-CN"/>
            </w:rPr>
            <w:t xml:space="preserve"> 录</w:t>
          </w:r>
        </w:p>
        <w:p w14:paraId="1B0A665D">
          <w:pPr>
            <w:pStyle w:val="14"/>
            <w:tabs>
              <w:tab w:val="right" w:leader="dot" w:pos="8306"/>
              <w:tab w:val="clear" w:pos="8296"/>
            </w:tabs>
          </w:pPr>
          <w:r>
            <w:fldChar w:fldCharType="begin"/>
          </w:r>
          <w:r>
            <w:instrText xml:space="preserve"> TOC \o "1-2" \h \z \u </w:instrText>
          </w:r>
          <w:r>
            <w:fldChar w:fldCharType="separate"/>
          </w:r>
          <w:r>
            <w:fldChar w:fldCharType="begin"/>
          </w:r>
          <w:r>
            <w:instrText xml:space="preserve"> HYPERLINK \l _Toc18180 </w:instrText>
          </w:r>
          <w:r>
            <w:fldChar w:fldCharType="separate"/>
          </w:r>
          <w:r>
            <w:rPr>
              <w:rFonts w:hint="eastAsia"/>
            </w:rPr>
            <w:t>一、基本情况</w:t>
          </w:r>
          <w:r>
            <w:tab/>
          </w:r>
          <w:r>
            <w:fldChar w:fldCharType="begin"/>
          </w:r>
          <w:r>
            <w:instrText xml:space="preserve"> PAGEREF _Toc18180 \h </w:instrText>
          </w:r>
          <w:r>
            <w:fldChar w:fldCharType="separate"/>
          </w:r>
          <w:r>
            <w:t>1</w:t>
          </w:r>
          <w:r>
            <w:fldChar w:fldCharType="end"/>
          </w:r>
          <w:r>
            <w:fldChar w:fldCharType="end"/>
          </w:r>
        </w:p>
        <w:p w14:paraId="41452E1B">
          <w:pPr>
            <w:pStyle w:val="15"/>
            <w:tabs>
              <w:tab w:val="right" w:leader="dot" w:pos="8306"/>
              <w:tab w:val="clear" w:pos="8296"/>
            </w:tabs>
          </w:pPr>
          <w:r>
            <w:fldChar w:fldCharType="begin"/>
          </w:r>
          <w:r>
            <w:instrText xml:space="preserve"> HYPERLINK \l _Toc10358 </w:instrText>
          </w:r>
          <w:r>
            <w:fldChar w:fldCharType="separate"/>
          </w:r>
          <w:r>
            <w:rPr>
              <w:rFonts w:hint="eastAsia"/>
            </w:rPr>
            <w:t>（一）部门主要职能</w:t>
          </w:r>
          <w:r>
            <w:tab/>
          </w:r>
          <w:r>
            <w:fldChar w:fldCharType="begin"/>
          </w:r>
          <w:r>
            <w:instrText xml:space="preserve"> PAGEREF _Toc10358 \h </w:instrText>
          </w:r>
          <w:r>
            <w:fldChar w:fldCharType="separate"/>
          </w:r>
          <w:r>
            <w:t>1</w:t>
          </w:r>
          <w:r>
            <w:fldChar w:fldCharType="end"/>
          </w:r>
          <w:r>
            <w:fldChar w:fldCharType="end"/>
          </w:r>
        </w:p>
        <w:p w14:paraId="169C1FB8">
          <w:pPr>
            <w:pStyle w:val="15"/>
            <w:tabs>
              <w:tab w:val="right" w:leader="dot" w:pos="8306"/>
              <w:tab w:val="clear" w:pos="8296"/>
            </w:tabs>
          </w:pPr>
          <w:r>
            <w:fldChar w:fldCharType="begin"/>
          </w:r>
          <w:r>
            <w:instrText xml:space="preserve"> HYPERLINK \l _Toc26208 </w:instrText>
          </w:r>
          <w:r>
            <w:fldChar w:fldCharType="separate"/>
          </w:r>
          <w:r>
            <w:rPr>
              <w:rFonts w:hint="eastAsia"/>
            </w:rPr>
            <w:t>（二）内设机构</w:t>
          </w:r>
          <w:r>
            <w:rPr>
              <w:rFonts w:hint="eastAsia"/>
              <w:lang w:eastAsia="zh-CN"/>
            </w:rPr>
            <w:t>、</w:t>
          </w:r>
          <w:r>
            <w:rPr>
              <w:rFonts w:hint="eastAsia"/>
              <w:lang w:val="en-US" w:eastAsia="zh-CN"/>
            </w:rPr>
            <w:t>人员情况</w:t>
          </w:r>
          <w:r>
            <w:rPr>
              <w:rFonts w:hint="eastAsia"/>
            </w:rPr>
            <w:t>及所属</w:t>
          </w:r>
          <w:r>
            <w:rPr>
              <w:rFonts w:hint="eastAsia"/>
              <w:lang w:eastAsia="zh-CN"/>
            </w:rPr>
            <w:t>部门</w:t>
          </w:r>
          <w:r>
            <w:rPr>
              <w:rFonts w:hint="eastAsia"/>
            </w:rPr>
            <w:t>概况</w:t>
          </w:r>
          <w:r>
            <w:tab/>
          </w:r>
          <w:r>
            <w:fldChar w:fldCharType="begin"/>
          </w:r>
          <w:r>
            <w:instrText xml:space="preserve"> PAGEREF _Toc26208 \h </w:instrText>
          </w:r>
          <w:r>
            <w:fldChar w:fldCharType="separate"/>
          </w:r>
          <w:r>
            <w:t>1</w:t>
          </w:r>
          <w:r>
            <w:fldChar w:fldCharType="end"/>
          </w:r>
          <w:r>
            <w:fldChar w:fldCharType="end"/>
          </w:r>
        </w:p>
        <w:p w14:paraId="44ECA4ED">
          <w:pPr>
            <w:pStyle w:val="14"/>
            <w:tabs>
              <w:tab w:val="right" w:leader="dot" w:pos="8306"/>
              <w:tab w:val="clear" w:pos="8296"/>
            </w:tabs>
          </w:pPr>
          <w:r>
            <w:fldChar w:fldCharType="begin"/>
          </w:r>
          <w:r>
            <w:instrText xml:space="preserve"> HYPERLINK \l _Toc2833 </w:instrText>
          </w:r>
          <w:r>
            <w:fldChar w:fldCharType="separate"/>
          </w:r>
          <w:r>
            <w:rPr>
              <w:rFonts w:hint="eastAsia"/>
            </w:rPr>
            <w:t>二、绩效自评工作组织开展情况</w:t>
          </w:r>
          <w:r>
            <w:tab/>
          </w:r>
          <w:r>
            <w:fldChar w:fldCharType="begin"/>
          </w:r>
          <w:r>
            <w:instrText xml:space="preserve"> PAGEREF _Toc2833 \h </w:instrText>
          </w:r>
          <w:r>
            <w:fldChar w:fldCharType="separate"/>
          </w:r>
          <w:r>
            <w:t>2</w:t>
          </w:r>
          <w:r>
            <w:fldChar w:fldCharType="end"/>
          </w:r>
          <w:r>
            <w:fldChar w:fldCharType="end"/>
          </w:r>
        </w:p>
        <w:p w14:paraId="6CF4DA34">
          <w:pPr>
            <w:pStyle w:val="15"/>
            <w:tabs>
              <w:tab w:val="right" w:leader="dot" w:pos="8306"/>
              <w:tab w:val="clear" w:pos="8296"/>
            </w:tabs>
          </w:pPr>
          <w:r>
            <w:fldChar w:fldCharType="begin"/>
          </w:r>
          <w:r>
            <w:instrText xml:space="preserve"> HYPERLINK \l _Toc12827 </w:instrText>
          </w:r>
          <w:r>
            <w:fldChar w:fldCharType="separate"/>
          </w: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自评工作组织管理情况</w:t>
          </w:r>
          <w:r>
            <w:tab/>
          </w:r>
          <w:r>
            <w:fldChar w:fldCharType="begin"/>
          </w:r>
          <w:r>
            <w:instrText xml:space="preserve"> PAGEREF _Toc12827 \h </w:instrText>
          </w:r>
          <w:r>
            <w:fldChar w:fldCharType="separate"/>
          </w:r>
          <w:r>
            <w:t>2</w:t>
          </w:r>
          <w:r>
            <w:fldChar w:fldCharType="end"/>
          </w:r>
          <w:r>
            <w:fldChar w:fldCharType="end"/>
          </w:r>
        </w:p>
        <w:p w14:paraId="6AEE25AD">
          <w:pPr>
            <w:pStyle w:val="15"/>
            <w:tabs>
              <w:tab w:val="right" w:leader="dot" w:pos="8306"/>
              <w:tab w:val="clear" w:pos="8296"/>
            </w:tabs>
          </w:pPr>
          <w:r>
            <w:fldChar w:fldCharType="begin"/>
          </w:r>
          <w:r>
            <w:instrText xml:space="preserve"> HYPERLINK \l _Toc11355 </w:instrText>
          </w:r>
          <w:r>
            <w:fldChar w:fldCharType="separate"/>
          </w: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自评范围</w:t>
          </w:r>
          <w:r>
            <w:tab/>
          </w:r>
          <w:r>
            <w:fldChar w:fldCharType="begin"/>
          </w:r>
          <w:r>
            <w:instrText xml:space="preserve"> PAGEREF _Toc11355 \h </w:instrText>
          </w:r>
          <w:r>
            <w:fldChar w:fldCharType="separate"/>
          </w:r>
          <w:r>
            <w:t>3</w:t>
          </w:r>
          <w:r>
            <w:fldChar w:fldCharType="end"/>
          </w:r>
          <w:r>
            <w:fldChar w:fldCharType="end"/>
          </w:r>
        </w:p>
        <w:p w14:paraId="6F8D3803">
          <w:pPr>
            <w:pStyle w:val="15"/>
            <w:tabs>
              <w:tab w:val="right" w:leader="dot" w:pos="8306"/>
              <w:tab w:val="clear" w:pos="8296"/>
            </w:tabs>
          </w:pPr>
          <w:r>
            <w:fldChar w:fldCharType="begin"/>
          </w:r>
          <w:r>
            <w:instrText xml:space="preserve"> HYPERLINK \l _Toc9077 </w:instrText>
          </w:r>
          <w:r>
            <w:fldChar w:fldCharType="separate"/>
          </w:r>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rPr>
            <w:t>自评工作程序</w:t>
          </w:r>
          <w:r>
            <w:tab/>
          </w:r>
          <w:r>
            <w:fldChar w:fldCharType="begin"/>
          </w:r>
          <w:r>
            <w:instrText xml:space="preserve"> PAGEREF _Toc9077 \h </w:instrText>
          </w:r>
          <w:r>
            <w:fldChar w:fldCharType="separate"/>
          </w:r>
          <w:r>
            <w:t>3</w:t>
          </w:r>
          <w:r>
            <w:fldChar w:fldCharType="end"/>
          </w:r>
          <w:r>
            <w:fldChar w:fldCharType="end"/>
          </w:r>
        </w:p>
        <w:p w14:paraId="6970A2CB">
          <w:pPr>
            <w:pStyle w:val="14"/>
            <w:tabs>
              <w:tab w:val="right" w:leader="dot" w:pos="8306"/>
              <w:tab w:val="clear" w:pos="8296"/>
            </w:tabs>
          </w:pPr>
          <w:r>
            <w:fldChar w:fldCharType="begin"/>
          </w:r>
          <w:r>
            <w:instrText xml:space="preserve"> HYPERLINK \l _Toc12484 </w:instrText>
          </w:r>
          <w:r>
            <w:fldChar w:fldCharType="separate"/>
          </w:r>
          <w:r>
            <w:rPr>
              <w:rFonts w:hint="eastAsia"/>
            </w:rPr>
            <w:t>三、部门整体支出绩效自评情况分析</w:t>
          </w:r>
          <w:r>
            <w:tab/>
          </w:r>
          <w:r>
            <w:fldChar w:fldCharType="begin"/>
          </w:r>
          <w:r>
            <w:instrText xml:space="preserve"> PAGEREF _Toc12484 \h </w:instrText>
          </w:r>
          <w:r>
            <w:fldChar w:fldCharType="separate"/>
          </w:r>
          <w:r>
            <w:t>4</w:t>
          </w:r>
          <w:r>
            <w:fldChar w:fldCharType="end"/>
          </w:r>
          <w:r>
            <w:fldChar w:fldCharType="end"/>
          </w:r>
        </w:p>
        <w:p w14:paraId="37165C99">
          <w:pPr>
            <w:pStyle w:val="15"/>
            <w:tabs>
              <w:tab w:val="right" w:leader="dot" w:pos="8306"/>
              <w:tab w:val="clear" w:pos="8296"/>
            </w:tabs>
          </w:pPr>
          <w:r>
            <w:fldChar w:fldCharType="begin"/>
          </w:r>
          <w:r>
            <w:instrText xml:space="preserve"> HYPERLINK \l _Toc1134 </w:instrText>
          </w:r>
          <w:r>
            <w:fldChar w:fldCharType="separate"/>
          </w:r>
          <w:r>
            <w:rPr>
              <w:rFonts w:hint="eastAsia"/>
            </w:rPr>
            <w:t>（一）部门决算情况</w:t>
          </w:r>
          <w:r>
            <w:tab/>
          </w:r>
          <w:r>
            <w:fldChar w:fldCharType="begin"/>
          </w:r>
          <w:r>
            <w:instrText xml:space="preserve"> PAGEREF _Toc1134 \h </w:instrText>
          </w:r>
          <w:r>
            <w:fldChar w:fldCharType="separate"/>
          </w:r>
          <w:r>
            <w:t>4</w:t>
          </w:r>
          <w:r>
            <w:fldChar w:fldCharType="end"/>
          </w:r>
          <w:r>
            <w:fldChar w:fldCharType="end"/>
          </w:r>
        </w:p>
        <w:p w14:paraId="141791FA">
          <w:pPr>
            <w:pStyle w:val="15"/>
            <w:tabs>
              <w:tab w:val="right" w:leader="dot" w:pos="8306"/>
              <w:tab w:val="clear" w:pos="8296"/>
            </w:tabs>
          </w:pPr>
          <w:r>
            <w:fldChar w:fldCharType="begin"/>
          </w:r>
          <w:r>
            <w:instrText xml:space="preserve"> HYPERLINK \l _Toc23648 </w:instrText>
          </w:r>
          <w:r>
            <w:fldChar w:fldCharType="separate"/>
          </w:r>
          <w:r>
            <w:rPr>
              <w:rFonts w:hint="eastAsia"/>
            </w:rPr>
            <w:t>（二）总体绩效目标完成情况分析</w:t>
          </w:r>
          <w:r>
            <w:tab/>
          </w:r>
          <w:r>
            <w:fldChar w:fldCharType="begin"/>
          </w:r>
          <w:r>
            <w:instrText xml:space="preserve"> PAGEREF _Toc23648 \h </w:instrText>
          </w:r>
          <w:r>
            <w:fldChar w:fldCharType="separate"/>
          </w:r>
          <w:r>
            <w:t>4</w:t>
          </w:r>
          <w:r>
            <w:fldChar w:fldCharType="end"/>
          </w:r>
          <w:r>
            <w:fldChar w:fldCharType="end"/>
          </w:r>
        </w:p>
        <w:p w14:paraId="2A735EB2">
          <w:pPr>
            <w:pStyle w:val="15"/>
            <w:tabs>
              <w:tab w:val="right" w:leader="dot" w:pos="8306"/>
              <w:tab w:val="clear" w:pos="8296"/>
            </w:tabs>
          </w:pPr>
          <w:r>
            <w:fldChar w:fldCharType="begin"/>
          </w:r>
          <w:r>
            <w:instrText xml:space="preserve"> HYPERLINK \l _Toc19116 </w:instrText>
          </w:r>
          <w:r>
            <w:fldChar w:fldCharType="separate"/>
          </w:r>
          <w:r>
            <w:rPr>
              <w:rFonts w:hint="eastAsia"/>
            </w:rPr>
            <w:t>（三）各项指标完成情况分析</w:t>
          </w:r>
          <w:r>
            <w:tab/>
          </w:r>
          <w:r>
            <w:fldChar w:fldCharType="begin"/>
          </w:r>
          <w:r>
            <w:instrText xml:space="preserve"> PAGEREF _Toc19116 \h </w:instrText>
          </w:r>
          <w:r>
            <w:fldChar w:fldCharType="separate"/>
          </w:r>
          <w:r>
            <w:t>6</w:t>
          </w:r>
          <w:r>
            <w:fldChar w:fldCharType="end"/>
          </w:r>
          <w:r>
            <w:fldChar w:fldCharType="end"/>
          </w:r>
        </w:p>
        <w:p w14:paraId="6B4DD100">
          <w:pPr>
            <w:pStyle w:val="15"/>
            <w:tabs>
              <w:tab w:val="right" w:leader="dot" w:pos="8306"/>
              <w:tab w:val="clear" w:pos="8296"/>
            </w:tabs>
          </w:pPr>
          <w:r>
            <w:fldChar w:fldCharType="begin"/>
          </w:r>
          <w:r>
            <w:instrText xml:space="preserve"> HYPERLINK \l _Toc4238 </w:instrText>
          </w:r>
          <w:r>
            <w:fldChar w:fldCharType="separate"/>
          </w:r>
          <w:r>
            <w:rPr>
              <w:rFonts w:hint="eastAsia"/>
              <w:highlight w:val="none"/>
              <w:lang w:eastAsia="zh-CN"/>
            </w:rPr>
            <w:t>（四）</w:t>
          </w:r>
          <w:r>
            <w:rPr>
              <w:rFonts w:hint="eastAsia"/>
              <w:highlight w:val="none"/>
            </w:rPr>
            <w:t>偏离绩效目标的原因及下一步改进措施</w:t>
          </w:r>
          <w:r>
            <w:tab/>
          </w:r>
          <w:r>
            <w:fldChar w:fldCharType="begin"/>
          </w:r>
          <w:r>
            <w:instrText xml:space="preserve"> PAGEREF _Toc4238 \h </w:instrText>
          </w:r>
          <w:r>
            <w:fldChar w:fldCharType="separate"/>
          </w:r>
          <w:r>
            <w:t>13</w:t>
          </w:r>
          <w:r>
            <w:fldChar w:fldCharType="end"/>
          </w:r>
          <w:r>
            <w:fldChar w:fldCharType="end"/>
          </w:r>
        </w:p>
        <w:p w14:paraId="556B70B1">
          <w:pPr>
            <w:pStyle w:val="14"/>
            <w:tabs>
              <w:tab w:val="right" w:leader="dot" w:pos="8306"/>
              <w:tab w:val="clear" w:pos="8296"/>
            </w:tabs>
          </w:pPr>
          <w:r>
            <w:fldChar w:fldCharType="begin"/>
          </w:r>
          <w:r>
            <w:instrText xml:space="preserve"> HYPERLINK \l _Toc29445 </w:instrText>
          </w:r>
          <w:r>
            <w:fldChar w:fldCharType="separate"/>
          </w:r>
          <w:r>
            <w:rPr>
              <w:rFonts w:hint="eastAsia"/>
              <w:highlight w:val="none"/>
            </w:rPr>
            <w:t>四、部门预算项目支出绩效自评情况分析</w:t>
          </w:r>
          <w:r>
            <w:tab/>
          </w:r>
          <w:r>
            <w:fldChar w:fldCharType="begin"/>
          </w:r>
          <w:r>
            <w:instrText xml:space="preserve"> PAGEREF _Toc29445 \h </w:instrText>
          </w:r>
          <w:r>
            <w:fldChar w:fldCharType="separate"/>
          </w:r>
          <w:r>
            <w:t>14</w:t>
          </w:r>
          <w:r>
            <w:fldChar w:fldCharType="end"/>
          </w:r>
          <w:r>
            <w:fldChar w:fldCharType="end"/>
          </w:r>
        </w:p>
        <w:p w14:paraId="76982519">
          <w:pPr>
            <w:pStyle w:val="15"/>
            <w:tabs>
              <w:tab w:val="right" w:leader="dot" w:pos="8306"/>
              <w:tab w:val="clear" w:pos="8296"/>
            </w:tabs>
          </w:pPr>
          <w:r>
            <w:fldChar w:fldCharType="begin"/>
          </w:r>
          <w:r>
            <w:instrText xml:space="preserve"> HYPERLINK \l _Toc15358 </w:instrText>
          </w:r>
          <w:r>
            <w:fldChar w:fldCharType="separate"/>
          </w:r>
          <w:r>
            <w:rPr>
              <w:rFonts w:hint="eastAsia"/>
              <w:highlight w:val="none"/>
              <w:lang w:eastAsia="zh-CN"/>
            </w:rPr>
            <w:t>（一）</w:t>
          </w:r>
          <w:r>
            <w:rPr>
              <w:rFonts w:hint="eastAsia"/>
              <w:highlight w:val="none"/>
              <w:lang w:val="en-US" w:eastAsia="zh-CN"/>
            </w:rPr>
            <w:t>法庭运维费</w:t>
          </w:r>
          <w:r>
            <w:tab/>
          </w:r>
          <w:r>
            <w:fldChar w:fldCharType="begin"/>
          </w:r>
          <w:r>
            <w:instrText xml:space="preserve"> PAGEREF _Toc15358 \h </w:instrText>
          </w:r>
          <w:r>
            <w:fldChar w:fldCharType="separate"/>
          </w:r>
          <w:r>
            <w:t>14</w:t>
          </w:r>
          <w:r>
            <w:fldChar w:fldCharType="end"/>
          </w:r>
          <w:r>
            <w:fldChar w:fldCharType="end"/>
          </w:r>
        </w:p>
        <w:p w14:paraId="2F0F475C">
          <w:pPr>
            <w:pStyle w:val="15"/>
            <w:tabs>
              <w:tab w:val="right" w:leader="dot" w:pos="8306"/>
              <w:tab w:val="clear" w:pos="8296"/>
            </w:tabs>
          </w:pPr>
          <w:r>
            <w:fldChar w:fldCharType="begin"/>
          </w:r>
          <w:r>
            <w:instrText xml:space="preserve"> HYPERLINK \l _Toc10728 </w:instrText>
          </w:r>
          <w:r>
            <w:fldChar w:fldCharType="separate"/>
          </w:r>
          <w:r>
            <w:rPr>
              <w:rFonts w:hint="eastAsia"/>
            </w:rPr>
            <w:t>（二）全省法院业务费</w:t>
          </w:r>
          <w:r>
            <w:tab/>
          </w:r>
          <w:r>
            <w:fldChar w:fldCharType="begin"/>
          </w:r>
          <w:r>
            <w:instrText xml:space="preserve"> PAGEREF _Toc10728 \h </w:instrText>
          </w:r>
          <w:r>
            <w:fldChar w:fldCharType="separate"/>
          </w:r>
          <w:r>
            <w:t>18</w:t>
          </w:r>
          <w:r>
            <w:fldChar w:fldCharType="end"/>
          </w:r>
          <w:r>
            <w:fldChar w:fldCharType="end"/>
          </w:r>
        </w:p>
        <w:p w14:paraId="7DAF201B">
          <w:pPr>
            <w:pStyle w:val="14"/>
            <w:tabs>
              <w:tab w:val="right" w:leader="dot" w:pos="8306"/>
              <w:tab w:val="clear" w:pos="8296"/>
            </w:tabs>
          </w:pPr>
          <w:r>
            <w:fldChar w:fldCharType="begin"/>
          </w:r>
          <w:r>
            <w:instrText xml:space="preserve"> HYPERLINK \l _Toc30679 </w:instrText>
          </w:r>
          <w:r>
            <w:fldChar w:fldCharType="separate"/>
          </w:r>
          <w:r>
            <w:rPr>
              <w:rFonts w:hint="eastAsia"/>
            </w:rPr>
            <w:t>五、部门管理的省对市县转移支付绩效自评情况分析</w:t>
          </w:r>
          <w:r>
            <w:tab/>
          </w:r>
          <w:r>
            <w:fldChar w:fldCharType="begin"/>
          </w:r>
          <w:r>
            <w:instrText xml:space="preserve"> PAGEREF _Toc30679 \h </w:instrText>
          </w:r>
          <w:r>
            <w:fldChar w:fldCharType="separate"/>
          </w:r>
          <w:r>
            <w:t>22</w:t>
          </w:r>
          <w:r>
            <w:fldChar w:fldCharType="end"/>
          </w:r>
          <w:r>
            <w:fldChar w:fldCharType="end"/>
          </w:r>
        </w:p>
        <w:p w14:paraId="45018922">
          <w:pPr>
            <w:pStyle w:val="15"/>
            <w:tabs>
              <w:tab w:val="right" w:leader="dot" w:pos="8306"/>
              <w:tab w:val="clear" w:pos="8296"/>
            </w:tabs>
            <w:rPr>
              <w:rFonts w:hint="default" w:eastAsia="仿宋_GB2312"/>
              <w:lang w:val="en-US" w:eastAsia="zh-CN"/>
            </w:rPr>
          </w:pPr>
          <w:r>
            <w:fldChar w:fldCharType="begin"/>
          </w:r>
          <w:r>
            <w:instrText xml:space="preserve"> HYPERLINK \l _Toc12406 </w:instrText>
          </w:r>
          <w:r>
            <w:fldChar w:fldCharType="separate"/>
          </w:r>
          <w:r>
            <w:rPr>
              <w:rFonts w:hint="eastAsia"/>
            </w:rPr>
            <w:t>（一）中央政法转移支付资金</w:t>
          </w:r>
          <w:r>
            <w:tab/>
          </w:r>
          <w:r>
            <w:fldChar w:fldCharType="end"/>
          </w:r>
          <w:r>
            <w:rPr>
              <w:rFonts w:hint="eastAsia"/>
              <w:lang w:val="en-US" w:eastAsia="zh-CN"/>
            </w:rPr>
            <w:t>22</w:t>
          </w:r>
        </w:p>
        <w:p w14:paraId="50F979C5">
          <w:pPr>
            <w:pStyle w:val="14"/>
            <w:tabs>
              <w:tab w:val="right" w:leader="dot" w:pos="8306"/>
              <w:tab w:val="clear" w:pos="8296"/>
            </w:tabs>
          </w:pPr>
          <w:r>
            <w:fldChar w:fldCharType="begin"/>
          </w:r>
          <w:r>
            <w:instrText xml:space="preserve"> HYPERLINK \l _Toc8962 </w:instrText>
          </w:r>
          <w:r>
            <w:fldChar w:fldCharType="separate"/>
          </w:r>
          <w:r>
            <w:rPr>
              <w:rFonts w:hint="eastAsia"/>
              <w:highlight w:val="none"/>
            </w:rPr>
            <w:t>六、绩效自评结果拟应用和公开情况</w:t>
          </w:r>
          <w:r>
            <w:tab/>
          </w:r>
          <w:r>
            <w:fldChar w:fldCharType="begin"/>
          </w:r>
          <w:r>
            <w:instrText xml:space="preserve"> PAGEREF _Toc8962 \h </w:instrText>
          </w:r>
          <w:r>
            <w:fldChar w:fldCharType="separate"/>
          </w:r>
          <w:r>
            <w:t>22</w:t>
          </w:r>
          <w:r>
            <w:fldChar w:fldCharType="end"/>
          </w:r>
          <w:r>
            <w:fldChar w:fldCharType="end"/>
          </w:r>
        </w:p>
        <w:p w14:paraId="3B4DBFA2">
          <w:pPr>
            <w:pStyle w:val="14"/>
            <w:tabs>
              <w:tab w:val="right" w:leader="dot" w:pos="8306"/>
              <w:tab w:val="clear" w:pos="8296"/>
            </w:tabs>
          </w:pPr>
          <w:r>
            <w:fldChar w:fldCharType="begin"/>
          </w:r>
          <w:r>
            <w:instrText xml:space="preserve"> HYPERLINK \l _Toc11027 </w:instrText>
          </w:r>
          <w:r>
            <w:fldChar w:fldCharType="separate"/>
          </w:r>
          <w:r>
            <w:rPr>
              <w:rFonts w:hint="eastAsia"/>
            </w:rPr>
            <w:t>七、 其他需要说明的问</w:t>
          </w:r>
          <w:r>
            <w:rPr>
              <w:rFonts w:hint="eastAsia"/>
              <w:lang w:val="en-US" w:eastAsia="zh-CN"/>
            </w:rPr>
            <w:t>题</w:t>
          </w:r>
          <w:r>
            <w:tab/>
          </w:r>
          <w:r>
            <w:fldChar w:fldCharType="begin"/>
          </w:r>
          <w:r>
            <w:instrText xml:space="preserve"> PAGEREF _Toc11027 \h </w:instrText>
          </w:r>
          <w:r>
            <w:fldChar w:fldCharType="separate"/>
          </w:r>
          <w:r>
            <w:t>22</w:t>
          </w:r>
          <w:r>
            <w:fldChar w:fldCharType="end"/>
          </w:r>
          <w:r>
            <w:fldChar w:fldCharType="end"/>
          </w:r>
        </w:p>
        <w:p w14:paraId="34E03FB6">
          <w:pPr>
            <w:ind w:firstLine="0" w:firstLineChars="0"/>
          </w:pPr>
          <w:r>
            <w:fldChar w:fldCharType="end"/>
          </w:r>
        </w:p>
      </w:sdtContent>
    </w:sdt>
    <w:p w14:paraId="39EEED1E">
      <w:pPr>
        <w:widowControl/>
        <w:spacing w:line="240" w:lineRule="auto"/>
        <w:ind w:firstLine="0" w:firstLineChars="0"/>
        <w:jc w:val="center"/>
        <w:rPr>
          <w:rFonts w:hint="eastAsia" w:ascii="宋体" w:hAnsi="宋体" w:eastAsia="宋体" w:cs="Arial"/>
          <w:b/>
          <w:bCs/>
          <w:sz w:val="44"/>
          <w:szCs w:val="44"/>
          <w:highlight w:val="none"/>
          <w:lang w:val="en-US" w:eastAsia="zh-CN"/>
        </w:rPr>
        <w:sectPr>
          <w:footerReference r:id="rId7" w:type="default"/>
          <w:pgSz w:w="11906" w:h="16838"/>
          <w:pgMar w:top="1440" w:right="1800" w:bottom="1440" w:left="1800" w:header="851" w:footer="737" w:gutter="0"/>
          <w:pgNumType w:fmt="decimal" w:start="1"/>
          <w:cols w:space="425" w:num="1"/>
          <w:docGrid w:type="lines" w:linePitch="312" w:charSpace="0"/>
        </w:sectPr>
      </w:pPr>
      <w:bookmarkStart w:id="0" w:name="_Toc4040"/>
      <w:bookmarkStart w:id="1" w:name="_Toc13158"/>
      <w:bookmarkStart w:id="2" w:name="_Toc18188"/>
      <w:bookmarkStart w:id="3" w:name="_Toc22477"/>
      <w:bookmarkStart w:id="4" w:name="_Toc28671"/>
    </w:p>
    <w:p w14:paraId="3AE90B7F">
      <w:pPr>
        <w:widowControl/>
        <w:spacing w:line="240" w:lineRule="auto"/>
        <w:ind w:firstLine="0" w:firstLineChars="0"/>
        <w:jc w:val="center"/>
        <w:rPr>
          <w:rFonts w:hint="eastAsia" w:ascii="宋体" w:hAnsi="宋体" w:eastAsia="宋体" w:cs="Arial"/>
          <w:b/>
          <w:bCs/>
          <w:sz w:val="44"/>
          <w:szCs w:val="44"/>
          <w:highlight w:val="none"/>
          <w:lang w:eastAsia="zh-CN"/>
        </w:rPr>
      </w:pPr>
      <w:r>
        <w:rPr>
          <w:rFonts w:hint="eastAsia" w:ascii="宋体" w:hAnsi="宋体" w:eastAsia="宋体" w:cs="Arial"/>
          <w:b/>
          <w:bCs/>
          <w:sz w:val="44"/>
          <w:szCs w:val="44"/>
          <w:highlight w:val="none"/>
          <w:lang w:val="en-US" w:eastAsia="zh-CN"/>
        </w:rPr>
        <w:t>兰州市西固区人民法院</w:t>
      </w:r>
      <w:r>
        <w:rPr>
          <w:rFonts w:hint="eastAsia" w:ascii="宋体" w:hAnsi="宋体" w:eastAsia="宋体" w:cs="Arial"/>
          <w:b/>
          <w:bCs/>
          <w:sz w:val="44"/>
          <w:szCs w:val="44"/>
          <w:highlight w:val="none"/>
          <w:lang w:eastAsia="zh-CN"/>
        </w:rPr>
        <w:t>2023年度</w:t>
      </w:r>
    </w:p>
    <w:p w14:paraId="1455D157">
      <w:pPr>
        <w:widowControl/>
        <w:spacing w:line="240" w:lineRule="auto"/>
        <w:ind w:firstLine="0" w:firstLineChars="0"/>
        <w:jc w:val="center"/>
        <w:rPr>
          <w:rFonts w:hint="eastAsia" w:ascii="宋体" w:hAnsi="宋体" w:eastAsia="宋体" w:cs="Arial"/>
          <w:b/>
          <w:bCs/>
          <w:sz w:val="44"/>
          <w:szCs w:val="44"/>
          <w:highlight w:val="none"/>
        </w:rPr>
      </w:pPr>
      <w:r>
        <w:rPr>
          <w:rFonts w:hint="eastAsia" w:ascii="宋体" w:hAnsi="宋体" w:eastAsia="宋体" w:cs="Arial"/>
          <w:b/>
          <w:bCs/>
          <w:sz w:val="44"/>
          <w:szCs w:val="44"/>
          <w:highlight w:val="none"/>
        </w:rPr>
        <w:t>预算执行情况自评报告</w:t>
      </w:r>
      <w:bookmarkEnd w:id="0"/>
      <w:bookmarkEnd w:id="1"/>
    </w:p>
    <w:p w14:paraId="7DD7F184">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sz w:val="32"/>
          <w:szCs w:val="32"/>
        </w:rPr>
      </w:pPr>
      <w:bookmarkStart w:id="5" w:name="_Toc18180"/>
      <w:r>
        <w:rPr>
          <w:rFonts w:hint="eastAsia"/>
          <w:sz w:val="32"/>
          <w:szCs w:val="32"/>
        </w:rPr>
        <w:t>一、基本情况</w:t>
      </w:r>
      <w:bookmarkEnd w:id="2"/>
      <w:bookmarkEnd w:id="3"/>
      <w:bookmarkEnd w:id="4"/>
      <w:bookmarkEnd w:id="5"/>
    </w:p>
    <w:p w14:paraId="50A9F04B">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sz w:val="32"/>
          <w:szCs w:val="32"/>
        </w:rPr>
      </w:pPr>
      <w:bookmarkStart w:id="6" w:name="_Toc24636"/>
      <w:bookmarkStart w:id="7" w:name="_Toc10358"/>
      <w:bookmarkStart w:id="8" w:name="_Toc18868"/>
      <w:bookmarkStart w:id="9" w:name="_Toc819"/>
      <w:r>
        <w:rPr>
          <w:rFonts w:hint="eastAsia"/>
          <w:sz w:val="32"/>
          <w:szCs w:val="32"/>
        </w:rPr>
        <w:t>（一）部门主要职能</w:t>
      </w:r>
      <w:bookmarkEnd w:id="6"/>
      <w:bookmarkEnd w:id="7"/>
      <w:bookmarkEnd w:id="8"/>
      <w:bookmarkEnd w:id="9"/>
    </w:p>
    <w:p w14:paraId="409EA001">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bookmarkStart w:id="10" w:name="_Toc7151"/>
      <w:bookmarkStart w:id="11" w:name="_Toc20782"/>
      <w:bookmarkStart w:id="12" w:name="_Toc25335"/>
      <w:r>
        <w:rPr>
          <w:rFonts w:hint="eastAsia"/>
          <w:sz w:val="32"/>
          <w:szCs w:val="32"/>
        </w:rPr>
        <w:t>兰州市西固区人民法院作为国家的审判机关，肩负着保证人民依法行使民主权利，是公平正义的维护者，是安定有序的保障者，是和谐发展的调节者。</w:t>
      </w:r>
    </w:p>
    <w:p w14:paraId="3C92BB0E">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1</w:t>
      </w:r>
      <w:r>
        <w:rPr>
          <w:rFonts w:hint="eastAsia"/>
          <w:sz w:val="32"/>
          <w:szCs w:val="32"/>
          <w:lang w:val="en-US" w:eastAsia="zh-CN"/>
        </w:rPr>
        <w:t>.</w:t>
      </w:r>
      <w:r>
        <w:rPr>
          <w:rFonts w:hint="eastAsia"/>
          <w:sz w:val="32"/>
          <w:szCs w:val="32"/>
        </w:rPr>
        <w:t>我国法律规定，基层人民法院应当依法在职权范围内受理和受理的自诉和公诉的刑事、民事、行政等第一审案件。</w:t>
      </w:r>
    </w:p>
    <w:p w14:paraId="24A31392">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2</w:t>
      </w:r>
      <w:r>
        <w:rPr>
          <w:rFonts w:hint="eastAsia"/>
          <w:sz w:val="32"/>
          <w:szCs w:val="32"/>
          <w:lang w:val="en-US" w:eastAsia="zh-CN"/>
        </w:rPr>
        <w:t>.</w:t>
      </w:r>
      <w:r>
        <w:rPr>
          <w:rFonts w:hint="eastAsia"/>
          <w:sz w:val="32"/>
          <w:szCs w:val="32"/>
        </w:rPr>
        <w:t>依法行使司法执行权和司法决定权。</w:t>
      </w:r>
    </w:p>
    <w:p w14:paraId="40361B3B">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3</w:t>
      </w:r>
      <w:r>
        <w:rPr>
          <w:rFonts w:hint="eastAsia"/>
          <w:sz w:val="32"/>
          <w:szCs w:val="32"/>
          <w:lang w:val="en-US" w:eastAsia="zh-CN"/>
        </w:rPr>
        <w:t>.</w:t>
      </w:r>
      <w:r>
        <w:rPr>
          <w:rFonts w:hint="eastAsia"/>
          <w:sz w:val="32"/>
          <w:szCs w:val="32"/>
        </w:rPr>
        <w:t>依法决定国家赔偿。</w:t>
      </w:r>
    </w:p>
    <w:p w14:paraId="40C33103">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4</w:t>
      </w:r>
      <w:r>
        <w:rPr>
          <w:rFonts w:hint="eastAsia"/>
          <w:sz w:val="32"/>
          <w:szCs w:val="32"/>
          <w:lang w:val="en-US" w:eastAsia="zh-CN"/>
        </w:rPr>
        <w:t>.</w:t>
      </w:r>
      <w:r>
        <w:rPr>
          <w:rFonts w:hint="eastAsia"/>
          <w:sz w:val="32"/>
          <w:szCs w:val="32"/>
        </w:rPr>
        <w:t>行使审判监督职能。</w:t>
      </w:r>
    </w:p>
    <w:p w14:paraId="0A553BE3">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5</w:t>
      </w:r>
      <w:r>
        <w:rPr>
          <w:rFonts w:hint="eastAsia"/>
          <w:sz w:val="32"/>
          <w:szCs w:val="32"/>
          <w:lang w:val="en-US" w:eastAsia="zh-CN"/>
        </w:rPr>
        <w:t>.</w:t>
      </w:r>
      <w:r>
        <w:rPr>
          <w:rFonts w:hint="eastAsia"/>
          <w:sz w:val="32"/>
          <w:szCs w:val="32"/>
        </w:rPr>
        <w:t>研究、征集对法律、法规、规章草案的意见；对案件审理中发现的问题提出司法建议。</w:t>
      </w:r>
    </w:p>
    <w:p w14:paraId="5674DFEB">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6</w:t>
      </w:r>
      <w:r>
        <w:rPr>
          <w:rFonts w:hint="eastAsia"/>
          <w:sz w:val="32"/>
          <w:szCs w:val="32"/>
          <w:lang w:val="en-US" w:eastAsia="zh-CN"/>
        </w:rPr>
        <w:t>.</w:t>
      </w:r>
      <w:r>
        <w:rPr>
          <w:rFonts w:hint="eastAsia"/>
          <w:sz w:val="32"/>
          <w:szCs w:val="32"/>
        </w:rPr>
        <w:t>负责指导全区法院思想政治工作、教育培训工作；按照权限管理法官及其他人员；协助管理全区法院机构、人员编制工作；主管全区法院监察工作。</w:t>
      </w:r>
    </w:p>
    <w:p w14:paraId="7CF287B0">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7</w:t>
      </w:r>
      <w:r>
        <w:rPr>
          <w:rFonts w:hint="eastAsia"/>
          <w:sz w:val="32"/>
          <w:szCs w:val="32"/>
          <w:lang w:val="en-US" w:eastAsia="zh-CN"/>
        </w:rPr>
        <w:t>.</w:t>
      </w:r>
      <w:r>
        <w:rPr>
          <w:rFonts w:hint="eastAsia"/>
          <w:sz w:val="32"/>
          <w:szCs w:val="32"/>
        </w:rPr>
        <w:t>结合审判工作宣传法治，教育公民自觉遵守宪法和法律。</w:t>
      </w:r>
    </w:p>
    <w:p w14:paraId="5A77D9BF">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8</w:t>
      </w:r>
      <w:r>
        <w:rPr>
          <w:rFonts w:hint="eastAsia"/>
          <w:sz w:val="32"/>
          <w:szCs w:val="32"/>
          <w:lang w:val="en-US" w:eastAsia="zh-CN"/>
        </w:rPr>
        <w:t>.</w:t>
      </w:r>
      <w:r>
        <w:rPr>
          <w:rFonts w:hint="eastAsia"/>
          <w:sz w:val="32"/>
          <w:szCs w:val="32"/>
        </w:rPr>
        <w:t>协调、管理、监督民众陪审员和调解员的各项工作。</w:t>
      </w:r>
    </w:p>
    <w:p w14:paraId="7233AB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rPr>
        <w:t>9</w:t>
      </w:r>
      <w:r>
        <w:rPr>
          <w:rFonts w:hint="eastAsia"/>
          <w:sz w:val="32"/>
          <w:szCs w:val="32"/>
          <w:lang w:val="en-US" w:eastAsia="zh-CN"/>
        </w:rPr>
        <w:t>.</w:t>
      </w:r>
      <w:r>
        <w:rPr>
          <w:rFonts w:hint="eastAsia"/>
          <w:sz w:val="32"/>
          <w:szCs w:val="32"/>
        </w:rPr>
        <w:t>承办其他应由基层法院负责的工作</w:t>
      </w:r>
      <w:r>
        <w:rPr>
          <w:rFonts w:hint="eastAsia" w:ascii="仿宋_GB2312" w:hAnsi="仿宋" w:eastAsia="仿宋_GB2312"/>
          <w:sz w:val="32"/>
          <w:szCs w:val="32"/>
        </w:rPr>
        <w:t>。</w:t>
      </w:r>
    </w:p>
    <w:p w14:paraId="61B83EE7">
      <w:pPr>
        <w:pStyle w:val="3"/>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bookmarkStart w:id="13" w:name="_Toc26208"/>
      <w:r>
        <w:rPr>
          <w:rFonts w:hint="eastAsia"/>
          <w:sz w:val="32"/>
          <w:szCs w:val="32"/>
        </w:rPr>
        <w:t>（二）内设机构</w:t>
      </w:r>
      <w:r>
        <w:rPr>
          <w:rFonts w:hint="eastAsia"/>
          <w:sz w:val="32"/>
          <w:szCs w:val="32"/>
          <w:lang w:eastAsia="zh-CN"/>
        </w:rPr>
        <w:t>、</w:t>
      </w:r>
      <w:r>
        <w:rPr>
          <w:rFonts w:hint="eastAsia"/>
          <w:sz w:val="32"/>
          <w:szCs w:val="32"/>
          <w:lang w:val="en-US" w:eastAsia="zh-CN"/>
        </w:rPr>
        <w:t>人员情况</w:t>
      </w:r>
      <w:r>
        <w:rPr>
          <w:rFonts w:hint="eastAsia"/>
          <w:sz w:val="32"/>
          <w:szCs w:val="32"/>
        </w:rPr>
        <w:t>及所属</w:t>
      </w:r>
      <w:r>
        <w:rPr>
          <w:rFonts w:hint="eastAsia"/>
          <w:sz w:val="32"/>
          <w:szCs w:val="32"/>
          <w:lang w:eastAsia="zh-CN"/>
        </w:rPr>
        <w:t>部门</w:t>
      </w:r>
      <w:r>
        <w:rPr>
          <w:rFonts w:hint="eastAsia"/>
          <w:sz w:val="32"/>
          <w:szCs w:val="32"/>
        </w:rPr>
        <w:t>概况</w:t>
      </w:r>
      <w:bookmarkEnd w:id="10"/>
      <w:bookmarkEnd w:id="11"/>
      <w:bookmarkEnd w:id="12"/>
      <w:bookmarkEnd w:id="13"/>
    </w:p>
    <w:p w14:paraId="61C3A82C">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sz w:val="32"/>
          <w:szCs w:val="32"/>
          <w:lang w:val="en-US" w:eastAsia="zh-CN"/>
        </w:rPr>
      </w:pPr>
      <w:bookmarkStart w:id="14" w:name="_Toc28217"/>
      <w:r>
        <w:rPr>
          <w:rFonts w:hint="eastAsia"/>
          <w:b/>
          <w:bCs/>
          <w:sz w:val="32"/>
          <w:szCs w:val="32"/>
          <w:lang w:val="en-US" w:eastAsia="zh-CN"/>
        </w:rPr>
        <w:t>1.内设机构</w:t>
      </w:r>
      <w:bookmarkEnd w:id="14"/>
    </w:p>
    <w:p w14:paraId="48269EB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sz w:val="32"/>
          <w:szCs w:val="32"/>
          <w:highlight w:val="none"/>
        </w:rPr>
      </w:pPr>
      <w:bookmarkStart w:id="15" w:name="_Toc5008"/>
      <w:r>
        <w:rPr>
          <w:rFonts w:hint="eastAsia"/>
          <w:sz w:val="32"/>
          <w:szCs w:val="32"/>
        </w:rPr>
        <w:t>兰州市西固区人民法院现有内设机构</w:t>
      </w:r>
      <w:r>
        <w:rPr>
          <w:sz w:val="32"/>
          <w:szCs w:val="32"/>
        </w:rPr>
        <w:t>1</w:t>
      </w:r>
      <w:r>
        <w:rPr>
          <w:rFonts w:hint="eastAsia"/>
          <w:sz w:val="32"/>
          <w:szCs w:val="32"/>
        </w:rPr>
        <w:t>1个，分别为：综合办公室、政治部、监察室、审管办、刑庭、民一庭、民二庭、执行局、综合审判庭、诉讼服务中心、法警队</w:t>
      </w:r>
      <w:r>
        <w:rPr>
          <w:rFonts w:hint="eastAsia" w:hAnsi="宋体"/>
          <w:sz w:val="32"/>
          <w:szCs w:val="32"/>
          <w:highlight w:val="none"/>
        </w:rPr>
        <w:t>。</w:t>
      </w:r>
      <w:r>
        <w:rPr>
          <w:rFonts w:hint="eastAsia"/>
          <w:sz w:val="32"/>
          <w:szCs w:val="32"/>
        </w:rPr>
        <w:t>派出法庭3个，分别为：福利路法庭、陈官营法庭、新城法庭。</w:t>
      </w:r>
    </w:p>
    <w:p w14:paraId="7450EBF9">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sz w:val="32"/>
          <w:szCs w:val="32"/>
          <w:lang w:val="en-US" w:eastAsia="zh-CN"/>
        </w:rPr>
      </w:pPr>
      <w:r>
        <w:rPr>
          <w:rFonts w:hint="eastAsia"/>
          <w:b/>
          <w:bCs/>
          <w:sz w:val="32"/>
          <w:szCs w:val="32"/>
          <w:lang w:val="en-US" w:eastAsia="zh-CN"/>
        </w:rPr>
        <w:t>2.人员情况</w:t>
      </w:r>
    </w:p>
    <w:p w14:paraId="5CADE16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highlight w:val="yellow"/>
          <w:lang w:val="en-US" w:eastAsia="zh-CN"/>
        </w:rPr>
      </w:pPr>
      <w:r>
        <w:rPr>
          <w:rFonts w:hint="eastAsia"/>
          <w:sz w:val="32"/>
          <w:szCs w:val="32"/>
        </w:rPr>
        <w:t>截止</w:t>
      </w:r>
      <w:r>
        <w:rPr>
          <w:rFonts w:hint="eastAsia"/>
          <w:sz w:val="32"/>
          <w:szCs w:val="32"/>
          <w:lang w:eastAsia="zh-CN"/>
        </w:rPr>
        <w:t>2023年</w:t>
      </w:r>
      <w:r>
        <w:rPr>
          <w:rFonts w:hint="eastAsia"/>
          <w:sz w:val="32"/>
          <w:szCs w:val="32"/>
        </w:rPr>
        <w:t>12月31日，</w:t>
      </w:r>
      <w:r>
        <w:rPr>
          <w:rFonts w:hint="eastAsia"/>
          <w:sz w:val="32"/>
          <w:szCs w:val="32"/>
          <w:lang w:val="en-US" w:eastAsia="zh-CN"/>
        </w:rPr>
        <w:t>我院编制</w:t>
      </w:r>
      <w:r>
        <w:rPr>
          <w:rFonts w:hint="eastAsia"/>
          <w:sz w:val="32"/>
          <w:szCs w:val="32"/>
        </w:rPr>
        <w:t>122</w:t>
      </w:r>
      <w:r>
        <w:rPr>
          <w:rFonts w:hint="eastAsia"/>
          <w:sz w:val="32"/>
          <w:szCs w:val="32"/>
          <w:lang w:val="en-US" w:eastAsia="zh-CN"/>
        </w:rPr>
        <w:t>人，实有116</w:t>
      </w:r>
      <w:r>
        <w:rPr>
          <w:rFonts w:hint="eastAsia"/>
          <w:sz w:val="32"/>
          <w:szCs w:val="32"/>
        </w:rPr>
        <w:t>人</w:t>
      </w:r>
      <w:r>
        <w:rPr>
          <w:rFonts w:hint="eastAsia"/>
          <w:sz w:val="32"/>
          <w:szCs w:val="32"/>
          <w:lang w:eastAsia="zh-CN"/>
        </w:rPr>
        <w:t>，</w:t>
      </w:r>
      <w:r>
        <w:rPr>
          <w:rFonts w:hint="eastAsia"/>
          <w:sz w:val="32"/>
          <w:szCs w:val="32"/>
        </w:rPr>
        <w:t>其中</w:t>
      </w:r>
      <w:r>
        <w:rPr>
          <w:rFonts w:hint="eastAsia"/>
          <w:sz w:val="32"/>
          <w:szCs w:val="32"/>
          <w:lang w:val="en-US" w:eastAsia="zh-CN"/>
        </w:rPr>
        <w:t>在职</w:t>
      </w:r>
      <w:r>
        <w:rPr>
          <w:rFonts w:hint="eastAsia"/>
          <w:sz w:val="32"/>
          <w:szCs w:val="32"/>
        </w:rPr>
        <w:t>行政编制人数11</w:t>
      </w:r>
      <w:r>
        <w:rPr>
          <w:rFonts w:hint="eastAsia"/>
          <w:sz w:val="32"/>
          <w:szCs w:val="32"/>
          <w:lang w:val="en-US" w:eastAsia="zh-CN"/>
        </w:rPr>
        <w:t>5</w:t>
      </w:r>
      <w:r>
        <w:rPr>
          <w:rFonts w:hint="eastAsia"/>
          <w:sz w:val="32"/>
          <w:szCs w:val="32"/>
        </w:rPr>
        <w:t>人</w:t>
      </w:r>
      <w:r>
        <w:rPr>
          <w:rFonts w:hint="eastAsia"/>
          <w:sz w:val="32"/>
          <w:szCs w:val="32"/>
          <w:lang w:eastAsia="zh-CN"/>
        </w:rPr>
        <w:t>，</w:t>
      </w:r>
      <w:r>
        <w:rPr>
          <w:rFonts w:hint="eastAsia"/>
          <w:sz w:val="32"/>
          <w:szCs w:val="32"/>
          <w:lang w:val="en-US" w:eastAsia="zh-CN"/>
        </w:rPr>
        <w:t>离</w:t>
      </w:r>
      <w:r>
        <w:rPr>
          <w:rFonts w:hint="eastAsia"/>
          <w:sz w:val="32"/>
          <w:szCs w:val="32"/>
        </w:rPr>
        <w:t>休1人。</w:t>
      </w:r>
    </w:p>
    <w:p w14:paraId="3BC9B768">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sz w:val="32"/>
          <w:szCs w:val="32"/>
          <w:lang w:val="en-US" w:eastAsia="zh-CN"/>
        </w:rPr>
      </w:pPr>
      <w:r>
        <w:rPr>
          <w:rFonts w:hint="eastAsia"/>
          <w:b/>
          <w:bCs/>
          <w:sz w:val="32"/>
          <w:szCs w:val="32"/>
          <w:lang w:val="en-US" w:eastAsia="zh-CN"/>
        </w:rPr>
        <w:t>3.所属部门概况</w:t>
      </w:r>
      <w:bookmarkEnd w:id="15"/>
    </w:p>
    <w:p w14:paraId="3E04EBD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sz w:val="32"/>
          <w:szCs w:val="32"/>
          <w:highlight w:val="none"/>
          <w:lang w:val="en-US" w:eastAsia="zh-CN"/>
        </w:rPr>
      </w:pPr>
      <w:r>
        <w:rPr>
          <w:rFonts w:hint="eastAsia" w:hAnsi="宋体"/>
          <w:sz w:val="32"/>
          <w:szCs w:val="32"/>
          <w:highlight w:val="none"/>
          <w:lang w:val="en-US" w:eastAsia="zh-CN"/>
        </w:rPr>
        <w:t>我院无直属事业部门。</w:t>
      </w:r>
    </w:p>
    <w:p w14:paraId="58EF05C5">
      <w:pPr>
        <w:pStyle w:val="2"/>
        <w:keepNext/>
        <w:keepLines/>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bookmarkStart w:id="16" w:name="_Toc2833"/>
      <w:bookmarkStart w:id="17" w:name="_Toc4574"/>
      <w:bookmarkStart w:id="18" w:name="_Toc13794"/>
      <w:bookmarkStart w:id="19" w:name="_Toc18193"/>
      <w:r>
        <w:rPr>
          <w:rFonts w:hint="eastAsia"/>
          <w:sz w:val="32"/>
          <w:szCs w:val="32"/>
        </w:rPr>
        <w:t>二、绩效自评工作组织开展情况</w:t>
      </w:r>
      <w:bookmarkEnd w:id="16"/>
      <w:bookmarkEnd w:id="17"/>
      <w:bookmarkEnd w:id="18"/>
      <w:bookmarkEnd w:id="19"/>
    </w:p>
    <w:p w14:paraId="6BAE02B2">
      <w:pPr>
        <w:pStyle w:val="3"/>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highlight w:val="none"/>
        </w:rPr>
      </w:pPr>
      <w:bookmarkStart w:id="20" w:name="_Toc12827"/>
      <w:bookmarkStart w:id="21" w:name="_Toc31965"/>
      <w:bookmarkStart w:id="22" w:name="_Toc11147"/>
      <w:bookmarkStart w:id="23" w:name="_Toc4177"/>
      <w:r>
        <w:rPr>
          <w:rFonts w:hint="eastAsia"/>
          <w:sz w:val="32"/>
          <w:szCs w:val="32"/>
          <w:highlight w:val="none"/>
          <w:lang w:eastAsia="zh-CN"/>
        </w:rPr>
        <w:t>（</w:t>
      </w:r>
      <w:r>
        <w:rPr>
          <w:rFonts w:hint="eastAsia"/>
          <w:sz w:val="32"/>
          <w:szCs w:val="32"/>
          <w:highlight w:val="none"/>
          <w:lang w:val="en-US" w:eastAsia="zh-CN"/>
        </w:rPr>
        <w:t>一</w:t>
      </w:r>
      <w:r>
        <w:rPr>
          <w:rFonts w:hint="eastAsia"/>
          <w:sz w:val="32"/>
          <w:szCs w:val="32"/>
          <w:highlight w:val="none"/>
          <w:lang w:eastAsia="zh-CN"/>
        </w:rPr>
        <w:t>）</w:t>
      </w:r>
      <w:r>
        <w:rPr>
          <w:rFonts w:hint="eastAsia"/>
          <w:sz w:val="32"/>
          <w:szCs w:val="32"/>
          <w:highlight w:val="none"/>
        </w:rPr>
        <w:t>自评工作组织管理情况</w:t>
      </w:r>
      <w:bookmarkEnd w:id="20"/>
    </w:p>
    <w:p w14:paraId="4831EC2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highlight w:val="none"/>
          <w:lang w:eastAsia="zh-CN"/>
        </w:rPr>
      </w:pPr>
      <w:r>
        <w:rPr>
          <w:rFonts w:hint="eastAsia" w:hAnsi="宋体"/>
          <w:sz w:val="32"/>
          <w:szCs w:val="32"/>
          <w:highlight w:val="none"/>
        </w:rPr>
        <w:t>我院</w:t>
      </w:r>
      <w:r>
        <w:rPr>
          <w:rFonts w:hint="eastAsia" w:hAnsi="宋体"/>
          <w:sz w:val="32"/>
          <w:szCs w:val="32"/>
        </w:rPr>
        <w:t>十分重视此次绩效评价工作，要求财务部门严格按照省上有关文件精神，科学分析，精准评价，确保绩效评价客观公正。</w:t>
      </w:r>
      <w:r>
        <w:rPr>
          <w:rFonts w:hint="eastAsia"/>
          <w:sz w:val="32"/>
          <w:szCs w:val="32"/>
        </w:rPr>
        <w:t>工作启动后，</w:t>
      </w:r>
      <w:r>
        <w:rPr>
          <w:rFonts w:hint="eastAsia" w:hAnsi="宋体"/>
          <w:sz w:val="32"/>
          <w:szCs w:val="32"/>
        </w:rPr>
        <w:t>严格按照《中华人民共和国预算法》《中华人民共和国预算法实施条例》《中共中央 国务院关于全面实施预算绩效管理的意见》（</w:t>
      </w:r>
      <w:r>
        <w:rPr>
          <w:rFonts w:hint="eastAsia" w:hAnsi="宋体"/>
          <w:sz w:val="32"/>
          <w:szCs w:val="32"/>
          <w:lang w:val="en-US" w:eastAsia="zh-CN"/>
        </w:rPr>
        <w:t>甘</w:t>
      </w:r>
      <w:r>
        <w:rPr>
          <w:rFonts w:hint="eastAsia" w:hAnsi="宋体"/>
          <w:sz w:val="32"/>
          <w:szCs w:val="32"/>
        </w:rPr>
        <w:t>发〔2018〕34号）</w:t>
      </w:r>
      <w:r>
        <w:rPr>
          <w:rFonts w:hint="eastAsia" w:hAnsi="宋体"/>
          <w:sz w:val="32"/>
          <w:szCs w:val="32"/>
          <w:highlight w:val="none"/>
        </w:rPr>
        <w:t>、《中共甘肃省委 甘肃省人民政府关于全面实施预算绩效管理的实施意见》（</w:t>
      </w:r>
      <w:r>
        <w:rPr>
          <w:rFonts w:hint="eastAsia" w:hAnsi="宋体"/>
          <w:sz w:val="32"/>
          <w:szCs w:val="32"/>
          <w:highlight w:val="none"/>
          <w:lang w:val="en-US" w:eastAsia="zh-CN"/>
        </w:rPr>
        <w:t>甘</w:t>
      </w:r>
      <w:r>
        <w:rPr>
          <w:rFonts w:hint="eastAsia" w:hAnsi="宋体"/>
          <w:sz w:val="32"/>
          <w:szCs w:val="32"/>
          <w:highlight w:val="none"/>
        </w:rPr>
        <w:t>发〔2018〕32号）、《甘</w:t>
      </w:r>
      <w:r>
        <w:rPr>
          <w:rFonts w:hint="eastAsia" w:hAnsi="宋体"/>
          <w:sz w:val="32"/>
          <w:szCs w:val="32"/>
        </w:rPr>
        <w:t>肃省省级预算绩效管理办法》（甘财绩〔2020〕5号）</w:t>
      </w:r>
      <w:r>
        <w:rPr>
          <w:sz w:val="32"/>
          <w:szCs w:val="32"/>
        </w:rPr>
        <w:t>等文件的要求，联合各相关</w:t>
      </w:r>
      <w:r>
        <w:rPr>
          <w:rFonts w:hint="eastAsia"/>
          <w:sz w:val="32"/>
          <w:szCs w:val="32"/>
          <w:lang w:eastAsia="zh-CN"/>
        </w:rPr>
        <w:t>业务部门</w:t>
      </w:r>
      <w:r>
        <w:rPr>
          <w:sz w:val="32"/>
          <w:szCs w:val="32"/>
        </w:rPr>
        <w:t>共同完成此次自评</w:t>
      </w:r>
      <w:r>
        <w:rPr>
          <w:rFonts w:hint="eastAsia"/>
          <w:sz w:val="32"/>
          <w:szCs w:val="32"/>
        </w:rPr>
        <w:t>工作。</w:t>
      </w:r>
      <w:r>
        <w:rPr>
          <w:rFonts w:hint="eastAsia"/>
          <w:sz w:val="32"/>
          <w:szCs w:val="32"/>
          <w:highlight w:val="none"/>
        </w:rPr>
        <w:t>自评工作遵循科学公正、统筹兼顾、激励约束和公开透明的原则，以</w:t>
      </w:r>
      <w:r>
        <w:rPr>
          <w:rFonts w:hint="eastAsia"/>
          <w:sz w:val="32"/>
          <w:szCs w:val="32"/>
          <w:highlight w:val="none"/>
          <w:lang w:val="en-US" w:eastAsia="zh-CN"/>
        </w:rPr>
        <w:t>我院</w:t>
      </w:r>
      <w:r>
        <w:rPr>
          <w:rFonts w:hint="eastAsia"/>
          <w:sz w:val="32"/>
          <w:szCs w:val="32"/>
          <w:highlight w:val="none"/>
          <w:lang w:eastAsia="zh-CN"/>
        </w:rPr>
        <w:t>2023年</w:t>
      </w:r>
      <w:r>
        <w:rPr>
          <w:rFonts w:hint="eastAsia"/>
          <w:sz w:val="32"/>
          <w:szCs w:val="32"/>
          <w:highlight w:val="none"/>
        </w:rPr>
        <w:t>初设定的绩效目标及相关法律法规、政策要求、行业规划、部门职责等为依据，运用定量和定性相结合的评价方法，对</w:t>
      </w:r>
      <w:r>
        <w:rPr>
          <w:rFonts w:hint="eastAsia"/>
          <w:sz w:val="32"/>
          <w:szCs w:val="32"/>
          <w:highlight w:val="none"/>
          <w:lang w:val="en-US" w:eastAsia="zh-CN"/>
        </w:rPr>
        <w:t>我院</w:t>
      </w:r>
      <w:r>
        <w:rPr>
          <w:rFonts w:hint="eastAsia"/>
          <w:sz w:val="32"/>
          <w:szCs w:val="32"/>
          <w:highlight w:val="none"/>
          <w:lang w:eastAsia="zh-CN"/>
        </w:rPr>
        <w:t>2023年度</w:t>
      </w:r>
      <w:r>
        <w:rPr>
          <w:rFonts w:hint="eastAsia"/>
          <w:sz w:val="32"/>
          <w:szCs w:val="32"/>
          <w:highlight w:val="none"/>
        </w:rPr>
        <w:t>省级预算执行情况的经济性、效率性、效益性进行客观公正的分析评价</w:t>
      </w:r>
      <w:r>
        <w:rPr>
          <w:rFonts w:hint="eastAsia"/>
          <w:sz w:val="32"/>
          <w:szCs w:val="32"/>
          <w:highlight w:val="none"/>
          <w:lang w:eastAsia="zh-CN"/>
        </w:rPr>
        <w:t>。</w:t>
      </w:r>
    </w:p>
    <w:p w14:paraId="19FFF572">
      <w:pPr>
        <w:pStyle w:val="3"/>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highlight w:val="none"/>
        </w:rPr>
      </w:pPr>
      <w:bookmarkStart w:id="24" w:name="_Toc28216"/>
      <w:bookmarkStart w:id="25" w:name="_Toc26980"/>
      <w:bookmarkStart w:id="26" w:name="_Toc13356"/>
      <w:bookmarkStart w:id="27" w:name="_Toc11355"/>
      <w:bookmarkStart w:id="28" w:name="_Toc29448"/>
      <w:r>
        <w:rPr>
          <w:rFonts w:hint="eastAsia"/>
          <w:sz w:val="32"/>
          <w:szCs w:val="32"/>
          <w:highlight w:val="none"/>
          <w:lang w:eastAsia="zh-CN"/>
        </w:rPr>
        <w:t>（</w:t>
      </w:r>
      <w:r>
        <w:rPr>
          <w:rFonts w:hint="eastAsia"/>
          <w:sz w:val="32"/>
          <w:szCs w:val="32"/>
          <w:highlight w:val="none"/>
          <w:lang w:val="en-US" w:eastAsia="zh-CN"/>
        </w:rPr>
        <w:t>二</w:t>
      </w:r>
      <w:r>
        <w:rPr>
          <w:rFonts w:hint="eastAsia"/>
          <w:sz w:val="32"/>
          <w:szCs w:val="32"/>
          <w:highlight w:val="none"/>
          <w:lang w:eastAsia="zh-CN"/>
        </w:rPr>
        <w:t>）</w:t>
      </w:r>
      <w:r>
        <w:rPr>
          <w:rFonts w:hint="eastAsia"/>
          <w:sz w:val="32"/>
          <w:szCs w:val="32"/>
          <w:highlight w:val="none"/>
        </w:rPr>
        <w:t>自评范围</w:t>
      </w:r>
      <w:bookmarkEnd w:id="24"/>
      <w:bookmarkEnd w:id="25"/>
      <w:bookmarkEnd w:id="26"/>
      <w:bookmarkEnd w:id="27"/>
      <w:bookmarkEnd w:id="28"/>
    </w:p>
    <w:p w14:paraId="03824195">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sz w:val="32"/>
          <w:szCs w:val="32"/>
        </w:rPr>
        <w:t>本次预算绩效自评价，按照省级部门项目支出、省对市县转移支付、部门整体支出三类评价对象全覆盖的原则，结合</w:t>
      </w:r>
      <w:r>
        <w:rPr>
          <w:rFonts w:hint="eastAsia"/>
          <w:sz w:val="32"/>
          <w:szCs w:val="32"/>
          <w:lang w:eastAsia="zh-CN"/>
        </w:rPr>
        <w:t>我院</w:t>
      </w:r>
      <w:r>
        <w:rPr>
          <w:sz w:val="32"/>
          <w:szCs w:val="32"/>
        </w:rPr>
        <w:t>实际情况，自评所有对象为</w:t>
      </w:r>
      <w:r>
        <w:rPr>
          <w:rFonts w:hint="eastAsia" w:hAnsi="宋体"/>
          <w:sz w:val="32"/>
          <w:szCs w:val="32"/>
        </w:rPr>
        <w:t>中央政法转移支付</w:t>
      </w:r>
      <w:r>
        <w:rPr>
          <w:rFonts w:hint="eastAsia" w:hAnsi="宋体"/>
          <w:sz w:val="32"/>
          <w:szCs w:val="32"/>
          <w:lang w:eastAsia="zh-CN"/>
        </w:rPr>
        <w:t>资金、</w:t>
      </w:r>
      <w:r>
        <w:rPr>
          <w:rFonts w:hint="eastAsia"/>
          <w:sz w:val="32"/>
          <w:szCs w:val="32"/>
          <w:highlight w:val="none"/>
          <w:lang w:val="en-US" w:eastAsia="zh-CN"/>
        </w:rPr>
        <w:t>法庭运维费</w:t>
      </w:r>
      <w:r>
        <w:rPr>
          <w:sz w:val="32"/>
          <w:szCs w:val="32"/>
          <w:highlight w:val="none"/>
        </w:rPr>
        <w:t>、</w:t>
      </w:r>
      <w:r>
        <w:rPr>
          <w:rFonts w:hint="eastAsia"/>
          <w:sz w:val="32"/>
          <w:szCs w:val="32"/>
          <w:highlight w:val="none"/>
        </w:rPr>
        <w:t>业务费</w:t>
      </w:r>
      <w:r>
        <w:rPr>
          <w:rFonts w:hint="eastAsia"/>
          <w:sz w:val="32"/>
          <w:szCs w:val="32"/>
          <w:highlight w:val="none"/>
          <w:lang w:val="en-US" w:eastAsia="zh-CN"/>
        </w:rPr>
        <w:t>三</w:t>
      </w:r>
      <w:r>
        <w:rPr>
          <w:sz w:val="32"/>
          <w:szCs w:val="32"/>
          <w:highlight w:val="none"/>
        </w:rPr>
        <w:t>个</w:t>
      </w:r>
      <w:r>
        <w:rPr>
          <w:sz w:val="32"/>
          <w:szCs w:val="32"/>
        </w:rPr>
        <w:t>项目自评</w:t>
      </w:r>
      <w:r>
        <w:rPr>
          <w:rFonts w:hint="eastAsia" w:hAnsi="宋体"/>
          <w:sz w:val="32"/>
          <w:szCs w:val="32"/>
        </w:rPr>
        <w:t>和</w:t>
      </w:r>
      <w:r>
        <w:rPr>
          <w:rFonts w:hint="eastAsia" w:hAnsi="宋体"/>
          <w:sz w:val="32"/>
          <w:szCs w:val="32"/>
          <w:lang w:eastAsia="zh-CN"/>
        </w:rPr>
        <w:t>部门</w:t>
      </w:r>
      <w:r>
        <w:rPr>
          <w:rFonts w:hint="eastAsia" w:hAnsi="宋体"/>
          <w:sz w:val="32"/>
          <w:szCs w:val="32"/>
        </w:rPr>
        <w:t>整体支出自评。自评内容包括总体绩效目标完成情况、各项绩效指标完成情况及预算执行情况，对未完成绩效目标或偏离绩效目标较大的项目分析说明偏离绩效目标的原因，并提出下一步改进措施。</w:t>
      </w:r>
    </w:p>
    <w:p w14:paraId="7EF5EF14">
      <w:pPr>
        <w:pStyle w:val="3"/>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highlight w:val="none"/>
        </w:rPr>
      </w:pPr>
      <w:bookmarkStart w:id="29" w:name="_Toc25203"/>
      <w:bookmarkStart w:id="30" w:name="_Toc18694"/>
      <w:bookmarkStart w:id="31" w:name="_Toc25429"/>
      <w:bookmarkStart w:id="32" w:name="_Toc22785"/>
      <w:bookmarkStart w:id="33" w:name="_Toc9077"/>
      <w:r>
        <w:rPr>
          <w:rFonts w:hint="eastAsia"/>
          <w:sz w:val="32"/>
          <w:szCs w:val="32"/>
          <w:highlight w:val="none"/>
          <w:lang w:eastAsia="zh-CN"/>
        </w:rPr>
        <w:t>（</w:t>
      </w:r>
      <w:r>
        <w:rPr>
          <w:rFonts w:hint="eastAsia"/>
          <w:sz w:val="32"/>
          <w:szCs w:val="32"/>
          <w:highlight w:val="none"/>
          <w:lang w:val="en-US" w:eastAsia="zh-CN"/>
        </w:rPr>
        <w:t>三</w:t>
      </w:r>
      <w:r>
        <w:rPr>
          <w:rFonts w:hint="eastAsia"/>
          <w:sz w:val="32"/>
          <w:szCs w:val="32"/>
          <w:highlight w:val="none"/>
          <w:lang w:eastAsia="zh-CN"/>
        </w:rPr>
        <w:t>）</w:t>
      </w:r>
      <w:r>
        <w:rPr>
          <w:rFonts w:hint="eastAsia"/>
          <w:sz w:val="32"/>
          <w:szCs w:val="32"/>
          <w:highlight w:val="none"/>
        </w:rPr>
        <w:t>自评工作程序</w:t>
      </w:r>
      <w:bookmarkEnd w:id="29"/>
      <w:bookmarkEnd w:id="30"/>
      <w:bookmarkEnd w:id="31"/>
      <w:bookmarkEnd w:id="32"/>
      <w:bookmarkEnd w:id="33"/>
    </w:p>
    <w:p w14:paraId="164ECBAA">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highlight w:val="none"/>
          <w:lang w:eastAsia="zh-CN"/>
        </w:rPr>
      </w:pPr>
      <w:r>
        <w:rPr>
          <w:rFonts w:hint="eastAsia"/>
          <w:sz w:val="32"/>
          <w:szCs w:val="32"/>
          <w:highlight w:val="none"/>
        </w:rPr>
        <w:t>本次绩效自评工作主要包括以下工作程序</w:t>
      </w:r>
      <w:r>
        <w:rPr>
          <w:rFonts w:hint="eastAsia"/>
          <w:sz w:val="32"/>
          <w:szCs w:val="32"/>
          <w:highlight w:val="none"/>
          <w:lang w:eastAsia="zh-CN"/>
        </w:rPr>
        <w:t>：</w:t>
      </w:r>
    </w:p>
    <w:p w14:paraId="5A057453">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sz w:val="32"/>
          <w:szCs w:val="32"/>
          <w:highlight w:val="none"/>
        </w:rPr>
        <w:t>1.根据</w:t>
      </w:r>
      <w:r>
        <w:rPr>
          <w:rFonts w:hint="eastAsia"/>
          <w:sz w:val="32"/>
          <w:szCs w:val="32"/>
          <w:highlight w:val="none"/>
          <w:lang w:val="en-US" w:eastAsia="zh-CN"/>
        </w:rPr>
        <w:t>我院</w:t>
      </w:r>
      <w:r>
        <w:rPr>
          <w:rFonts w:hint="eastAsia"/>
          <w:sz w:val="32"/>
          <w:szCs w:val="32"/>
          <w:highlight w:val="none"/>
        </w:rPr>
        <w:t>整体</w:t>
      </w:r>
      <w:r>
        <w:rPr>
          <w:sz w:val="32"/>
          <w:szCs w:val="32"/>
          <w:highlight w:val="none"/>
        </w:rPr>
        <w:t>支出和</w:t>
      </w:r>
      <w:r>
        <w:rPr>
          <w:rFonts w:hint="eastAsia"/>
          <w:sz w:val="32"/>
          <w:szCs w:val="32"/>
          <w:highlight w:val="none"/>
        </w:rPr>
        <w:t>项目支出绩效目标的设定情况，通过各业务</w:t>
      </w:r>
      <w:r>
        <w:rPr>
          <w:rFonts w:hint="eastAsia"/>
          <w:sz w:val="32"/>
          <w:szCs w:val="32"/>
          <w:highlight w:val="none"/>
          <w:lang w:val="en-US" w:eastAsia="zh-CN"/>
        </w:rPr>
        <w:t>部门</w:t>
      </w:r>
      <w:r>
        <w:rPr>
          <w:rFonts w:hint="eastAsia"/>
          <w:sz w:val="32"/>
          <w:szCs w:val="32"/>
          <w:highlight w:val="none"/>
        </w:rPr>
        <w:t>收集</w:t>
      </w:r>
      <w:r>
        <w:rPr>
          <w:sz w:val="32"/>
          <w:szCs w:val="32"/>
          <w:highlight w:val="none"/>
        </w:rPr>
        <w:t>绩效目标</w:t>
      </w:r>
      <w:r>
        <w:rPr>
          <w:rFonts w:hint="eastAsia"/>
          <w:sz w:val="32"/>
          <w:szCs w:val="32"/>
          <w:highlight w:val="none"/>
        </w:rPr>
        <w:t>实现程度</w:t>
      </w:r>
      <w:r>
        <w:rPr>
          <w:sz w:val="32"/>
          <w:szCs w:val="32"/>
          <w:highlight w:val="none"/>
        </w:rPr>
        <w:t>、预算执行进度</w:t>
      </w:r>
      <w:r>
        <w:rPr>
          <w:rFonts w:hint="eastAsia"/>
          <w:sz w:val="32"/>
          <w:szCs w:val="32"/>
          <w:highlight w:val="none"/>
        </w:rPr>
        <w:t>等绩效评价</w:t>
      </w:r>
      <w:r>
        <w:rPr>
          <w:sz w:val="32"/>
          <w:szCs w:val="32"/>
          <w:highlight w:val="none"/>
        </w:rPr>
        <w:t>基础</w:t>
      </w:r>
      <w:r>
        <w:rPr>
          <w:rFonts w:hint="eastAsia"/>
          <w:sz w:val="32"/>
          <w:szCs w:val="32"/>
          <w:highlight w:val="none"/>
        </w:rPr>
        <w:t>资料。</w:t>
      </w:r>
    </w:p>
    <w:p w14:paraId="231E554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highlight w:val="none"/>
          <w:lang w:val="en-US" w:eastAsia="zh-CN"/>
        </w:rPr>
      </w:pPr>
      <w:r>
        <w:rPr>
          <w:sz w:val="32"/>
          <w:szCs w:val="32"/>
          <w:highlight w:val="none"/>
        </w:rPr>
        <w:t>2.</w:t>
      </w:r>
      <w:r>
        <w:rPr>
          <w:rFonts w:hint="eastAsia"/>
          <w:sz w:val="32"/>
          <w:szCs w:val="32"/>
          <w:highlight w:val="none"/>
        </w:rPr>
        <w:t>整理分析相关资料，统计财政资金预算执行情况和各项</w:t>
      </w:r>
      <w:r>
        <w:rPr>
          <w:sz w:val="32"/>
          <w:szCs w:val="32"/>
          <w:highlight w:val="none"/>
        </w:rPr>
        <w:t>绩效目标完成</w:t>
      </w:r>
      <w:r>
        <w:rPr>
          <w:rFonts w:hint="eastAsia"/>
          <w:sz w:val="32"/>
          <w:szCs w:val="32"/>
          <w:highlight w:val="none"/>
        </w:rPr>
        <w:t>情况，对年初</w:t>
      </w:r>
      <w:r>
        <w:rPr>
          <w:sz w:val="32"/>
          <w:szCs w:val="32"/>
          <w:highlight w:val="none"/>
        </w:rPr>
        <w:t>设定的</w:t>
      </w:r>
      <w:r>
        <w:rPr>
          <w:rFonts w:hint="eastAsia"/>
          <w:sz w:val="32"/>
          <w:szCs w:val="32"/>
          <w:highlight w:val="none"/>
        </w:rPr>
        <w:t>绩效指标及各项指标完成情况进行对比分析，填写《</w:t>
      </w:r>
      <w:r>
        <w:rPr>
          <w:rFonts w:hint="eastAsia"/>
          <w:sz w:val="32"/>
          <w:szCs w:val="32"/>
          <w:highlight w:val="none"/>
          <w:lang w:eastAsia="zh-CN"/>
        </w:rPr>
        <w:t>2023年度</w:t>
      </w:r>
      <w:r>
        <w:rPr>
          <w:rFonts w:hint="eastAsia"/>
          <w:sz w:val="32"/>
          <w:szCs w:val="32"/>
          <w:highlight w:val="none"/>
        </w:rPr>
        <w:t>部门预算执行情况绩效自评报表》</w:t>
      </w:r>
      <w:r>
        <w:rPr>
          <w:rFonts w:hint="eastAsia"/>
          <w:sz w:val="32"/>
          <w:szCs w:val="32"/>
          <w:highlight w:val="none"/>
          <w:lang w:eastAsia="zh-CN"/>
        </w:rPr>
        <w:t>。</w:t>
      </w:r>
    </w:p>
    <w:p w14:paraId="675D7D4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highlight w:val="none"/>
        </w:rPr>
      </w:pPr>
      <w:r>
        <w:rPr>
          <w:sz w:val="32"/>
          <w:szCs w:val="32"/>
          <w:highlight w:val="none"/>
        </w:rPr>
        <w:t>3.</w:t>
      </w:r>
      <w:r>
        <w:rPr>
          <w:rFonts w:hint="eastAsia"/>
          <w:sz w:val="32"/>
          <w:szCs w:val="32"/>
          <w:highlight w:val="none"/>
        </w:rPr>
        <w:t>总结评价结论，归纳问题，分析原因，提出改进</w:t>
      </w:r>
      <w:r>
        <w:rPr>
          <w:sz w:val="32"/>
          <w:szCs w:val="32"/>
          <w:highlight w:val="none"/>
        </w:rPr>
        <w:t>措施</w:t>
      </w:r>
      <w:r>
        <w:rPr>
          <w:rFonts w:hint="eastAsia"/>
          <w:sz w:val="32"/>
          <w:szCs w:val="32"/>
          <w:highlight w:val="none"/>
        </w:rPr>
        <w:t>，完成《</w:t>
      </w:r>
      <w:r>
        <w:rPr>
          <w:rFonts w:hint="eastAsia"/>
          <w:sz w:val="32"/>
          <w:szCs w:val="32"/>
          <w:highlight w:val="none"/>
          <w:lang w:eastAsia="zh-CN"/>
        </w:rPr>
        <w:t>2023年度</w:t>
      </w:r>
      <w:r>
        <w:rPr>
          <w:rFonts w:hint="eastAsia"/>
          <w:sz w:val="32"/>
          <w:szCs w:val="32"/>
          <w:highlight w:val="none"/>
        </w:rPr>
        <w:t>预算执行情况自评报告》</w:t>
      </w:r>
      <w:r>
        <w:rPr>
          <w:rFonts w:hint="eastAsia"/>
          <w:sz w:val="32"/>
          <w:szCs w:val="32"/>
          <w:highlight w:val="none"/>
          <w:lang w:val="en-US" w:eastAsia="zh-CN"/>
        </w:rPr>
        <w:t>撰写</w:t>
      </w:r>
      <w:r>
        <w:rPr>
          <w:rFonts w:hint="eastAsia"/>
          <w:sz w:val="32"/>
          <w:szCs w:val="32"/>
          <w:highlight w:val="none"/>
        </w:rPr>
        <w:t>。</w:t>
      </w:r>
    </w:p>
    <w:p w14:paraId="087F6B52">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highlight w:val="none"/>
          <w:lang w:val="en-US" w:eastAsia="zh-CN"/>
        </w:rPr>
        <w:t>4.</w:t>
      </w:r>
      <w:r>
        <w:rPr>
          <w:rFonts w:hint="eastAsia"/>
          <w:sz w:val="32"/>
          <w:szCs w:val="32"/>
        </w:rPr>
        <w:t>自评表和自评报告完成之后，进行内部审核，对自评表的真实性、完整性、合理性和客观性进行初步审核，并对发现的问题及时反馈和修改，修改完善后报送审核备案。</w:t>
      </w:r>
    </w:p>
    <w:bookmarkEnd w:id="21"/>
    <w:bookmarkEnd w:id="22"/>
    <w:bookmarkEnd w:id="23"/>
    <w:p w14:paraId="55923AB5">
      <w:pPr>
        <w:pStyle w:val="2"/>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bookmarkStart w:id="34" w:name="_Toc26000"/>
      <w:bookmarkStart w:id="35" w:name="_Toc31556"/>
      <w:bookmarkStart w:id="36" w:name="_Toc17042"/>
      <w:bookmarkStart w:id="37" w:name="_Toc12484"/>
      <w:r>
        <w:rPr>
          <w:rFonts w:hint="eastAsia"/>
          <w:sz w:val="32"/>
          <w:szCs w:val="32"/>
        </w:rPr>
        <w:t>三、部门整体支出绩效自评情况分析</w:t>
      </w:r>
      <w:bookmarkEnd w:id="34"/>
      <w:bookmarkEnd w:id="35"/>
      <w:bookmarkEnd w:id="36"/>
      <w:bookmarkEnd w:id="37"/>
      <w:r>
        <w:rPr>
          <w:sz w:val="32"/>
          <w:szCs w:val="32"/>
        </w:rPr>
        <w:tab/>
      </w:r>
    </w:p>
    <w:p w14:paraId="7DDAFDAF">
      <w:pPr>
        <w:pStyle w:val="3"/>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 w:val="32"/>
          <w:szCs w:val="32"/>
          <w:lang w:eastAsia="zh-CN"/>
        </w:rPr>
      </w:pPr>
      <w:bookmarkStart w:id="38" w:name="_Toc3483"/>
      <w:bookmarkStart w:id="39" w:name="_Toc8171"/>
      <w:bookmarkStart w:id="40" w:name="_Toc1134"/>
      <w:bookmarkStart w:id="41" w:name="_Toc32623"/>
      <w:r>
        <w:rPr>
          <w:rFonts w:hint="eastAsia"/>
          <w:sz w:val="32"/>
          <w:szCs w:val="32"/>
        </w:rPr>
        <w:t>（一）部门决算情况</w:t>
      </w:r>
      <w:bookmarkEnd w:id="38"/>
      <w:bookmarkEnd w:id="39"/>
      <w:bookmarkEnd w:id="40"/>
      <w:bookmarkEnd w:id="41"/>
    </w:p>
    <w:p w14:paraId="5810D32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sz w:val="32"/>
          <w:szCs w:val="32"/>
          <w:lang w:val="en-US" w:eastAsia="zh-CN"/>
        </w:rPr>
        <w:t>2023年度，兰州市西固区人民法院年初预算3,244.39万元</w:t>
      </w:r>
      <w:r>
        <w:rPr>
          <w:rFonts w:hint="eastAsia"/>
          <w:sz w:val="32"/>
          <w:szCs w:val="32"/>
          <w:lang w:eastAsia="zh-CN"/>
        </w:rPr>
        <w:t>，</w:t>
      </w:r>
      <w:r>
        <w:rPr>
          <w:rFonts w:hint="eastAsia"/>
          <w:sz w:val="32"/>
          <w:szCs w:val="32"/>
        </w:rPr>
        <w:t>全年预算</w:t>
      </w:r>
      <w:r>
        <w:rPr>
          <w:rFonts w:hint="eastAsia"/>
          <w:sz w:val="32"/>
          <w:szCs w:val="32"/>
          <w:lang w:eastAsia="zh-CN"/>
        </w:rPr>
        <w:t>数6,732.79</w:t>
      </w:r>
      <w:r>
        <w:rPr>
          <w:rFonts w:hint="eastAsia"/>
          <w:sz w:val="32"/>
          <w:szCs w:val="32"/>
          <w:lang w:val="en-US" w:eastAsia="zh-CN"/>
        </w:rPr>
        <w:t>万元，实际支出数5,971.10万元，</w:t>
      </w:r>
      <w:r>
        <w:rPr>
          <w:rFonts w:hint="eastAsia"/>
          <w:sz w:val="32"/>
          <w:szCs w:val="32"/>
        </w:rPr>
        <w:t>部门整体支出预算执行率为8</w:t>
      </w:r>
      <w:r>
        <w:rPr>
          <w:rFonts w:hint="eastAsia"/>
          <w:sz w:val="32"/>
          <w:szCs w:val="32"/>
          <w:lang w:val="en-US" w:eastAsia="zh-CN"/>
        </w:rPr>
        <w:t>8</w:t>
      </w:r>
      <w:r>
        <w:rPr>
          <w:rFonts w:hint="eastAsia"/>
          <w:sz w:val="32"/>
          <w:szCs w:val="32"/>
        </w:rPr>
        <w:t>.</w:t>
      </w:r>
      <w:r>
        <w:rPr>
          <w:rFonts w:hint="eastAsia"/>
          <w:sz w:val="32"/>
          <w:szCs w:val="32"/>
          <w:lang w:val="en-US" w:eastAsia="zh-CN"/>
        </w:rPr>
        <w:t>69%。</w:t>
      </w:r>
    </w:p>
    <w:p w14:paraId="6F340DBE">
      <w:pPr>
        <w:pStyle w:val="3"/>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sz w:val="32"/>
          <w:szCs w:val="32"/>
        </w:rPr>
      </w:pPr>
      <w:bookmarkStart w:id="42" w:name="_Toc10769"/>
      <w:bookmarkStart w:id="43" w:name="_Toc23648"/>
      <w:bookmarkStart w:id="44" w:name="_Toc21423"/>
      <w:bookmarkStart w:id="45" w:name="_Toc22782"/>
      <w:r>
        <w:rPr>
          <w:rFonts w:hint="eastAsia"/>
          <w:sz w:val="32"/>
          <w:szCs w:val="32"/>
        </w:rPr>
        <w:t>（二）总体绩效目标完成情况分析</w:t>
      </w:r>
      <w:bookmarkEnd w:id="42"/>
      <w:bookmarkEnd w:id="43"/>
      <w:bookmarkEnd w:id="44"/>
      <w:bookmarkEnd w:id="45"/>
    </w:p>
    <w:p w14:paraId="5FF7D402">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sz w:val="32"/>
          <w:szCs w:val="32"/>
        </w:rPr>
        <w:t>经综合评价与分析，</w:t>
      </w:r>
      <w:r>
        <w:rPr>
          <w:rFonts w:hint="eastAsia"/>
          <w:sz w:val="32"/>
          <w:szCs w:val="32"/>
          <w:lang w:eastAsia="zh-CN"/>
        </w:rPr>
        <w:t>兰州市西固区人民法院2023年度</w:t>
      </w:r>
      <w:r>
        <w:rPr>
          <w:sz w:val="32"/>
          <w:szCs w:val="32"/>
        </w:rPr>
        <w:t>部门整体支出绩效评价最终得分为</w:t>
      </w:r>
      <w:r>
        <w:rPr>
          <w:rFonts w:hint="eastAsia"/>
          <w:sz w:val="32"/>
          <w:szCs w:val="32"/>
        </w:rPr>
        <w:t>9</w:t>
      </w:r>
      <w:r>
        <w:rPr>
          <w:rFonts w:hint="eastAsia"/>
          <w:sz w:val="32"/>
          <w:szCs w:val="32"/>
          <w:lang w:val="en-US" w:eastAsia="zh-CN"/>
        </w:rPr>
        <w:t>5</w:t>
      </w:r>
      <w:r>
        <w:rPr>
          <w:rFonts w:hint="eastAsia"/>
          <w:sz w:val="32"/>
          <w:szCs w:val="32"/>
        </w:rPr>
        <w:t>.</w:t>
      </w:r>
      <w:r>
        <w:rPr>
          <w:rFonts w:hint="eastAsia"/>
          <w:sz w:val="32"/>
          <w:szCs w:val="32"/>
          <w:lang w:val="en-US" w:eastAsia="zh-CN"/>
        </w:rPr>
        <w:t>51</w:t>
      </w:r>
      <w:r>
        <w:rPr>
          <w:sz w:val="32"/>
          <w:szCs w:val="32"/>
        </w:rPr>
        <w:t>分，评价结果为“</w:t>
      </w:r>
      <w:r>
        <w:rPr>
          <w:rFonts w:hint="eastAsia"/>
          <w:sz w:val="32"/>
          <w:szCs w:val="32"/>
          <w:lang w:eastAsia="zh-CN"/>
        </w:rPr>
        <w:t>优</w:t>
      </w:r>
      <w:r>
        <w:rPr>
          <w:sz w:val="32"/>
          <w:szCs w:val="32"/>
        </w:rPr>
        <w:t>”。最终评分结果如</w:t>
      </w:r>
      <w:r>
        <w:rPr>
          <w:rFonts w:hint="eastAsia"/>
          <w:sz w:val="32"/>
          <w:szCs w:val="32"/>
        </w:rPr>
        <w:t>下</w:t>
      </w:r>
      <w:r>
        <w:rPr>
          <w:sz w:val="32"/>
          <w:szCs w:val="32"/>
        </w:rPr>
        <w:t>表所示</w:t>
      </w:r>
      <w:r>
        <w:rPr>
          <w:rFonts w:hint="eastAsia"/>
          <w:sz w:val="32"/>
          <w:szCs w:val="32"/>
        </w:rPr>
        <w:t>：</w:t>
      </w:r>
    </w:p>
    <w:p w14:paraId="13F4F8F5">
      <w:pPr>
        <w:jc w:val="center"/>
        <w:rPr>
          <w:rFonts w:ascii="宋体" w:hAnsi="宋体"/>
          <w:highlight w:val="none"/>
        </w:rPr>
      </w:pPr>
      <w:r>
        <w:rPr>
          <w:rFonts w:hint="eastAsia" w:ascii="宋体" w:hAnsi="宋体" w:cs="宋体"/>
          <w:b/>
          <w:bCs/>
          <w:kern w:val="0"/>
          <w:sz w:val="24"/>
          <w:highlight w:val="none"/>
          <w:lang w:eastAsia="zh-CN"/>
        </w:rPr>
        <w:t>2023年度</w:t>
      </w:r>
      <w:r>
        <w:rPr>
          <w:rFonts w:hint="eastAsia" w:ascii="宋体" w:hAnsi="宋体" w:cs="宋体"/>
          <w:b/>
          <w:bCs/>
          <w:kern w:val="0"/>
          <w:sz w:val="24"/>
          <w:highlight w:val="none"/>
        </w:rPr>
        <w:t>部门整体支出绩效评价指标得分情况</w:t>
      </w:r>
    </w:p>
    <w:tbl>
      <w:tblPr>
        <w:tblStyle w:val="21"/>
        <w:tblW w:w="8730"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88"/>
        <w:gridCol w:w="1814"/>
        <w:gridCol w:w="1814"/>
        <w:gridCol w:w="1814"/>
      </w:tblGrid>
      <w:tr w14:paraId="54CEABA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14:paraId="5C600005">
            <w:pPr>
              <w:keepNext w:val="0"/>
              <w:keepLines w:val="0"/>
              <w:widowControl/>
              <w:suppressLineNumbers w:val="0"/>
              <w:ind w:firstLine="482" w:firstLineChars="200"/>
              <w:jc w:val="center"/>
              <w:textAlignment w:val="center"/>
              <w:rPr>
                <w:rFonts w:hint="eastAsia" w:ascii="仿宋" w:hAnsi="仿宋" w:eastAsia="仿宋" w:cs="仿宋"/>
                <w:b/>
                <w:color w:val="000000"/>
                <w:kern w:val="0"/>
                <w:sz w:val="24"/>
                <w:szCs w:val="24"/>
                <w:highlight w:val="none"/>
              </w:rPr>
            </w:pPr>
            <w:r>
              <w:rPr>
                <w:rFonts w:hint="eastAsia" w:ascii="仿宋" w:hAnsi="仿宋" w:eastAsia="仿宋" w:cs="仿宋"/>
                <w:b/>
                <w:bCs/>
                <w:i w:val="0"/>
                <w:iCs w:val="0"/>
                <w:color w:val="000000"/>
                <w:kern w:val="0"/>
                <w:sz w:val="24"/>
                <w:szCs w:val="24"/>
                <w:u w:val="none"/>
                <w:lang w:val="en-US" w:eastAsia="zh-CN" w:bidi="ar"/>
              </w:rPr>
              <w:t>一级指标</w:t>
            </w:r>
          </w:p>
        </w:tc>
        <w:tc>
          <w:tcPr>
            <w:tcW w:w="1814" w:type="dxa"/>
            <w:shd w:val="clear" w:color="auto" w:fill="BDD6EE"/>
            <w:vAlign w:val="center"/>
          </w:tcPr>
          <w:p w14:paraId="3472E3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000000"/>
                <w:kern w:val="0"/>
                <w:sz w:val="24"/>
                <w:szCs w:val="24"/>
                <w:highlight w:val="none"/>
              </w:rPr>
            </w:pPr>
            <w:r>
              <w:rPr>
                <w:rFonts w:hint="eastAsia" w:ascii="仿宋" w:hAnsi="仿宋" w:eastAsia="仿宋" w:cs="仿宋"/>
                <w:b/>
                <w:bCs/>
                <w:i w:val="0"/>
                <w:iCs w:val="0"/>
                <w:color w:val="000000"/>
                <w:kern w:val="0"/>
                <w:sz w:val="24"/>
                <w:szCs w:val="24"/>
                <w:u w:val="none"/>
                <w:lang w:val="en-US" w:eastAsia="zh-CN" w:bidi="ar"/>
              </w:rPr>
              <w:t>分值</w:t>
            </w:r>
          </w:p>
        </w:tc>
        <w:tc>
          <w:tcPr>
            <w:tcW w:w="1814" w:type="dxa"/>
            <w:shd w:val="clear" w:color="auto" w:fill="BDD6EE"/>
            <w:vAlign w:val="center"/>
          </w:tcPr>
          <w:p w14:paraId="5E5836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000000"/>
                <w:kern w:val="0"/>
                <w:sz w:val="24"/>
                <w:szCs w:val="24"/>
                <w:highlight w:val="none"/>
              </w:rPr>
            </w:pPr>
            <w:r>
              <w:rPr>
                <w:rFonts w:hint="eastAsia" w:ascii="仿宋" w:hAnsi="仿宋" w:eastAsia="仿宋" w:cs="仿宋"/>
                <w:b/>
                <w:bCs/>
                <w:i w:val="0"/>
                <w:iCs w:val="0"/>
                <w:color w:val="000000"/>
                <w:kern w:val="0"/>
                <w:sz w:val="24"/>
                <w:szCs w:val="24"/>
                <w:u w:val="none"/>
                <w:lang w:val="en-US" w:eastAsia="zh-CN" w:bidi="ar"/>
              </w:rPr>
              <w:t>自评得分</w:t>
            </w:r>
          </w:p>
        </w:tc>
        <w:tc>
          <w:tcPr>
            <w:tcW w:w="1814" w:type="dxa"/>
            <w:shd w:val="clear" w:color="auto" w:fill="BDD6EE"/>
            <w:vAlign w:val="center"/>
          </w:tcPr>
          <w:p w14:paraId="660BF24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000000"/>
                <w:kern w:val="0"/>
                <w:sz w:val="24"/>
                <w:szCs w:val="24"/>
                <w:highlight w:val="none"/>
              </w:rPr>
            </w:pPr>
            <w:r>
              <w:rPr>
                <w:rFonts w:hint="eastAsia" w:ascii="仿宋" w:hAnsi="仿宋" w:eastAsia="仿宋" w:cs="仿宋"/>
                <w:b/>
                <w:bCs/>
                <w:i w:val="0"/>
                <w:iCs w:val="0"/>
                <w:color w:val="000000"/>
                <w:kern w:val="0"/>
                <w:sz w:val="24"/>
                <w:szCs w:val="24"/>
                <w:u w:val="none"/>
                <w:lang w:val="en-US" w:eastAsia="zh-CN" w:bidi="ar"/>
              </w:rPr>
              <w:t>得分率</w:t>
            </w:r>
          </w:p>
        </w:tc>
      </w:tr>
      <w:tr w14:paraId="02EEEF2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081B40FF">
            <w:pPr>
              <w:keepNext w:val="0"/>
              <w:keepLines w:val="0"/>
              <w:widowControl/>
              <w:suppressLineNumbers w:val="0"/>
              <w:ind w:firstLine="480" w:firstLineChars="20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预算执行率</w:t>
            </w:r>
          </w:p>
        </w:tc>
        <w:tc>
          <w:tcPr>
            <w:tcW w:w="1814" w:type="dxa"/>
            <w:vAlign w:val="center"/>
          </w:tcPr>
          <w:p w14:paraId="7DAD00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u w:val="none"/>
                <w:lang w:val="en-US" w:eastAsia="zh-CN" w:bidi="ar"/>
              </w:rPr>
              <w:t>10</w:t>
            </w:r>
          </w:p>
        </w:tc>
        <w:tc>
          <w:tcPr>
            <w:tcW w:w="1814" w:type="dxa"/>
            <w:vAlign w:val="center"/>
          </w:tcPr>
          <w:p w14:paraId="43816BA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b/>
                <w:bCs/>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8.87</w:t>
            </w:r>
          </w:p>
        </w:tc>
        <w:tc>
          <w:tcPr>
            <w:tcW w:w="1814" w:type="dxa"/>
            <w:vAlign w:val="center"/>
          </w:tcPr>
          <w:p w14:paraId="02F45E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88.7%</w:t>
            </w:r>
          </w:p>
        </w:tc>
      </w:tr>
      <w:tr w14:paraId="63EAFF5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32144AA0">
            <w:pPr>
              <w:keepNext w:val="0"/>
              <w:keepLines w:val="0"/>
              <w:widowControl/>
              <w:suppressLineNumbers w:val="0"/>
              <w:ind w:firstLine="480" w:firstLineChars="20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部门管理</w:t>
            </w:r>
          </w:p>
        </w:tc>
        <w:tc>
          <w:tcPr>
            <w:tcW w:w="1814" w:type="dxa"/>
            <w:vAlign w:val="center"/>
          </w:tcPr>
          <w:p w14:paraId="2318C1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20</w:t>
            </w:r>
          </w:p>
        </w:tc>
        <w:tc>
          <w:tcPr>
            <w:tcW w:w="1814" w:type="dxa"/>
            <w:vAlign w:val="center"/>
          </w:tcPr>
          <w:p w14:paraId="7F34E1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18.94</w:t>
            </w:r>
          </w:p>
        </w:tc>
        <w:tc>
          <w:tcPr>
            <w:tcW w:w="1814" w:type="dxa"/>
            <w:vAlign w:val="center"/>
          </w:tcPr>
          <w:p w14:paraId="613788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94.7%</w:t>
            </w:r>
          </w:p>
        </w:tc>
      </w:tr>
      <w:tr w14:paraId="499BE33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71901D5B">
            <w:pPr>
              <w:keepNext w:val="0"/>
              <w:keepLines w:val="0"/>
              <w:widowControl/>
              <w:suppressLineNumbers w:val="0"/>
              <w:ind w:firstLine="480" w:firstLineChars="20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履职效果</w:t>
            </w:r>
          </w:p>
        </w:tc>
        <w:tc>
          <w:tcPr>
            <w:tcW w:w="1814" w:type="dxa"/>
            <w:vAlign w:val="center"/>
          </w:tcPr>
          <w:p w14:paraId="0A31AB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60</w:t>
            </w:r>
          </w:p>
        </w:tc>
        <w:tc>
          <w:tcPr>
            <w:tcW w:w="1814" w:type="dxa"/>
            <w:vAlign w:val="center"/>
          </w:tcPr>
          <w:p w14:paraId="7B9D99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57.7</w:t>
            </w:r>
          </w:p>
        </w:tc>
        <w:tc>
          <w:tcPr>
            <w:tcW w:w="1814" w:type="dxa"/>
            <w:vAlign w:val="center"/>
          </w:tcPr>
          <w:p w14:paraId="2B2ACD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96.17%</w:t>
            </w:r>
          </w:p>
        </w:tc>
      </w:tr>
      <w:tr w14:paraId="19300B0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565EABEA">
            <w:pPr>
              <w:keepNext w:val="0"/>
              <w:keepLines w:val="0"/>
              <w:widowControl/>
              <w:suppressLineNumbers w:val="0"/>
              <w:ind w:firstLine="480" w:firstLineChars="20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能力建设</w:t>
            </w:r>
          </w:p>
        </w:tc>
        <w:tc>
          <w:tcPr>
            <w:tcW w:w="1814" w:type="dxa"/>
            <w:vAlign w:val="center"/>
          </w:tcPr>
          <w:p w14:paraId="50B135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kern w:val="0"/>
                <w:sz w:val="24"/>
                <w:szCs w:val="24"/>
                <w:highlight w:val="none"/>
                <w:lang w:val="en-US"/>
              </w:rPr>
            </w:pPr>
            <w:r>
              <w:rPr>
                <w:rFonts w:hint="eastAsia" w:ascii="仿宋" w:hAnsi="仿宋" w:eastAsia="仿宋" w:cs="仿宋"/>
                <w:i w:val="0"/>
                <w:iCs w:val="0"/>
                <w:color w:val="000000"/>
                <w:kern w:val="0"/>
                <w:sz w:val="24"/>
                <w:szCs w:val="24"/>
                <w:u w:val="none"/>
                <w:lang w:val="en-US" w:eastAsia="zh-CN" w:bidi="ar"/>
              </w:rPr>
              <w:t>10</w:t>
            </w:r>
          </w:p>
        </w:tc>
        <w:tc>
          <w:tcPr>
            <w:tcW w:w="1814" w:type="dxa"/>
            <w:vAlign w:val="center"/>
          </w:tcPr>
          <w:p w14:paraId="28E3DE3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814" w:type="dxa"/>
            <w:vAlign w:val="center"/>
          </w:tcPr>
          <w:p w14:paraId="0AEAB8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100%</w:t>
            </w:r>
          </w:p>
        </w:tc>
      </w:tr>
      <w:tr w14:paraId="058A6E8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14:paraId="1E014581">
            <w:pPr>
              <w:keepNext w:val="0"/>
              <w:keepLines w:val="0"/>
              <w:widowControl/>
              <w:suppressLineNumbers w:val="0"/>
              <w:ind w:firstLine="482" w:firstLineChars="200"/>
              <w:jc w:val="center"/>
              <w:textAlignment w:val="center"/>
              <w:rPr>
                <w:rFonts w:hint="eastAsia" w:ascii="仿宋" w:hAnsi="仿宋" w:eastAsia="仿宋" w:cs="仿宋"/>
                <w:b/>
                <w:color w:val="000000"/>
                <w:kern w:val="0"/>
                <w:sz w:val="24"/>
                <w:szCs w:val="24"/>
                <w:highlight w:val="none"/>
              </w:rPr>
            </w:pPr>
            <w:r>
              <w:rPr>
                <w:rFonts w:hint="eastAsia" w:ascii="仿宋" w:hAnsi="仿宋" w:eastAsia="仿宋" w:cs="仿宋"/>
                <w:b/>
                <w:bCs/>
                <w:i w:val="0"/>
                <w:iCs w:val="0"/>
                <w:color w:val="000000"/>
                <w:kern w:val="0"/>
                <w:sz w:val="24"/>
                <w:szCs w:val="24"/>
                <w:u w:val="none"/>
                <w:lang w:val="en-US" w:eastAsia="zh-CN" w:bidi="ar"/>
              </w:rPr>
              <w:t>合计</w:t>
            </w:r>
          </w:p>
        </w:tc>
        <w:tc>
          <w:tcPr>
            <w:tcW w:w="1814" w:type="dxa"/>
            <w:shd w:val="clear" w:color="auto" w:fill="BDD6EE"/>
            <w:vAlign w:val="center"/>
          </w:tcPr>
          <w:p w14:paraId="4B6303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100</w:t>
            </w:r>
          </w:p>
        </w:tc>
        <w:tc>
          <w:tcPr>
            <w:tcW w:w="1814" w:type="dxa"/>
            <w:shd w:val="clear" w:color="auto" w:fill="BDD6EE"/>
            <w:vAlign w:val="center"/>
          </w:tcPr>
          <w:p w14:paraId="177A0EC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95.51</w:t>
            </w:r>
          </w:p>
        </w:tc>
        <w:tc>
          <w:tcPr>
            <w:tcW w:w="1814" w:type="dxa"/>
            <w:shd w:val="clear" w:color="auto" w:fill="BDD6EE"/>
            <w:vAlign w:val="center"/>
          </w:tcPr>
          <w:p w14:paraId="0EE89C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95.51</w:t>
            </w:r>
            <w:r>
              <w:rPr>
                <w:rFonts w:hint="eastAsia" w:ascii="仿宋" w:hAnsi="仿宋" w:eastAsia="仿宋" w:cs="仿宋"/>
                <w:b/>
                <w:bCs/>
                <w:i w:val="0"/>
                <w:iCs w:val="0"/>
                <w:color w:val="000000"/>
                <w:kern w:val="0"/>
                <w:sz w:val="24"/>
                <w:szCs w:val="24"/>
                <w:u w:val="none"/>
                <w:lang w:val="en-US" w:eastAsia="zh-CN" w:bidi="ar"/>
              </w:rPr>
              <w:t>%</w:t>
            </w:r>
          </w:p>
        </w:tc>
      </w:tr>
    </w:tbl>
    <w:p w14:paraId="1ADB2611">
      <w:pPr>
        <w:pStyle w:val="4"/>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eastAsia="仿宋_GB2312"/>
          <w:b/>
          <w:bCs/>
          <w:sz w:val="32"/>
          <w:szCs w:val="32"/>
          <w:lang w:eastAsia="zh-CN"/>
        </w:rPr>
      </w:pPr>
      <w:r>
        <w:rPr>
          <w:rFonts w:hint="eastAsia"/>
          <w:sz w:val="32"/>
          <w:szCs w:val="32"/>
          <w:highlight w:val="none"/>
          <w:lang w:val="en-US" w:eastAsia="zh-CN"/>
        </w:rPr>
        <w:t>2023年度主要工作成果及总体绩效目标完成情况</w:t>
      </w:r>
    </w:p>
    <w:p w14:paraId="744986D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b/>
          <w:bCs/>
          <w:sz w:val="32"/>
          <w:szCs w:val="32"/>
          <w:highlight w:val="none"/>
          <w:lang w:val="en-US" w:eastAsia="zh-CN"/>
        </w:rPr>
      </w:pPr>
      <w:r>
        <w:rPr>
          <w:rFonts w:hint="eastAsia"/>
          <w:b/>
          <w:bCs/>
          <w:sz w:val="32"/>
          <w:szCs w:val="32"/>
          <w:highlight w:val="none"/>
          <w:lang w:val="en-US" w:eastAsia="zh-CN"/>
        </w:rPr>
        <w:t>1.总体绩效目标</w:t>
      </w:r>
    </w:p>
    <w:p w14:paraId="5A931888">
      <w:pPr>
        <w:pStyle w:val="28"/>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lang w:val="en-US" w:eastAsia="zh-CN"/>
        </w:rPr>
        <w:t>坚决维护安全稳定大局，依法守护群众美好生活</w:t>
      </w:r>
      <w:r>
        <w:rPr>
          <w:rFonts w:hint="eastAsia" w:ascii="仿宋_GB2312" w:hAnsi="仿宋_GB2312" w:eastAsia="仿宋_GB2312" w:cs="仿宋_GB2312"/>
          <w:b w:val="0"/>
          <w:bCs w:val="0"/>
          <w:kern w:val="2"/>
          <w:sz w:val="32"/>
          <w:szCs w:val="32"/>
          <w:highlight w:val="none"/>
          <w:lang w:val="en-US" w:eastAsia="zh-CN" w:bidi="ar-SA"/>
        </w:rPr>
        <w:t>。</w:t>
      </w:r>
    </w:p>
    <w:p w14:paraId="498E7652">
      <w:pPr>
        <w:pStyle w:val="28"/>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lang w:val="en-US" w:eastAsia="zh-CN"/>
        </w:rPr>
        <w:t>着力优化法治化营商环境，</w:t>
      </w:r>
      <w:r>
        <w:rPr>
          <w:rFonts w:hint="eastAsia" w:ascii="仿宋_GB2312" w:hAnsi="仿宋_GB2312" w:eastAsia="仿宋_GB2312" w:cs="仿宋_GB2312"/>
          <w:color w:val="auto"/>
          <w:sz w:val="32"/>
          <w:szCs w:val="32"/>
          <w:highlight w:val="none"/>
          <w:lang w:val="en-US" w:eastAsia="zh-CN"/>
        </w:rPr>
        <w:t>全力服务经济社会高质量发展。</w:t>
      </w:r>
    </w:p>
    <w:p w14:paraId="45EAE261">
      <w:pPr>
        <w:pStyle w:val="28"/>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（3）</w:t>
      </w:r>
      <w:r>
        <w:rPr>
          <w:rFonts w:hint="eastAsia" w:ascii="仿宋_GB2312" w:hAnsi="仿宋_GB2312" w:eastAsia="仿宋_GB2312" w:cs="仿宋_GB2312"/>
          <w:color w:val="auto"/>
          <w:sz w:val="32"/>
          <w:szCs w:val="32"/>
          <w:highlight w:val="none"/>
          <w:lang w:val="en-US" w:eastAsia="zh-CN"/>
        </w:rPr>
        <w:t>全面深化司法体制改革，不断完善审判管理机制</w:t>
      </w:r>
      <w:r>
        <w:rPr>
          <w:rFonts w:hint="eastAsia" w:ascii="仿宋_GB2312" w:hAnsi="仿宋_GB2312" w:eastAsia="仿宋_GB2312" w:cs="仿宋_GB2312"/>
          <w:b w:val="0"/>
          <w:bCs w:val="0"/>
          <w:kern w:val="2"/>
          <w:sz w:val="32"/>
          <w:szCs w:val="32"/>
          <w:highlight w:val="none"/>
          <w:lang w:val="en-US" w:eastAsia="zh-CN" w:bidi="ar-SA"/>
        </w:rPr>
        <w:t>。</w:t>
      </w:r>
    </w:p>
    <w:p w14:paraId="7EEC6C96">
      <w:pPr>
        <w:pStyle w:val="28"/>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（4）</w:t>
      </w:r>
      <w:r>
        <w:rPr>
          <w:rFonts w:hint="eastAsia" w:ascii="仿宋_GB2312" w:hAnsi="仿宋_GB2312" w:eastAsia="仿宋_GB2312" w:cs="仿宋_GB2312"/>
          <w:color w:val="auto"/>
          <w:sz w:val="32"/>
          <w:szCs w:val="32"/>
          <w:highlight w:val="none"/>
          <w:lang w:val="en-US" w:eastAsia="zh-CN"/>
        </w:rPr>
        <w:t>高效满足群众司法需求，</w:t>
      </w:r>
      <w:r>
        <w:rPr>
          <w:rFonts w:hint="eastAsia" w:ascii="仿宋_GB2312" w:hAnsi="仿宋_GB2312" w:eastAsia="仿宋_GB2312" w:cs="仿宋_GB2312"/>
          <w:sz w:val="32"/>
          <w:szCs w:val="32"/>
          <w:highlight w:val="none"/>
          <w:lang w:val="en-US" w:eastAsia="zh-CN"/>
        </w:rPr>
        <w:t>依法守护群众美好生活</w:t>
      </w:r>
      <w:r>
        <w:rPr>
          <w:rFonts w:hint="eastAsia" w:cs="仿宋_GB2312"/>
          <w:sz w:val="32"/>
          <w:szCs w:val="32"/>
          <w:highlight w:val="none"/>
          <w:lang w:val="en-US" w:eastAsia="zh-CN"/>
        </w:rPr>
        <w:t>。</w:t>
      </w:r>
    </w:p>
    <w:p w14:paraId="304C2294">
      <w:pPr>
        <w:pageBreakBefore w:val="0"/>
        <w:kinsoku/>
        <w:wordWrap/>
        <w:overflowPunct/>
        <w:topLinePunct w:val="0"/>
        <w:autoSpaceDE/>
        <w:autoSpaceDN/>
        <w:bidi w:val="0"/>
        <w:adjustRightInd/>
        <w:snapToGrid/>
        <w:spacing w:line="560" w:lineRule="exact"/>
        <w:ind w:firstLine="562"/>
        <w:textAlignment w:val="auto"/>
        <w:rPr>
          <w:rFonts w:hint="eastAsia"/>
          <w:b/>
          <w:bCs/>
          <w:sz w:val="32"/>
          <w:szCs w:val="32"/>
          <w:highlight w:val="none"/>
        </w:rPr>
      </w:pPr>
      <w:r>
        <w:rPr>
          <w:rFonts w:hint="eastAsia"/>
          <w:b/>
          <w:bCs/>
          <w:sz w:val="32"/>
          <w:szCs w:val="32"/>
          <w:highlight w:val="none"/>
          <w:lang w:val="en-US" w:eastAsia="zh-CN"/>
        </w:rPr>
        <w:t>2.</w:t>
      </w:r>
      <w:r>
        <w:rPr>
          <w:rFonts w:hint="eastAsia"/>
          <w:b/>
          <w:bCs/>
          <w:sz w:val="32"/>
          <w:szCs w:val="32"/>
          <w:highlight w:val="none"/>
        </w:rPr>
        <w:t>实际完成情况</w:t>
      </w:r>
    </w:p>
    <w:p w14:paraId="7458297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kern w:val="2"/>
          <w:sz w:val="32"/>
          <w:szCs w:val="32"/>
          <w:highlight w:val="none"/>
          <w:lang w:val="en-US" w:eastAsia="zh-CN" w:bidi="ar-SA"/>
        </w:rPr>
        <w:t>（1）坚持把扫黑除恶作为最得民心的工程抓紧抓实，依法公开宣判恶势力犯罪集团案件，</w:t>
      </w:r>
      <w:r>
        <w:rPr>
          <w:rFonts w:hint="eastAsia" w:ascii="仿宋_GB2312" w:hAnsi="仿宋_GB2312" w:eastAsia="仿宋_GB2312" w:cs="仿宋_GB2312"/>
          <w:color w:val="auto"/>
          <w:sz w:val="32"/>
          <w:szCs w:val="32"/>
          <w:highlight w:val="none"/>
          <w:lang w:val="en-US" w:eastAsia="zh-CN"/>
        </w:rPr>
        <w:t>有力维护社会安定和人民安宁始终保持对故意杀人、抢劫等危害人民群众生命财产安全犯罪的高压打击态势</w:t>
      </w:r>
      <w:r>
        <w:rPr>
          <w:rFonts w:hint="eastAsia" w:cs="仿宋_GB2312"/>
          <w:color w:val="auto"/>
          <w:sz w:val="32"/>
          <w:szCs w:val="32"/>
          <w:highlight w:val="none"/>
          <w:lang w:val="en-US" w:eastAsia="zh-CN"/>
        </w:rPr>
        <w:t>，持</w:t>
      </w:r>
      <w:r>
        <w:rPr>
          <w:rFonts w:hint="eastAsia" w:ascii="仿宋_GB2312" w:hAnsi="仿宋_GB2312" w:eastAsia="仿宋_GB2312" w:cs="仿宋_GB2312"/>
          <w:color w:val="auto"/>
          <w:sz w:val="32"/>
          <w:szCs w:val="32"/>
          <w:highlight w:val="none"/>
          <w:lang w:val="en-US" w:eastAsia="zh-CN"/>
        </w:rPr>
        <w:t>续提升人民群众安全感。深入开展反腐败斗争，严惩危害食品药品安全犯罪，全力守护百姓用餐用药安全。大力整治电信网络诈骗，依法保障群众财产安全，严惩酒驾、醉驾，守护百姓出行安全。认真贯彻宽严相济刑事政策，刑事司法效能持续优化。</w:t>
      </w:r>
      <w:r>
        <w:rPr>
          <w:rFonts w:hint="eastAsia" w:ascii="仿宋_GB2312" w:hAnsi="仿宋_GB2312" w:eastAsia="仿宋_GB2312" w:cs="仿宋_GB2312"/>
          <w:color w:val="auto"/>
          <w:kern w:val="2"/>
          <w:sz w:val="32"/>
          <w:szCs w:val="32"/>
          <w:highlight w:val="none"/>
          <w:lang w:val="en-US" w:eastAsia="zh-CN" w:bidi="ar-SA"/>
        </w:rPr>
        <w:t>深化以审判为中心的刑事诉讼制度改革，推动庭审实质化，刑事辩护覆盖率</w:t>
      </w:r>
      <w:r>
        <w:rPr>
          <w:rFonts w:hint="eastAsia" w:ascii="仿宋_GB2312" w:hAnsi="仿宋_GB2312" w:eastAsia="仿宋_GB2312" w:cs="仿宋_GB2312"/>
          <w:color w:val="auto"/>
          <w:sz w:val="32"/>
          <w:szCs w:val="32"/>
          <w:highlight w:val="none"/>
          <w:lang w:val="en-US" w:eastAsia="zh-CN"/>
        </w:rPr>
        <w:t>100%，司法人权保障进一步强化</w:t>
      </w:r>
      <w:r>
        <w:rPr>
          <w:rFonts w:hint="eastAsia" w:ascii="仿宋_GB2312" w:hAnsi="仿宋_GB2312" w:eastAsia="仿宋_GB2312" w:cs="仿宋_GB2312"/>
          <w:color w:val="auto"/>
          <w:kern w:val="2"/>
          <w:sz w:val="32"/>
          <w:szCs w:val="32"/>
          <w:highlight w:val="none"/>
          <w:lang w:val="en-US" w:eastAsia="zh-CN" w:bidi="ar-SA"/>
        </w:rPr>
        <w:t>。</w:t>
      </w:r>
    </w:p>
    <w:p w14:paraId="060CC6CF">
      <w:pPr>
        <w:pStyle w:val="2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w:t>
      </w:r>
      <w:r>
        <w:rPr>
          <w:rFonts w:hint="eastAsia" w:ascii="仿宋_GB2312" w:hAnsi="仿宋_GB2312" w:eastAsia="仿宋_GB2312" w:cs="仿宋_GB2312"/>
          <w:b w:val="0"/>
          <w:bCs w:val="0"/>
          <w:color w:val="auto"/>
          <w:sz w:val="32"/>
          <w:szCs w:val="32"/>
          <w:highlight w:val="none"/>
          <w:lang w:val="en-US" w:eastAsia="zh-CN"/>
        </w:rPr>
        <w:t>扛牢主责主业，以能动履职的法院作为扎实开展“优化营商环境攻坚年”行动，紧盯法院牵头的“解决商业纠纷”“办理破产”两项评价指标，坚持从政治上看、从法治上办、从感受上验，依托商事法庭打造，妥善审理建设工程、建筑设备租赁、公司股权等涉企纠纷，保障企业合法权益。完善线上线下审理机制，推进立审执提档加速，增强企业法治体验感、获得感。</w:t>
      </w:r>
      <w:r>
        <w:rPr>
          <w:rFonts w:hint="eastAsia" w:ascii="仿宋_GB2312" w:hAnsi="仿宋_GB2312" w:eastAsia="仿宋_GB2312" w:cs="仿宋_GB2312"/>
          <w:color w:val="auto"/>
          <w:sz w:val="32"/>
          <w:szCs w:val="32"/>
          <w:highlight w:val="none"/>
          <w:lang w:val="en-US" w:eastAsia="zh-CN"/>
        </w:rPr>
        <w:t>研究</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highlight w:val="none"/>
          <w:lang w:val="en-US" w:eastAsia="zh-CN"/>
        </w:rPr>
        <w:t>关于办理</w:t>
      </w:r>
      <w:r>
        <w:rPr>
          <w:rFonts w:hint="eastAsia" w:ascii="仿宋_GB2312" w:hAnsi="仿宋_GB2312" w:eastAsia="仿宋_GB2312" w:cs="仿宋_GB2312"/>
          <w:color w:val="auto"/>
          <w:kern w:val="0"/>
          <w:sz w:val="32"/>
          <w:szCs w:val="32"/>
          <w:highlight w:val="none"/>
        </w:rPr>
        <w:t>建设工程施工合同纠纷</w:t>
      </w:r>
      <w:r>
        <w:rPr>
          <w:rFonts w:hint="eastAsia" w:ascii="仿宋_GB2312" w:hAnsi="仿宋_GB2312" w:eastAsia="仿宋_GB2312" w:cs="仿宋_GB2312"/>
          <w:color w:val="auto"/>
          <w:kern w:val="0"/>
          <w:sz w:val="32"/>
          <w:szCs w:val="32"/>
          <w:highlight w:val="none"/>
          <w:lang w:eastAsia="zh-CN"/>
        </w:rPr>
        <w:t>的</w:t>
      </w:r>
      <w:r>
        <w:rPr>
          <w:rFonts w:hint="eastAsia" w:ascii="仿宋_GB2312" w:hAnsi="仿宋_GB2312" w:eastAsia="仿宋_GB2312" w:cs="仿宋_GB2312"/>
          <w:color w:val="auto"/>
          <w:kern w:val="0"/>
          <w:sz w:val="32"/>
          <w:szCs w:val="32"/>
          <w:highlight w:val="none"/>
          <w:lang w:val="en-US" w:eastAsia="zh-CN"/>
        </w:rPr>
        <w:t>办法</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highlight w:val="none"/>
          <w:lang w:val="en-US" w:eastAsia="zh-CN"/>
        </w:rPr>
        <w:t>提升涉企案件专业化解纷水平。围绕保障政府重点项目建设，依法审查行政非诉执行案件，全力服务经济社会高质量发展。</w:t>
      </w:r>
    </w:p>
    <w:p w14:paraId="3BE6284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3）全面深化司法体制改革。严格落实司法责任，持续深化法官员额制改革，有序推进第八批员额法官入额遴选工作，“能上能下、能进能出”的员额动态管理机制进一步完善。坚持专业审判与特色审判相融合，深化“一庭一专”打造，组建8个“专业化+特色化”审判团队，以“类案归口、专业精审”促进审判工作提质增效。不断完善审判管理机制。构建“大诉服、精审管”工作格局，完善《关于加强诉讼服务工作的办法》《关于加强审判管理工作的办法》，紧盯审判执行工作指标，开展“扎实奋战两年，实现全院整体工作走在全省前列”专题活动。</w:t>
      </w:r>
    </w:p>
    <w:p w14:paraId="64AC5889">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sz w:val="32"/>
          <w:szCs w:val="32"/>
          <w:lang w:eastAsia="zh-CN"/>
        </w:rPr>
      </w:pPr>
      <w:r>
        <w:rPr>
          <w:rFonts w:hint="eastAsia" w:cs="仿宋_GB2312"/>
          <w:sz w:val="32"/>
          <w:szCs w:val="32"/>
          <w:highlight w:val="none"/>
          <w:lang w:eastAsia="zh-CN"/>
        </w:rPr>
        <w:t>（</w:t>
      </w:r>
      <w:r>
        <w:rPr>
          <w:rFonts w:hint="eastAsia"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坚持案件繁简分流、快慢分道，在特色化基础上，组建“速裁+民商事审判”的新型团队，成立13个快审和11个精审团队，实现简案快审、繁案精审。坚持以人民为中心，打造“一网通办理、一站式服务”的综合性诉讼服务中心，“网上立案+电子送达+在线调解+远程审理”线上办案模式基本实现，“一揽子接收、全链条流转、一次性解决”的线下诉服体系运行良好，一站式建设质效指标稳居全市第一方阵。</w:t>
      </w:r>
    </w:p>
    <w:p w14:paraId="5956F09F">
      <w:pPr>
        <w:pStyle w:val="3"/>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46" w:name="_Toc19116"/>
      <w:bookmarkStart w:id="47" w:name="_Toc17819"/>
      <w:bookmarkStart w:id="48" w:name="_Toc18553"/>
      <w:bookmarkStart w:id="49" w:name="_Toc7799"/>
      <w:r>
        <w:rPr>
          <w:rFonts w:hint="eastAsia"/>
          <w:sz w:val="32"/>
          <w:szCs w:val="32"/>
        </w:rPr>
        <w:t>（三）各项指标完成情况分析</w:t>
      </w:r>
      <w:bookmarkEnd w:id="46"/>
      <w:bookmarkEnd w:id="47"/>
      <w:bookmarkEnd w:id="48"/>
      <w:bookmarkEnd w:id="49"/>
    </w:p>
    <w:p w14:paraId="3BA1A231">
      <w:pPr>
        <w:pageBreakBefore w:val="0"/>
        <w:kinsoku/>
        <w:wordWrap/>
        <w:overflowPunct/>
        <w:topLinePunct w:val="0"/>
        <w:autoSpaceDE/>
        <w:autoSpaceDN/>
        <w:bidi w:val="0"/>
        <w:adjustRightInd/>
        <w:snapToGrid/>
        <w:spacing w:line="560" w:lineRule="exact"/>
        <w:ind w:firstLine="562"/>
        <w:textAlignment w:val="auto"/>
        <w:rPr>
          <w:rFonts w:hint="default"/>
          <w:b/>
          <w:bCs/>
          <w:sz w:val="32"/>
          <w:szCs w:val="32"/>
          <w:highlight w:val="none"/>
          <w:lang w:val="en-US" w:eastAsia="zh-CN"/>
        </w:rPr>
      </w:pPr>
      <w:r>
        <w:rPr>
          <w:rFonts w:hint="eastAsia"/>
          <w:b/>
          <w:bCs/>
          <w:sz w:val="32"/>
          <w:szCs w:val="32"/>
          <w:highlight w:val="none"/>
          <w:lang w:val="en-US" w:eastAsia="zh-CN"/>
        </w:rPr>
        <w:t>1.部门整体支出预算执行率完成情况分析</w:t>
      </w:r>
    </w:p>
    <w:p w14:paraId="52D69D23">
      <w:pPr>
        <w:pageBreakBefore w:val="0"/>
        <w:kinsoku/>
        <w:wordWrap/>
        <w:overflowPunct/>
        <w:topLinePunct w:val="0"/>
        <w:autoSpaceDE/>
        <w:autoSpaceDN/>
        <w:bidi w:val="0"/>
        <w:adjustRightInd/>
        <w:snapToGrid/>
        <w:spacing w:line="560" w:lineRule="exact"/>
        <w:ind w:firstLine="560"/>
        <w:textAlignment w:val="auto"/>
        <w:rPr>
          <w:rFonts w:hint="eastAsia"/>
          <w:sz w:val="32"/>
          <w:szCs w:val="32"/>
        </w:rPr>
      </w:pPr>
      <w:r>
        <w:rPr>
          <w:rFonts w:hint="eastAsia"/>
          <w:sz w:val="32"/>
          <w:szCs w:val="32"/>
          <w:lang w:val="en-US" w:eastAsia="zh-CN"/>
        </w:rPr>
        <w:t>2023年度，兰州市西固区人民法院年初预算3,244.39万元</w:t>
      </w:r>
      <w:r>
        <w:rPr>
          <w:rFonts w:hint="eastAsia"/>
          <w:sz w:val="32"/>
          <w:szCs w:val="32"/>
          <w:lang w:eastAsia="zh-CN"/>
        </w:rPr>
        <w:t>，</w:t>
      </w:r>
      <w:r>
        <w:rPr>
          <w:rFonts w:hint="eastAsia"/>
          <w:sz w:val="32"/>
          <w:szCs w:val="32"/>
        </w:rPr>
        <w:t>全年预算</w:t>
      </w:r>
      <w:r>
        <w:rPr>
          <w:rFonts w:hint="eastAsia"/>
          <w:sz w:val="32"/>
          <w:szCs w:val="32"/>
          <w:lang w:eastAsia="zh-CN"/>
        </w:rPr>
        <w:t>数6,732.79</w:t>
      </w:r>
      <w:r>
        <w:rPr>
          <w:rFonts w:hint="eastAsia"/>
          <w:sz w:val="32"/>
          <w:szCs w:val="32"/>
          <w:lang w:val="en-US" w:eastAsia="zh-CN"/>
        </w:rPr>
        <w:t>万元，实际支出数5,971.10万元，</w:t>
      </w:r>
      <w:r>
        <w:rPr>
          <w:rFonts w:hint="eastAsia"/>
          <w:sz w:val="32"/>
          <w:szCs w:val="32"/>
        </w:rPr>
        <w:t>部门整体支出预算执行率为88.69%</w:t>
      </w:r>
      <w:r>
        <w:rPr>
          <w:rFonts w:hint="eastAsia"/>
          <w:sz w:val="32"/>
          <w:szCs w:val="32"/>
          <w:lang w:val="en-US" w:eastAsia="zh-CN"/>
        </w:rPr>
        <w:t>。</w:t>
      </w:r>
      <w:r>
        <w:rPr>
          <w:rFonts w:hint="eastAsia"/>
          <w:color w:val="000000" w:themeColor="text1"/>
          <w:sz w:val="32"/>
          <w:szCs w:val="32"/>
          <w14:textFill>
            <w14:solidFill>
              <w14:schemeClr w14:val="tx1"/>
            </w14:solidFill>
          </w14:textFill>
        </w:rPr>
        <w:t>该指标分值10分，自评得分为8.87分，得分率为</w:t>
      </w:r>
      <w:r>
        <w:rPr>
          <w:rFonts w:hint="eastAsia"/>
          <w:color w:val="000000" w:themeColor="text1"/>
          <w:sz w:val="32"/>
          <w:szCs w:val="32"/>
          <w:lang w:val="en-US" w:eastAsia="zh-CN"/>
          <w14:textFill>
            <w14:solidFill>
              <w14:schemeClr w14:val="tx1"/>
            </w14:solidFill>
          </w14:textFill>
        </w:rPr>
        <w:t>88.7</w:t>
      </w:r>
      <w:r>
        <w:rPr>
          <w:rFonts w:hint="eastAsia"/>
          <w:color w:val="000000" w:themeColor="text1"/>
          <w:sz w:val="32"/>
          <w:szCs w:val="32"/>
          <w14:textFill>
            <w14:solidFill>
              <w14:schemeClr w14:val="tx1"/>
            </w14:solidFill>
          </w14:textFill>
        </w:rPr>
        <w:t>%。</w:t>
      </w:r>
    </w:p>
    <w:p w14:paraId="5BE8F09A">
      <w:pPr>
        <w:pageBreakBefore w:val="0"/>
        <w:kinsoku/>
        <w:wordWrap/>
        <w:overflowPunct/>
        <w:topLinePunct w:val="0"/>
        <w:autoSpaceDE/>
        <w:autoSpaceDN/>
        <w:bidi w:val="0"/>
        <w:adjustRightInd/>
        <w:snapToGrid/>
        <w:spacing w:line="560" w:lineRule="exact"/>
        <w:ind w:firstLine="562"/>
        <w:textAlignment w:val="auto"/>
        <w:rPr>
          <w:rFonts w:hint="default"/>
          <w:b/>
          <w:bCs/>
          <w:sz w:val="32"/>
          <w:szCs w:val="32"/>
          <w:highlight w:val="none"/>
          <w:lang w:val="en-US" w:eastAsia="zh-CN"/>
        </w:rPr>
      </w:pPr>
      <w:r>
        <w:rPr>
          <w:rFonts w:hint="eastAsia"/>
          <w:b/>
          <w:bCs/>
          <w:sz w:val="32"/>
          <w:szCs w:val="32"/>
          <w:highlight w:val="none"/>
          <w:lang w:val="en-US" w:eastAsia="zh-CN"/>
        </w:rPr>
        <w:t>2.部门管理目标完成情况分析</w:t>
      </w:r>
    </w:p>
    <w:p w14:paraId="45F6905A">
      <w:pPr>
        <w:pageBreakBefore w:val="0"/>
        <w:kinsoku/>
        <w:wordWrap/>
        <w:overflowPunct/>
        <w:topLinePunct w:val="0"/>
        <w:autoSpaceDE/>
        <w:autoSpaceDN/>
        <w:bidi w:val="0"/>
        <w:adjustRightInd/>
        <w:snapToGrid/>
        <w:spacing w:line="560" w:lineRule="exact"/>
        <w:textAlignment w:val="auto"/>
        <w:rPr>
          <w:rFonts w:hint="eastAsia"/>
          <w:sz w:val="32"/>
          <w:szCs w:val="32"/>
          <w:lang w:val="en-US" w:eastAsia="zh-CN"/>
        </w:rPr>
      </w:pPr>
      <w:r>
        <w:rPr>
          <w:rFonts w:hint="eastAsia"/>
          <w:sz w:val="32"/>
          <w:szCs w:val="32"/>
          <w:highlight w:val="none"/>
        </w:rPr>
        <w:t>部门管理指标包括资金投入、财务管理、采购管理、资产管理、人员管理、重点工作管理</w:t>
      </w:r>
      <w:r>
        <w:rPr>
          <w:rFonts w:hint="eastAsia"/>
          <w:sz w:val="32"/>
          <w:szCs w:val="32"/>
          <w:highlight w:val="none"/>
          <w:lang w:val="en-US" w:eastAsia="zh-CN"/>
        </w:rPr>
        <w:t>6</w:t>
      </w:r>
      <w:r>
        <w:rPr>
          <w:rFonts w:hint="eastAsia"/>
          <w:sz w:val="32"/>
          <w:szCs w:val="32"/>
          <w:highlight w:val="none"/>
        </w:rPr>
        <w:t>个二级指标，下设10个三级指标。指标分值</w:t>
      </w:r>
      <w:r>
        <w:rPr>
          <w:rFonts w:hint="eastAsia"/>
          <w:sz w:val="32"/>
          <w:szCs w:val="32"/>
          <w:highlight w:val="none"/>
          <w:lang w:val="en-US" w:eastAsia="zh-CN"/>
        </w:rPr>
        <w:t>20</w:t>
      </w:r>
      <w:r>
        <w:rPr>
          <w:rFonts w:hint="eastAsia"/>
          <w:sz w:val="32"/>
          <w:szCs w:val="32"/>
          <w:highlight w:val="none"/>
        </w:rPr>
        <w:t>分，自评</w:t>
      </w:r>
      <w:r>
        <w:rPr>
          <w:sz w:val="32"/>
          <w:szCs w:val="32"/>
          <w:highlight w:val="none"/>
        </w:rPr>
        <w:t>得</w:t>
      </w:r>
      <w:r>
        <w:rPr>
          <w:rFonts w:hint="eastAsia"/>
          <w:sz w:val="32"/>
          <w:szCs w:val="32"/>
          <w:highlight w:val="none"/>
        </w:rPr>
        <w:t>分</w:t>
      </w:r>
      <w:r>
        <w:rPr>
          <w:rFonts w:hint="eastAsia"/>
          <w:sz w:val="32"/>
          <w:szCs w:val="32"/>
          <w:highlight w:val="none"/>
          <w:lang w:val="en-US" w:eastAsia="zh-CN"/>
        </w:rPr>
        <w:t>18.94</w:t>
      </w:r>
      <w:r>
        <w:rPr>
          <w:rFonts w:hint="eastAsia"/>
          <w:sz w:val="32"/>
          <w:szCs w:val="32"/>
          <w:highlight w:val="none"/>
        </w:rPr>
        <w:t>分，得分率</w:t>
      </w:r>
      <w:r>
        <w:rPr>
          <w:rFonts w:hint="eastAsia" w:hAnsi="宋体"/>
          <w:sz w:val="32"/>
          <w:szCs w:val="32"/>
          <w:highlight w:val="none"/>
        </w:rPr>
        <w:t>为</w:t>
      </w:r>
      <w:r>
        <w:rPr>
          <w:rFonts w:hint="eastAsia" w:hAnsi="宋体"/>
          <w:sz w:val="32"/>
          <w:szCs w:val="32"/>
          <w:highlight w:val="none"/>
          <w:lang w:val="en-US" w:eastAsia="zh-CN"/>
        </w:rPr>
        <w:t>94.7</w:t>
      </w:r>
      <w:r>
        <w:rPr>
          <w:rFonts w:hint="eastAsia"/>
          <w:sz w:val="32"/>
          <w:szCs w:val="32"/>
          <w:highlight w:val="none"/>
        </w:rPr>
        <w:t>%。</w:t>
      </w:r>
      <w:r>
        <w:rPr>
          <w:rFonts w:hint="eastAsia"/>
          <w:sz w:val="32"/>
          <w:szCs w:val="32"/>
          <w:lang w:val="en-US" w:eastAsia="zh-CN"/>
        </w:rPr>
        <w:t>具体如下表：</w:t>
      </w:r>
    </w:p>
    <w:tbl>
      <w:tblPr>
        <w:tblStyle w:val="21"/>
        <w:tblW w:w="873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88"/>
        <w:gridCol w:w="1814"/>
        <w:gridCol w:w="1814"/>
        <w:gridCol w:w="1814"/>
      </w:tblGrid>
      <w:tr w14:paraId="203D573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288" w:type="dxa"/>
            <w:shd w:val="clear" w:color="auto" w:fill="BDD6EE"/>
            <w:vAlign w:val="center"/>
          </w:tcPr>
          <w:p w14:paraId="6DA12922">
            <w:pPr>
              <w:keepNext w:val="0"/>
              <w:keepLines w:val="0"/>
              <w:widowControl/>
              <w:suppressLineNumbers w:val="0"/>
              <w:ind w:firstLine="482" w:firstLineChars="20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1814" w:type="dxa"/>
            <w:shd w:val="clear" w:color="auto" w:fill="BDD6EE"/>
            <w:vAlign w:val="center"/>
          </w:tcPr>
          <w:p w14:paraId="069E92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814" w:type="dxa"/>
            <w:shd w:val="clear" w:color="auto" w:fill="BDD6EE"/>
            <w:vAlign w:val="center"/>
          </w:tcPr>
          <w:p w14:paraId="3DAEEED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814" w:type="dxa"/>
            <w:shd w:val="clear" w:color="auto" w:fill="BDD6EE"/>
            <w:vAlign w:val="center"/>
          </w:tcPr>
          <w:p w14:paraId="615646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14:paraId="50F38E9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288" w:type="dxa"/>
            <w:vAlign w:val="center"/>
          </w:tcPr>
          <w:p w14:paraId="3EE6A4CD">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资金投入</w:t>
            </w:r>
          </w:p>
        </w:tc>
        <w:tc>
          <w:tcPr>
            <w:tcW w:w="1814" w:type="dxa"/>
            <w:vAlign w:val="center"/>
          </w:tcPr>
          <w:p w14:paraId="2B76E8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8</w:t>
            </w:r>
          </w:p>
        </w:tc>
        <w:tc>
          <w:tcPr>
            <w:tcW w:w="1814" w:type="dxa"/>
            <w:vAlign w:val="center"/>
          </w:tcPr>
          <w:p w14:paraId="22378E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6.94</w:t>
            </w:r>
          </w:p>
        </w:tc>
        <w:tc>
          <w:tcPr>
            <w:tcW w:w="1814" w:type="dxa"/>
            <w:vAlign w:val="center"/>
          </w:tcPr>
          <w:p w14:paraId="2E68E8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86.75%</w:t>
            </w:r>
          </w:p>
        </w:tc>
      </w:tr>
      <w:tr w14:paraId="7962A30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288" w:type="dxa"/>
            <w:vAlign w:val="center"/>
          </w:tcPr>
          <w:p w14:paraId="12CFD364">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财务管理</w:t>
            </w:r>
          </w:p>
        </w:tc>
        <w:tc>
          <w:tcPr>
            <w:tcW w:w="1814" w:type="dxa"/>
            <w:vAlign w:val="center"/>
          </w:tcPr>
          <w:p w14:paraId="27AAC1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4</w:t>
            </w:r>
          </w:p>
        </w:tc>
        <w:tc>
          <w:tcPr>
            <w:tcW w:w="1814" w:type="dxa"/>
            <w:vAlign w:val="center"/>
          </w:tcPr>
          <w:p w14:paraId="5F6E7A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1814" w:type="dxa"/>
            <w:vAlign w:val="center"/>
          </w:tcPr>
          <w:p w14:paraId="718DA9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100%</w:t>
            </w:r>
          </w:p>
        </w:tc>
      </w:tr>
      <w:tr w14:paraId="1FF500F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288" w:type="dxa"/>
            <w:vAlign w:val="center"/>
          </w:tcPr>
          <w:p w14:paraId="0D89B401">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采购管理</w:t>
            </w:r>
          </w:p>
        </w:tc>
        <w:tc>
          <w:tcPr>
            <w:tcW w:w="1814" w:type="dxa"/>
            <w:vAlign w:val="center"/>
          </w:tcPr>
          <w:p w14:paraId="361D19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w:t>
            </w:r>
          </w:p>
        </w:tc>
        <w:tc>
          <w:tcPr>
            <w:tcW w:w="1814" w:type="dxa"/>
            <w:vAlign w:val="center"/>
          </w:tcPr>
          <w:p w14:paraId="64DD11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w:t>
            </w:r>
          </w:p>
        </w:tc>
        <w:tc>
          <w:tcPr>
            <w:tcW w:w="1814" w:type="dxa"/>
            <w:vAlign w:val="center"/>
          </w:tcPr>
          <w:p w14:paraId="0D7461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100%</w:t>
            </w:r>
          </w:p>
        </w:tc>
      </w:tr>
      <w:tr w14:paraId="5A7F3ED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288" w:type="dxa"/>
            <w:vAlign w:val="center"/>
          </w:tcPr>
          <w:p w14:paraId="33DF1825">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资产管理</w:t>
            </w:r>
          </w:p>
        </w:tc>
        <w:tc>
          <w:tcPr>
            <w:tcW w:w="1814" w:type="dxa"/>
            <w:vAlign w:val="center"/>
          </w:tcPr>
          <w:p w14:paraId="49CB2B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814" w:type="dxa"/>
            <w:vAlign w:val="center"/>
          </w:tcPr>
          <w:p w14:paraId="2CB54A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2</w:t>
            </w:r>
          </w:p>
        </w:tc>
        <w:tc>
          <w:tcPr>
            <w:tcW w:w="1814" w:type="dxa"/>
            <w:vAlign w:val="center"/>
          </w:tcPr>
          <w:p w14:paraId="3D0C1E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100%</w:t>
            </w:r>
          </w:p>
        </w:tc>
      </w:tr>
      <w:tr w14:paraId="6FEABEE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288" w:type="dxa"/>
            <w:vAlign w:val="center"/>
          </w:tcPr>
          <w:p w14:paraId="406D9088">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人员管理</w:t>
            </w:r>
          </w:p>
        </w:tc>
        <w:tc>
          <w:tcPr>
            <w:tcW w:w="1814" w:type="dxa"/>
            <w:vAlign w:val="center"/>
          </w:tcPr>
          <w:p w14:paraId="2D3ADD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w:t>
            </w:r>
          </w:p>
        </w:tc>
        <w:tc>
          <w:tcPr>
            <w:tcW w:w="1814" w:type="dxa"/>
            <w:vAlign w:val="center"/>
          </w:tcPr>
          <w:p w14:paraId="0DFD82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w:t>
            </w:r>
          </w:p>
        </w:tc>
        <w:tc>
          <w:tcPr>
            <w:tcW w:w="1814" w:type="dxa"/>
            <w:vAlign w:val="center"/>
          </w:tcPr>
          <w:p w14:paraId="74FAE6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100%</w:t>
            </w:r>
          </w:p>
        </w:tc>
      </w:tr>
      <w:tr w14:paraId="1DBCB62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288" w:type="dxa"/>
            <w:vAlign w:val="center"/>
          </w:tcPr>
          <w:p w14:paraId="3BDAA7B6">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重点工作管理</w:t>
            </w:r>
          </w:p>
        </w:tc>
        <w:tc>
          <w:tcPr>
            <w:tcW w:w="1814" w:type="dxa"/>
            <w:vAlign w:val="center"/>
          </w:tcPr>
          <w:p w14:paraId="2629B0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w:t>
            </w:r>
          </w:p>
        </w:tc>
        <w:tc>
          <w:tcPr>
            <w:tcW w:w="1814" w:type="dxa"/>
            <w:vAlign w:val="center"/>
          </w:tcPr>
          <w:p w14:paraId="6ACF0F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2</w:t>
            </w:r>
          </w:p>
        </w:tc>
        <w:tc>
          <w:tcPr>
            <w:tcW w:w="1814" w:type="dxa"/>
            <w:vAlign w:val="center"/>
          </w:tcPr>
          <w:p w14:paraId="719434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100%</w:t>
            </w:r>
          </w:p>
        </w:tc>
      </w:tr>
      <w:tr w14:paraId="3502DCC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288" w:type="dxa"/>
            <w:shd w:val="clear" w:color="auto" w:fill="BDD6EE"/>
            <w:vAlign w:val="center"/>
          </w:tcPr>
          <w:p w14:paraId="2FA9966A">
            <w:pPr>
              <w:keepNext w:val="0"/>
              <w:keepLines w:val="0"/>
              <w:widowControl/>
              <w:suppressLineNumbers w:val="0"/>
              <w:ind w:firstLine="482" w:firstLineChars="200"/>
              <w:jc w:val="center"/>
              <w:textAlignment w:val="center"/>
              <w:rPr>
                <w:rFonts w:hAnsi="宋体" w:cs="宋体"/>
                <w:b/>
                <w:color w:val="000000"/>
                <w:kern w:val="0"/>
                <w:sz w:val="24"/>
                <w:szCs w:val="28"/>
                <w:highlight w:val="none"/>
              </w:rPr>
            </w:pPr>
            <w:r>
              <w:rPr>
                <w:rFonts w:hint="eastAsia" w:ascii="仿宋_GB2312" w:hAnsi="宋体" w:eastAsia="仿宋_GB2312" w:cs="仿宋_GB2312"/>
                <w:b/>
                <w:bCs/>
                <w:i w:val="0"/>
                <w:iCs w:val="0"/>
                <w:color w:val="000000"/>
                <w:kern w:val="0"/>
                <w:sz w:val="24"/>
                <w:szCs w:val="24"/>
                <w:u w:val="none"/>
                <w:lang w:val="en-US" w:eastAsia="zh-CN" w:bidi="ar"/>
              </w:rPr>
              <w:t>合计</w:t>
            </w:r>
          </w:p>
        </w:tc>
        <w:tc>
          <w:tcPr>
            <w:tcW w:w="1814" w:type="dxa"/>
            <w:shd w:val="clear" w:color="auto" w:fill="BDD6EE"/>
            <w:vAlign w:val="center"/>
          </w:tcPr>
          <w:p w14:paraId="4F05FE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rPr>
            </w:pPr>
            <w:r>
              <w:rPr>
                <w:rFonts w:hint="eastAsia" w:ascii="宋体" w:hAnsi="宋体" w:eastAsia="宋体" w:cs="宋体"/>
                <w:b/>
                <w:bCs/>
                <w:i w:val="0"/>
                <w:iCs w:val="0"/>
                <w:color w:val="000000"/>
                <w:kern w:val="0"/>
                <w:sz w:val="22"/>
                <w:szCs w:val="22"/>
                <w:u w:val="none"/>
                <w:lang w:val="en-US" w:eastAsia="zh-CN" w:bidi="ar"/>
              </w:rPr>
              <w:t>20</w:t>
            </w:r>
          </w:p>
        </w:tc>
        <w:tc>
          <w:tcPr>
            <w:tcW w:w="1814" w:type="dxa"/>
            <w:shd w:val="clear" w:color="auto" w:fill="BDD6EE"/>
            <w:vAlign w:val="center"/>
          </w:tcPr>
          <w:p w14:paraId="1CB899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18.94</w:t>
            </w:r>
          </w:p>
        </w:tc>
        <w:tc>
          <w:tcPr>
            <w:tcW w:w="1814" w:type="dxa"/>
            <w:shd w:val="clear" w:color="auto" w:fill="BDD6EE"/>
            <w:vAlign w:val="center"/>
          </w:tcPr>
          <w:p w14:paraId="05E01F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94</w:t>
            </w:r>
            <w:r>
              <w:rPr>
                <w:rFonts w:hint="eastAsia" w:ascii="宋体" w:hAnsi="宋体" w:eastAsia="宋体" w:cs="宋体"/>
                <w:b/>
                <w:color w:val="000000"/>
                <w:kern w:val="0"/>
                <w:sz w:val="22"/>
                <w:szCs w:val="22"/>
                <w:highlight w:val="none"/>
              </w:rPr>
              <w:t>.</w:t>
            </w:r>
            <w:r>
              <w:rPr>
                <w:rFonts w:hint="eastAsia" w:ascii="宋体" w:hAnsi="宋体" w:eastAsia="宋体" w:cs="宋体"/>
                <w:b/>
                <w:color w:val="000000"/>
                <w:kern w:val="0"/>
                <w:sz w:val="22"/>
                <w:szCs w:val="22"/>
                <w:highlight w:val="none"/>
                <w:lang w:val="en-US" w:eastAsia="zh-CN"/>
              </w:rPr>
              <w:t>7</w:t>
            </w:r>
            <w:r>
              <w:rPr>
                <w:rFonts w:hint="eastAsia" w:ascii="宋体" w:hAnsi="宋体" w:eastAsia="宋体" w:cs="宋体"/>
                <w:b/>
                <w:color w:val="000000"/>
                <w:kern w:val="0"/>
                <w:sz w:val="22"/>
                <w:szCs w:val="22"/>
                <w:highlight w:val="none"/>
              </w:rPr>
              <w:t>%</w:t>
            </w:r>
          </w:p>
        </w:tc>
      </w:tr>
    </w:tbl>
    <w:p w14:paraId="05A4F975">
      <w:pPr>
        <w:pageBreakBefore w:val="0"/>
        <w:widowControl w:val="0"/>
        <w:kinsoku/>
        <w:wordWrap/>
        <w:overflowPunct/>
        <w:topLinePunct w:val="0"/>
        <w:autoSpaceDE/>
        <w:autoSpaceDN/>
        <w:bidi w:val="0"/>
        <w:adjustRightInd/>
        <w:snapToGrid/>
        <w:spacing w:line="560" w:lineRule="exact"/>
        <w:ind w:firstLine="562"/>
        <w:textAlignment w:val="auto"/>
        <w:rPr>
          <w:rFonts w:hAnsi="宋体"/>
          <w:sz w:val="32"/>
          <w:szCs w:val="32"/>
          <w:highlight w:val="none"/>
        </w:rPr>
      </w:pPr>
      <w:r>
        <w:rPr>
          <w:rFonts w:hint="eastAsia" w:hAnsi="宋体"/>
          <w:b/>
          <w:bCs/>
          <w:sz w:val="32"/>
          <w:szCs w:val="32"/>
          <w:highlight w:val="none"/>
        </w:rPr>
        <w:t>基本支出预算执行率</w:t>
      </w:r>
      <w:r>
        <w:rPr>
          <w:rFonts w:hint="eastAsia" w:hAnsi="宋体"/>
          <w:b/>
          <w:bCs/>
          <w:sz w:val="32"/>
          <w:szCs w:val="32"/>
          <w:highlight w:val="none"/>
          <w:lang w:eastAsia="zh-CN"/>
        </w:rPr>
        <w:t>：</w:t>
      </w:r>
      <w:r>
        <w:rPr>
          <w:rFonts w:hint="eastAsia" w:hAnsi="宋体"/>
          <w:sz w:val="32"/>
          <w:szCs w:val="32"/>
          <w:highlight w:val="none"/>
        </w:rPr>
        <w:t>我院基本支出全年预算3,608.43</w:t>
      </w:r>
      <w:r>
        <w:rPr>
          <w:rFonts w:hint="eastAsia" w:hAnsi="宋体"/>
          <w:sz w:val="32"/>
          <w:szCs w:val="32"/>
          <w:highlight w:val="none"/>
          <w:lang w:val="en-US" w:eastAsia="zh-CN"/>
        </w:rPr>
        <w:t>万元，</w:t>
      </w:r>
      <w:r>
        <w:rPr>
          <w:rFonts w:hint="eastAsia" w:hAnsi="宋体"/>
          <w:sz w:val="32"/>
          <w:szCs w:val="32"/>
          <w:highlight w:val="none"/>
        </w:rPr>
        <w:t>实际支出3,109.54</w:t>
      </w:r>
      <w:r>
        <w:rPr>
          <w:rFonts w:hint="eastAsia" w:hAnsi="宋体"/>
          <w:sz w:val="32"/>
          <w:szCs w:val="32"/>
          <w:highlight w:val="none"/>
          <w:lang w:val="en-US" w:eastAsia="zh-CN"/>
        </w:rPr>
        <w:t>万</w:t>
      </w:r>
      <w:r>
        <w:rPr>
          <w:rFonts w:hint="eastAsia" w:hAnsi="宋体"/>
          <w:sz w:val="32"/>
          <w:szCs w:val="32"/>
          <w:highlight w:val="none"/>
        </w:rPr>
        <w:t>元，基本支出预算执行率为86.17%。该指标分值</w:t>
      </w:r>
      <w:r>
        <w:rPr>
          <w:rFonts w:hint="eastAsia" w:hAnsi="宋体"/>
          <w:sz w:val="32"/>
          <w:szCs w:val="32"/>
          <w:highlight w:val="none"/>
          <w:lang w:val="en-US" w:eastAsia="zh-CN"/>
        </w:rPr>
        <w:t>2</w:t>
      </w:r>
      <w:r>
        <w:rPr>
          <w:rFonts w:hint="eastAsia" w:hAnsi="宋体"/>
          <w:sz w:val="32"/>
          <w:szCs w:val="32"/>
          <w:highlight w:val="none"/>
        </w:rPr>
        <w:t>分，自评得分为</w:t>
      </w:r>
      <w:r>
        <w:rPr>
          <w:rFonts w:hint="eastAsia" w:hAnsi="宋体"/>
          <w:sz w:val="32"/>
          <w:szCs w:val="32"/>
          <w:highlight w:val="none"/>
          <w:lang w:val="en-US" w:eastAsia="zh-CN"/>
        </w:rPr>
        <w:t>1.72</w:t>
      </w:r>
      <w:r>
        <w:rPr>
          <w:rFonts w:hint="eastAsia" w:hAnsi="宋体"/>
          <w:sz w:val="32"/>
          <w:szCs w:val="32"/>
          <w:highlight w:val="none"/>
        </w:rPr>
        <w:t>分，得分率为</w:t>
      </w:r>
      <w:r>
        <w:rPr>
          <w:rFonts w:hint="eastAsia" w:hAnsi="宋体"/>
          <w:sz w:val="32"/>
          <w:szCs w:val="32"/>
          <w:highlight w:val="none"/>
          <w:lang w:val="en-US" w:eastAsia="zh-CN"/>
        </w:rPr>
        <w:t>86</w:t>
      </w:r>
      <w:r>
        <w:rPr>
          <w:rFonts w:hint="eastAsia" w:hAnsi="宋体"/>
          <w:sz w:val="32"/>
          <w:szCs w:val="32"/>
          <w:highlight w:val="none"/>
        </w:rPr>
        <w:t>%。</w:t>
      </w:r>
    </w:p>
    <w:p w14:paraId="61615631">
      <w:pPr>
        <w:pageBreakBefore w:val="0"/>
        <w:widowControl w:val="0"/>
        <w:kinsoku/>
        <w:wordWrap/>
        <w:overflowPunct/>
        <w:topLinePunct w:val="0"/>
        <w:autoSpaceDE/>
        <w:autoSpaceDN/>
        <w:bidi w:val="0"/>
        <w:adjustRightInd/>
        <w:snapToGrid/>
        <w:spacing w:line="560" w:lineRule="exact"/>
        <w:ind w:firstLine="562"/>
        <w:textAlignment w:val="auto"/>
        <w:rPr>
          <w:rFonts w:hAnsi="宋体"/>
          <w:sz w:val="32"/>
          <w:szCs w:val="32"/>
          <w:highlight w:val="none"/>
        </w:rPr>
      </w:pPr>
      <w:r>
        <w:rPr>
          <w:rFonts w:hint="eastAsia" w:hAnsi="宋体"/>
          <w:b/>
          <w:bCs/>
          <w:sz w:val="32"/>
          <w:szCs w:val="32"/>
          <w:highlight w:val="none"/>
        </w:rPr>
        <w:t>项目支出预算执行率：</w:t>
      </w:r>
      <w:r>
        <w:rPr>
          <w:rFonts w:hint="eastAsia" w:hAnsi="宋体"/>
          <w:sz w:val="32"/>
          <w:szCs w:val="32"/>
          <w:highlight w:val="none"/>
        </w:rPr>
        <w:t>我院项目支出全年预算3,124.36</w:t>
      </w:r>
      <w:r>
        <w:rPr>
          <w:rFonts w:hint="eastAsia" w:hAnsi="宋体"/>
          <w:sz w:val="32"/>
          <w:szCs w:val="32"/>
          <w:highlight w:val="none"/>
          <w:lang w:val="en-US" w:eastAsia="zh-CN"/>
        </w:rPr>
        <w:t>万元，</w:t>
      </w:r>
      <w:r>
        <w:rPr>
          <w:rFonts w:hint="eastAsia" w:hAnsi="宋体"/>
          <w:sz w:val="32"/>
          <w:szCs w:val="32"/>
          <w:highlight w:val="none"/>
        </w:rPr>
        <w:t>实际支出2,861.56万元，项目支出预算执行率为91.59%。该指标分值</w:t>
      </w:r>
      <w:r>
        <w:rPr>
          <w:rFonts w:hint="eastAsia" w:hAnsi="宋体"/>
          <w:sz w:val="32"/>
          <w:szCs w:val="32"/>
          <w:highlight w:val="none"/>
          <w:lang w:val="en-US" w:eastAsia="zh-CN"/>
        </w:rPr>
        <w:t>2</w:t>
      </w:r>
      <w:r>
        <w:rPr>
          <w:rFonts w:hint="eastAsia" w:hAnsi="宋体"/>
          <w:sz w:val="32"/>
          <w:szCs w:val="32"/>
          <w:highlight w:val="none"/>
        </w:rPr>
        <w:t>分，自评得分为</w:t>
      </w:r>
      <w:r>
        <w:rPr>
          <w:rFonts w:hint="eastAsia" w:hAnsi="宋体"/>
          <w:sz w:val="32"/>
          <w:szCs w:val="32"/>
          <w:highlight w:val="none"/>
          <w:lang w:val="en-US" w:eastAsia="zh-CN"/>
        </w:rPr>
        <w:t>2</w:t>
      </w:r>
      <w:r>
        <w:rPr>
          <w:rFonts w:hint="eastAsia" w:hAnsi="宋体"/>
          <w:sz w:val="32"/>
          <w:szCs w:val="32"/>
          <w:highlight w:val="none"/>
        </w:rPr>
        <w:t>分，得分率为</w:t>
      </w:r>
      <w:r>
        <w:rPr>
          <w:rFonts w:hint="eastAsia" w:hAnsi="宋体"/>
          <w:sz w:val="32"/>
          <w:szCs w:val="32"/>
          <w:highlight w:val="none"/>
          <w:lang w:val="en-US" w:eastAsia="zh-CN"/>
        </w:rPr>
        <w:t>100</w:t>
      </w:r>
      <w:r>
        <w:rPr>
          <w:rFonts w:hint="eastAsia" w:hAnsi="宋体"/>
          <w:sz w:val="32"/>
          <w:szCs w:val="32"/>
          <w:highlight w:val="none"/>
        </w:rPr>
        <w:t>%。</w:t>
      </w:r>
    </w:p>
    <w:p w14:paraId="41602512">
      <w:pPr>
        <w:pageBreakBefore w:val="0"/>
        <w:widowControl w:val="0"/>
        <w:kinsoku/>
        <w:wordWrap/>
        <w:overflowPunct/>
        <w:topLinePunct w:val="0"/>
        <w:autoSpaceDE/>
        <w:autoSpaceDN/>
        <w:bidi w:val="0"/>
        <w:adjustRightInd/>
        <w:snapToGrid/>
        <w:spacing w:line="560" w:lineRule="exact"/>
        <w:ind w:firstLine="562"/>
        <w:textAlignment w:val="auto"/>
        <w:rPr>
          <w:rFonts w:hint="eastAsia" w:hAnsi="宋体"/>
          <w:sz w:val="32"/>
          <w:szCs w:val="32"/>
          <w:highlight w:val="none"/>
        </w:rPr>
      </w:pPr>
      <w:r>
        <w:rPr>
          <w:rFonts w:hint="eastAsia" w:hAnsi="宋体"/>
          <w:b/>
          <w:bCs/>
          <w:sz w:val="32"/>
          <w:szCs w:val="32"/>
          <w:highlight w:val="none"/>
        </w:rPr>
        <w:t>“三公经费”控制率：</w:t>
      </w:r>
      <w:r>
        <w:rPr>
          <w:rFonts w:hint="eastAsia" w:hAnsi="宋体"/>
          <w:sz w:val="32"/>
          <w:szCs w:val="32"/>
          <w:highlight w:val="none"/>
          <w:lang w:val="en-US" w:eastAsia="zh-CN"/>
        </w:rPr>
        <w:t>我院</w:t>
      </w:r>
      <w:r>
        <w:rPr>
          <w:rFonts w:hint="eastAsia" w:hAnsi="宋体"/>
          <w:sz w:val="32"/>
          <w:szCs w:val="32"/>
          <w:highlight w:val="none"/>
        </w:rPr>
        <w:t>“三公经费”</w:t>
      </w:r>
      <w:r>
        <w:rPr>
          <w:rFonts w:hint="eastAsia" w:hAnsi="宋体"/>
          <w:sz w:val="32"/>
          <w:szCs w:val="32"/>
          <w:highlight w:val="none"/>
          <w:lang w:val="en-US" w:eastAsia="zh-CN"/>
        </w:rPr>
        <w:t>预算批复数52.00万元，实际支出31.63万元，</w:t>
      </w:r>
      <w:r>
        <w:rPr>
          <w:rFonts w:hint="eastAsia" w:hAnsi="宋体"/>
          <w:sz w:val="32"/>
          <w:szCs w:val="32"/>
          <w:highlight w:val="none"/>
        </w:rPr>
        <w:t>“三公经费”控制率</w:t>
      </w:r>
      <w:r>
        <w:rPr>
          <w:rFonts w:hint="eastAsia" w:hAnsi="宋体"/>
          <w:sz w:val="32"/>
          <w:szCs w:val="32"/>
          <w:highlight w:val="none"/>
          <w:lang w:val="en-US" w:eastAsia="zh-CN"/>
        </w:rPr>
        <w:t>60.82</w:t>
      </w:r>
      <w:r>
        <w:rPr>
          <w:rFonts w:hint="eastAsia" w:hAnsi="宋体"/>
          <w:sz w:val="32"/>
          <w:szCs w:val="32"/>
          <w:highlight w:val="none"/>
        </w:rPr>
        <w:t>%</w:t>
      </w:r>
      <w:r>
        <w:rPr>
          <w:rFonts w:hint="eastAsia" w:hAnsi="宋体"/>
          <w:sz w:val="32"/>
          <w:szCs w:val="32"/>
          <w:highlight w:val="none"/>
          <w:lang w:val="en-US" w:eastAsia="zh-CN"/>
        </w:rPr>
        <w:t>，</w:t>
      </w:r>
      <w:r>
        <w:rPr>
          <w:rFonts w:hint="eastAsia" w:hAnsi="宋体"/>
          <w:sz w:val="32"/>
          <w:szCs w:val="32"/>
          <w:highlight w:val="none"/>
        </w:rPr>
        <w:t>该指标分值</w:t>
      </w:r>
      <w:r>
        <w:rPr>
          <w:rFonts w:hint="eastAsia" w:hAnsi="宋体"/>
          <w:sz w:val="32"/>
          <w:szCs w:val="32"/>
          <w:highlight w:val="none"/>
          <w:lang w:val="en-US" w:eastAsia="zh-CN"/>
        </w:rPr>
        <w:t>2</w:t>
      </w:r>
      <w:r>
        <w:rPr>
          <w:rFonts w:hint="eastAsia" w:hAnsi="宋体"/>
          <w:sz w:val="32"/>
          <w:szCs w:val="32"/>
          <w:highlight w:val="none"/>
        </w:rPr>
        <w:t>分，自评得分为</w:t>
      </w:r>
      <w:r>
        <w:rPr>
          <w:rFonts w:hint="eastAsia" w:hAnsi="宋体"/>
          <w:sz w:val="32"/>
          <w:szCs w:val="32"/>
          <w:highlight w:val="none"/>
          <w:lang w:val="en-US" w:eastAsia="zh-CN"/>
        </w:rPr>
        <w:t>1.22</w:t>
      </w:r>
      <w:r>
        <w:rPr>
          <w:rFonts w:hint="eastAsia" w:hAnsi="宋体"/>
          <w:sz w:val="32"/>
          <w:szCs w:val="32"/>
          <w:highlight w:val="none"/>
        </w:rPr>
        <w:t>分，得分率为</w:t>
      </w:r>
      <w:r>
        <w:rPr>
          <w:rFonts w:hint="eastAsia" w:hAnsi="宋体"/>
          <w:sz w:val="32"/>
          <w:szCs w:val="32"/>
          <w:highlight w:val="none"/>
          <w:lang w:val="en-US" w:eastAsia="zh-CN"/>
        </w:rPr>
        <w:t>61</w:t>
      </w:r>
      <w:r>
        <w:rPr>
          <w:rFonts w:hint="eastAsia" w:hAnsi="宋体"/>
          <w:sz w:val="32"/>
          <w:szCs w:val="32"/>
          <w:highlight w:val="none"/>
        </w:rPr>
        <w:t>%。</w:t>
      </w:r>
    </w:p>
    <w:p w14:paraId="3F842749">
      <w:pPr>
        <w:pageBreakBefore w:val="0"/>
        <w:widowControl w:val="0"/>
        <w:kinsoku/>
        <w:wordWrap/>
        <w:overflowPunct/>
        <w:topLinePunct w:val="0"/>
        <w:autoSpaceDE/>
        <w:autoSpaceDN/>
        <w:bidi w:val="0"/>
        <w:adjustRightInd/>
        <w:snapToGrid/>
        <w:spacing w:line="560" w:lineRule="exact"/>
        <w:ind w:firstLine="562"/>
        <w:textAlignment w:val="auto"/>
        <w:rPr>
          <w:rFonts w:hint="eastAsia" w:hAnsi="宋体"/>
          <w:sz w:val="32"/>
          <w:szCs w:val="32"/>
          <w:highlight w:val="none"/>
        </w:rPr>
      </w:pPr>
      <w:r>
        <w:rPr>
          <w:rFonts w:hint="eastAsia" w:hAnsi="宋体"/>
          <w:b/>
          <w:bCs/>
          <w:sz w:val="32"/>
          <w:szCs w:val="32"/>
          <w:highlight w:val="none"/>
        </w:rPr>
        <w:t>结转结余变动率：</w:t>
      </w:r>
      <w:r>
        <w:rPr>
          <w:rFonts w:hint="eastAsia" w:hAnsi="宋体"/>
          <w:sz w:val="32"/>
          <w:szCs w:val="32"/>
          <w:highlight w:val="none"/>
          <w:lang w:eastAsia="zh-CN"/>
        </w:rPr>
        <w:t>我院一般公共预算财政拨款</w:t>
      </w:r>
      <w:r>
        <w:rPr>
          <w:rFonts w:hint="eastAsia" w:hAnsi="宋体"/>
          <w:sz w:val="32"/>
          <w:szCs w:val="32"/>
          <w:highlight w:val="none"/>
          <w:lang w:val="en-US" w:eastAsia="zh-CN"/>
        </w:rPr>
        <w:t>收入</w:t>
      </w:r>
      <w:r>
        <w:rPr>
          <w:rFonts w:hint="eastAsia" w:hAnsi="宋体"/>
          <w:sz w:val="32"/>
          <w:szCs w:val="32"/>
          <w:highlight w:val="none"/>
        </w:rPr>
        <w:t>202</w:t>
      </w:r>
      <w:r>
        <w:rPr>
          <w:rFonts w:hint="eastAsia" w:hAnsi="宋体"/>
          <w:sz w:val="32"/>
          <w:szCs w:val="32"/>
          <w:highlight w:val="none"/>
          <w:lang w:val="en-US" w:eastAsia="zh-CN"/>
        </w:rPr>
        <w:t>2</w:t>
      </w:r>
      <w:r>
        <w:rPr>
          <w:rFonts w:hint="eastAsia" w:hAnsi="宋体"/>
          <w:sz w:val="32"/>
          <w:szCs w:val="32"/>
          <w:highlight w:val="none"/>
        </w:rPr>
        <w:t>年度结转结余</w:t>
      </w:r>
      <w:r>
        <w:rPr>
          <w:rFonts w:hint="eastAsia" w:hAnsi="宋体"/>
          <w:sz w:val="32"/>
          <w:szCs w:val="32"/>
          <w:highlight w:val="none"/>
          <w:lang w:val="en-US" w:eastAsia="zh-CN"/>
        </w:rPr>
        <w:t>2,172.04万元，</w:t>
      </w:r>
      <w:r>
        <w:rPr>
          <w:rFonts w:hint="eastAsia" w:hAnsi="宋体"/>
          <w:sz w:val="32"/>
          <w:szCs w:val="32"/>
          <w:highlight w:val="none"/>
          <w:lang w:eastAsia="zh-CN"/>
        </w:rPr>
        <w:t>2023年度</w:t>
      </w:r>
      <w:r>
        <w:rPr>
          <w:rFonts w:hint="eastAsia" w:hAnsi="宋体"/>
          <w:sz w:val="32"/>
          <w:szCs w:val="32"/>
          <w:highlight w:val="none"/>
        </w:rPr>
        <w:t>结转结余</w:t>
      </w:r>
      <w:r>
        <w:rPr>
          <w:rFonts w:hint="eastAsia" w:hAnsi="宋体"/>
          <w:sz w:val="32"/>
          <w:szCs w:val="32"/>
          <w:highlight w:val="none"/>
          <w:lang w:val="en-US" w:eastAsia="zh-CN"/>
        </w:rPr>
        <w:t>727.19万元</w:t>
      </w:r>
      <w:r>
        <w:rPr>
          <w:rFonts w:hint="eastAsia" w:hAnsi="宋体"/>
          <w:sz w:val="32"/>
          <w:szCs w:val="32"/>
          <w:highlight w:val="none"/>
        </w:rPr>
        <w:t>，本年结转结余较上年</w:t>
      </w:r>
      <w:r>
        <w:rPr>
          <w:rFonts w:hint="eastAsia" w:hAnsi="宋体"/>
          <w:sz w:val="32"/>
          <w:szCs w:val="32"/>
          <w:highlight w:val="none"/>
          <w:lang w:val="en-US" w:eastAsia="zh-CN"/>
        </w:rPr>
        <w:t>减少1,444.85万元</w:t>
      </w:r>
      <w:r>
        <w:rPr>
          <w:rFonts w:hint="eastAsia" w:hAnsi="宋体"/>
          <w:sz w:val="32"/>
          <w:szCs w:val="32"/>
          <w:highlight w:val="none"/>
        </w:rPr>
        <w:t>，结转结余资金变动率为-6</w:t>
      </w:r>
      <w:r>
        <w:rPr>
          <w:rFonts w:hint="eastAsia" w:hAnsi="宋体"/>
          <w:sz w:val="32"/>
          <w:szCs w:val="32"/>
          <w:highlight w:val="none"/>
          <w:lang w:val="en-US" w:eastAsia="zh-CN"/>
        </w:rPr>
        <w:t>6</w:t>
      </w:r>
      <w:r>
        <w:rPr>
          <w:rFonts w:hint="eastAsia" w:hAnsi="宋体"/>
          <w:sz w:val="32"/>
          <w:szCs w:val="32"/>
          <w:highlight w:val="none"/>
        </w:rPr>
        <w:t>.</w:t>
      </w:r>
      <w:r>
        <w:rPr>
          <w:rFonts w:hint="eastAsia" w:hAnsi="宋体"/>
          <w:sz w:val="32"/>
          <w:szCs w:val="32"/>
          <w:highlight w:val="none"/>
          <w:lang w:val="en-US" w:eastAsia="zh-CN"/>
        </w:rPr>
        <w:t>52</w:t>
      </w:r>
      <w:r>
        <w:rPr>
          <w:rFonts w:hint="eastAsia" w:hAnsi="宋体"/>
          <w:sz w:val="32"/>
          <w:szCs w:val="32"/>
          <w:highlight w:val="none"/>
          <w:lang w:eastAsia="zh-CN"/>
        </w:rPr>
        <w:t>，</w:t>
      </w:r>
      <w:r>
        <w:rPr>
          <w:rFonts w:hint="eastAsia" w:hAnsi="宋体"/>
          <w:sz w:val="32"/>
          <w:szCs w:val="32"/>
          <w:highlight w:val="none"/>
        </w:rPr>
        <w:t>该指标分值</w:t>
      </w:r>
      <w:r>
        <w:rPr>
          <w:rFonts w:hint="eastAsia" w:hAnsi="宋体"/>
          <w:sz w:val="32"/>
          <w:szCs w:val="32"/>
          <w:highlight w:val="none"/>
          <w:lang w:val="en-US" w:eastAsia="zh-CN"/>
        </w:rPr>
        <w:t>2</w:t>
      </w:r>
      <w:r>
        <w:rPr>
          <w:rFonts w:hint="eastAsia" w:hAnsi="宋体"/>
          <w:sz w:val="32"/>
          <w:szCs w:val="32"/>
          <w:highlight w:val="none"/>
        </w:rPr>
        <w:t>分，自评得分为</w:t>
      </w:r>
      <w:r>
        <w:rPr>
          <w:rFonts w:hint="eastAsia" w:hAnsi="宋体"/>
          <w:sz w:val="32"/>
          <w:szCs w:val="32"/>
          <w:highlight w:val="none"/>
          <w:lang w:val="en-US" w:eastAsia="zh-CN"/>
        </w:rPr>
        <w:t>2</w:t>
      </w:r>
      <w:r>
        <w:rPr>
          <w:rFonts w:hint="eastAsia" w:hAnsi="宋体"/>
          <w:sz w:val="32"/>
          <w:szCs w:val="32"/>
          <w:highlight w:val="none"/>
        </w:rPr>
        <w:t>分，得分率为</w:t>
      </w:r>
      <w:r>
        <w:rPr>
          <w:rFonts w:hint="eastAsia" w:hAnsi="宋体"/>
          <w:sz w:val="32"/>
          <w:szCs w:val="32"/>
          <w:highlight w:val="none"/>
          <w:lang w:val="en-US" w:eastAsia="zh-CN"/>
        </w:rPr>
        <w:t>100</w:t>
      </w:r>
      <w:r>
        <w:rPr>
          <w:rFonts w:hint="eastAsia" w:hAnsi="宋体"/>
          <w:sz w:val="32"/>
          <w:szCs w:val="32"/>
          <w:highlight w:val="none"/>
        </w:rPr>
        <w:t>%。</w:t>
      </w:r>
    </w:p>
    <w:p w14:paraId="2FCB0E18">
      <w:pPr>
        <w:pageBreakBefore w:val="0"/>
        <w:widowControl w:val="0"/>
        <w:kinsoku/>
        <w:wordWrap/>
        <w:overflowPunct/>
        <w:topLinePunct w:val="0"/>
        <w:autoSpaceDE/>
        <w:autoSpaceDN/>
        <w:bidi w:val="0"/>
        <w:adjustRightInd/>
        <w:snapToGrid/>
        <w:spacing w:line="560" w:lineRule="exact"/>
        <w:ind w:firstLine="562"/>
        <w:textAlignment w:val="auto"/>
        <w:rPr>
          <w:rFonts w:hAnsi="宋体"/>
          <w:sz w:val="32"/>
          <w:szCs w:val="32"/>
          <w:highlight w:val="none"/>
        </w:rPr>
      </w:pPr>
      <w:r>
        <w:rPr>
          <w:rFonts w:hint="eastAsia" w:hAnsi="宋体"/>
          <w:b/>
          <w:bCs/>
          <w:sz w:val="32"/>
          <w:szCs w:val="32"/>
        </w:rPr>
        <w:t>财务管理制度健全性：</w:t>
      </w:r>
      <w:r>
        <w:rPr>
          <w:rFonts w:hint="eastAsia" w:hAnsi="宋体"/>
          <w:sz w:val="32"/>
          <w:szCs w:val="32"/>
          <w:lang w:eastAsia="zh-CN"/>
        </w:rPr>
        <w:t>我院根据</w:t>
      </w:r>
      <w:r>
        <w:rPr>
          <w:rFonts w:hint="eastAsia" w:hAnsi="宋体"/>
          <w:sz w:val="32"/>
          <w:szCs w:val="32"/>
        </w:rPr>
        <w:t>《</w:t>
      </w:r>
      <w:r>
        <w:rPr>
          <w:rFonts w:hint="eastAsia" w:hAnsi="宋体"/>
          <w:sz w:val="32"/>
          <w:szCs w:val="32"/>
          <w:lang w:eastAsia="zh-CN"/>
        </w:rPr>
        <w:t>兰州市西固区人民法院</w:t>
      </w:r>
      <w:r>
        <w:rPr>
          <w:rFonts w:hint="eastAsia" w:hAnsi="宋体"/>
          <w:sz w:val="32"/>
          <w:szCs w:val="32"/>
        </w:rPr>
        <w:t>财务管理制度》进行财务管理</w:t>
      </w:r>
      <w:r>
        <w:rPr>
          <w:rFonts w:hint="eastAsia" w:hAnsi="宋体"/>
          <w:sz w:val="32"/>
          <w:szCs w:val="32"/>
          <w:lang w:eastAsia="zh-CN"/>
        </w:rPr>
        <w:t>，</w:t>
      </w:r>
      <w:r>
        <w:rPr>
          <w:rFonts w:hint="eastAsia" w:hAnsi="宋体"/>
          <w:sz w:val="32"/>
          <w:szCs w:val="32"/>
        </w:rPr>
        <w:t>经费收支管理</w:t>
      </w:r>
      <w:r>
        <w:rPr>
          <w:rFonts w:hint="eastAsia" w:hAnsi="宋体"/>
          <w:sz w:val="32"/>
          <w:szCs w:val="32"/>
          <w:lang w:eastAsia="zh-CN"/>
        </w:rPr>
        <w:t>以及</w:t>
      </w:r>
      <w:r>
        <w:rPr>
          <w:rFonts w:hint="eastAsia" w:hAnsi="宋体"/>
          <w:sz w:val="32"/>
          <w:szCs w:val="32"/>
        </w:rPr>
        <w:t>票据管理</w:t>
      </w:r>
      <w:r>
        <w:rPr>
          <w:rFonts w:hint="eastAsia" w:hAnsi="宋体"/>
          <w:sz w:val="32"/>
          <w:szCs w:val="32"/>
          <w:lang w:eastAsia="zh-CN"/>
        </w:rPr>
        <w:t>等事项</w:t>
      </w:r>
      <w:r>
        <w:rPr>
          <w:rFonts w:hint="eastAsia" w:hAnsi="宋体"/>
          <w:sz w:val="32"/>
          <w:szCs w:val="32"/>
          <w:lang w:val="en-US" w:eastAsia="zh-CN"/>
        </w:rPr>
        <w:t>有完备的审批流程和管控手续</w:t>
      </w:r>
      <w:r>
        <w:rPr>
          <w:rFonts w:hint="eastAsia" w:hAnsi="宋体"/>
          <w:sz w:val="32"/>
          <w:szCs w:val="32"/>
        </w:rPr>
        <w:t>，财务管理制度内容完备，具备可操作性。该指标分值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highlight w:val="none"/>
        </w:rPr>
        <w:t>为</w:t>
      </w:r>
      <w:r>
        <w:rPr>
          <w:rFonts w:hint="eastAsia" w:hAnsi="宋体"/>
          <w:sz w:val="32"/>
          <w:szCs w:val="32"/>
          <w:lang w:val="en-US" w:eastAsia="zh-CN"/>
        </w:rPr>
        <w:t>2</w:t>
      </w:r>
      <w:r>
        <w:rPr>
          <w:rFonts w:hint="eastAsia" w:hAnsi="宋体"/>
          <w:sz w:val="32"/>
          <w:szCs w:val="32"/>
          <w:highlight w:val="none"/>
        </w:rPr>
        <w:t>分，得分率为100%。</w:t>
      </w:r>
    </w:p>
    <w:p w14:paraId="458A825E">
      <w:pPr>
        <w:pageBreakBefore w:val="0"/>
        <w:widowControl w:val="0"/>
        <w:kinsoku/>
        <w:wordWrap/>
        <w:overflowPunct/>
        <w:topLinePunct w:val="0"/>
        <w:autoSpaceDE/>
        <w:autoSpaceDN/>
        <w:bidi w:val="0"/>
        <w:adjustRightInd/>
        <w:snapToGrid/>
        <w:spacing w:line="560" w:lineRule="exact"/>
        <w:ind w:firstLine="562"/>
        <w:textAlignment w:val="auto"/>
        <w:rPr>
          <w:rFonts w:hAnsi="宋体"/>
          <w:sz w:val="32"/>
          <w:szCs w:val="32"/>
        </w:rPr>
      </w:pPr>
      <w:r>
        <w:rPr>
          <w:rFonts w:hint="eastAsia" w:hAnsi="宋体"/>
          <w:b/>
          <w:bCs/>
          <w:sz w:val="32"/>
          <w:szCs w:val="32"/>
          <w:highlight w:val="none"/>
        </w:rPr>
        <w:t>资金使用规范性：</w:t>
      </w:r>
      <w:r>
        <w:rPr>
          <w:rFonts w:hint="eastAsia" w:hAnsi="宋体"/>
          <w:sz w:val="32"/>
          <w:szCs w:val="32"/>
          <w:highlight w:val="none"/>
        </w:rPr>
        <w:t>我院资金支出总体上审批程序合规、手续齐全，支出内容</w:t>
      </w:r>
      <w:r>
        <w:rPr>
          <w:rFonts w:hint="eastAsia" w:hAnsi="宋体"/>
          <w:sz w:val="32"/>
          <w:szCs w:val="32"/>
        </w:rPr>
        <w:t>符合省财政预算批复规定的用途，有效提高了财务资金使用的合理性和规范性</w:t>
      </w:r>
      <w:r>
        <w:rPr>
          <w:rFonts w:hint="eastAsia" w:hAnsi="宋体"/>
          <w:sz w:val="32"/>
          <w:szCs w:val="32"/>
          <w:lang w:eastAsia="zh-CN"/>
        </w:rPr>
        <w:t>，</w:t>
      </w:r>
      <w:r>
        <w:rPr>
          <w:rFonts w:hint="eastAsia" w:hAnsi="宋体"/>
          <w:sz w:val="32"/>
          <w:szCs w:val="32"/>
        </w:rPr>
        <w:t>防止了国有资金流失</w:t>
      </w:r>
      <w:r>
        <w:rPr>
          <w:rFonts w:hint="eastAsia" w:hAnsi="宋体"/>
          <w:sz w:val="32"/>
          <w:szCs w:val="32"/>
          <w:lang w:eastAsia="zh-CN"/>
        </w:rPr>
        <w:t>。</w:t>
      </w:r>
      <w:r>
        <w:rPr>
          <w:rFonts w:hint="eastAsia" w:hAnsi="宋体"/>
          <w:sz w:val="32"/>
          <w:szCs w:val="32"/>
        </w:rPr>
        <w:t>该指标分值</w:t>
      </w:r>
      <w:r>
        <w:rPr>
          <w:rFonts w:hint="eastAsia" w:hAnsi="宋体"/>
          <w:sz w:val="32"/>
          <w:szCs w:val="32"/>
          <w:lang w:val="en-US" w:eastAsia="zh-CN"/>
        </w:rPr>
        <w:t>2</w:t>
      </w:r>
      <w:r>
        <w:rPr>
          <w:rFonts w:hint="eastAsia" w:hAnsi="宋体"/>
          <w:sz w:val="32"/>
          <w:szCs w:val="32"/>
        </w:rPr>
        <w:t>分，自评得分为</w:t>
      </w:r>
      <w:r>
        <w:rPr>
          <w:rFonts w:hint="eastAsia" w:hAnsi="宋体"/>
          <w:sz w:val="32"/>
          <w:szCs w:val="32"/>
          <w:lang w:val="en-US" w:eastAsia="zh-CN"/>
        </w:rPr>
        <w:t>2</w:t>
      </w:r>
      <w:r>
        <w:rPr>
          <w:rFonts w:hint="eastAsia" w:hAnsi="宋体"/>
          <w:sz w:val="32"/>
          <w:szCs w:val="32"/>
        </w:rPr>
        <w:t>分，得分率为100%。</w:t>
      </w:r>
    </w:p>
    <w:p w14:paraId="3322D858">
      <w:pPr>
        <w:pageBreakBefore w:val="0"/>
        <w:widowControl w:val="0"/>
        <w:kinsoku/>
        <w:wordWrap/>
        <w:overflowPunct/>
        <w:topLinePunct w:val="0"/>
        <w:autoSpaceDE/>
        <w:autoSpaceDN/>
        <w:bidi w:val="0"/>
        <w:adjustRightInd/>
        <w:snapToGrid/>
        <w:spacing w:line="560" w:lineRule="exact"/>
        <w:ind w:firstLine="562"/>
        <w:textAlignment w:val="auto"/>
        <w:rPr>
          <w:rFonts w:hAnsi="宋体"/>
          <w:sz w:val="32"/>
          <w:szCs w:val="32"/>
        </w:rPr>
      </w:pPr>
      <w:r>
        <w:rPr>
          <w:rFonts w:hint="eastAsia" w:hAnsi="宋体"/>
          <w:b/>
          <w:bCs/>
          <w:sz w:val="32"/>
          <w:szCs w:val="32"/>
        </w:rPr>
        <w:t>政府采购规范性：</w:t>
      </w:r>
      <w:r>
        <w:rPr>
          <w:rFonts w:hint="eastAsia" w:hAnsi="宋体"/>
          <w:sz w:val="32"/>
          <w:szCs w:val="32"/>
        </w:rPr>
        <w:t>我院采购实际执行情况与采购计划安排无差异。采购事项严格执行相关标准，采购业务符合政府采购相关规定。指标分值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分，得分率为100%。</w:t>
      </w:r>
    </w:p>
    <w:p w14:paraId="361C34FD">
      <w:pPr>
        <w:pageBreakBefore w:val="0"/>
        <w:widowControl w:val="0"/>
        <w:kinsoku/>
        <w:wordWrap/>
        <w:overflowPunct/>
        <w:topLinePunct w:val="0"/>
        <w:autoSpaceDE/>
        <w:autoSpaceDN/>
        <w:bidi w:val="0"/>
        <w:adjustRightInd/>
        <w:snapToGrid/>
        <w:spacing w:line="560" w:lineRule="exact"/>
        <w:ind w:firstLine="562"/>
        <w:textAlignment w:val="auto"/>
        <w:rPr>
          <w:rFonts w:hAnsi="宋体"/>
          <w:sz w:val="32"/>
          <w:szCs w:val="32"/>
          <w:highlight w:val="none"/>
        </w:rPr>
      </w:pPr>
      <w:r>
        <w:rPr>
          <w:rFonts w:hint="eastAsia" w:hAnsi="宋体"/>
          <w:b/>
          <w:bCs/>
          <w:sz w:val="32"/>
          <w:szCs w:val="32"/>
        </w:rPr>
        <w:t>资产管理规范性：</w:t>
      </w:r>
      <w:r>
        <w:rPr>
          <w:rFonts w:hint="eastAsia" w:hAnsi="宋体"/>
          <w:sz w:val="32"/>
          <w:szCs w:val="32"/>
        </w:rPr>
        <w:t>我院账务和资产卡片数据相符，资产卡片与实物相符，各类资产保存完整、使用合规、配置合理、处置规范，资产处置收入能够及时足额上缴财政</w:t>
      </w:r>
      <w:r>
        <w:rPr>
          <w:rFonts w:hint="eastAsia" w:hAnsi="宋体"/>
          <w:sz w:val="32"/>
          <w:szCs w:val="32"/>
          <w:lang w:eastAsia="zh-CN"/>
        </w:rPr>
        <w:t>，</w:t>
      </w:r>
      <w:r>
        <w:rPr>
          <w:rFonts w:hint="eastAsia" w:hAnsi="宋体"/>
          <w:sz w:val="32"/>
          <w:szCs w:val="32"/>
        </w:rPr>
        <w:t>资产管理符合相关要求。该指标分值</w:t>
      </w:r>
      <w:r>
        <w:rPr>
          <w:rFonts w:hint="eastAsia" w:hAnsi="宋体"/>
          <w:sz w:val="32"/>
          <w:szCs w:val="32"/>
          <w:lang w:val="en-US" w:eastAsia="zh-CN"/>
        </w:rPr>
        <w:t>2</w:t>
      </w:r>
      <w:r>
        <w:rPr>
          <w:rFonts w:hint="eastAsia" w:hAnsi="宋体"/>
          <w:sz w:val="32"/>
          <w:szCs w:val="32"/>
        </w:rPr>
        <w:t>分，自</w:t>
      </w:r>
      <w:r>
        <w:rPr>
          <w:rFonts w:hint="eastAsia" w:hAnsi="宋体"/>
          <w:sz w:val="32"/>
          <w:szCs w:val="32"/>
          <w:highlight w:val="none"/>
        </w:rPr>
        <w:t>评得分为</w:t>
      </w:r>
      <w:r>
        <w:rPr>
          <w:rFonts w:hint="eastAsia" w:hAnsi="宋体"/>
          <w:sz w:val="32"/>
          <w:szCs w:val="32"/>
          <w:highlight w:val="none"/>
          <w:lang w:val="en-US" w:eastAsia="zh-CN"/>
        </w:rPr>
        <w:t>2</w:t>
      </w:r>
      <w:r>
        <w:rPr>
          <w:rFonts w:hint="eastAsia" w:hAnsi="宋体"/>
          <w:sz w:val="32"/>
          <w:szCs w:val="32"/>
          <w:highlight w:val="none"/>
        </w:rPr>
        <w:t>分，得分率为100%。</w:t>
      </w:r>
    </w:p>
    <w:p w14:paraId="6D229098">
      <w:pPr>
        <w:pageBreakBefore w:val="0"/>
        <w:widowControl w:val="0"/>
        <w:kinsoku/>
        <w:wordWrap/>
        <w:overflowPunct/>
        <w:topLinePunct w:val="0"/>
        <w:autoSpaceDE/>
        <w:autoSpaceDN/>
        <w:bidi w:val="0"/>
        <w:adjustRightInd/>
        <w:snapToGrid/>
        <w:spacing w:line="560" w:lineRule="exact"/>
        <w:ind w:firstLine="562"/>
        <w:textAlignment w:val="auto"/>
        <w:rPr>
          <w:rFonts w:hAnsi="宋体"/>
          <w:sz w:val="32"/>
          <w:szCs w:val="32"/>
          <w:highlight w:val="none"/>
        </w:rPr>
      </w:pPr>
      <w:r>
        <w:rPr>
          <w:rFonts w:hint="eastAsia" w:hAnsi="宋体"/>
          <w:b/>
          <w:bCs/>
          <w:sz w:val="32"/>
          <w:szCs w:val="32"/>
          <w:highlight w:val="none"/>
        </w:rPr>
        <w:t>在职人员控制率：</w:t>
      </w:r>
      <w:r>
        <w:rPr>
          <w:rFonts w:hint="eastAsia" w:hAnsi="宋体"/>
          <w:sz w:val="32"/>
          <w:szCs w:val="32"/>
          <w:highlight w:val="none"/>
        </w:rPr>
        <w:t>我院人员管理较为规范，</w:t>
      </w:r>
      <w:r>
        <w:rPr>
          <w:rFonts w:hint="eastAsia" w:hAnsi="宋体"/>
          <w:sz w:val="32"/>
          <w:szCs w:val="32"/>
          <w:highlight w:val="none"/>
          <w:lang w:eastAsia="zh-CN"/>
        </w:rPr>
        <w:t>部门</w:t>
      </w:r>
      <w:r>
        <w:rPr>
          <w:rFonts w:hint="eastAsia" w:hAnsi="宋体"/>
          <w:sz w:val="32"/>
          <w:szCs w:val="32"/>
          <w:highlight w:val="none"/>
        </w:rPr>
        <w:t>整体的财政供养人员规模得到有效控制，编制人数</w:t>
      </w:r>
      <w:r>
        <w:rPr>
          <w:rFonts w:hint="eastAsia" w:hAnsi="宋体"/>
          <w:sz w:val="32"/>
          <w:szCs w:val="32"/>
          <w:highlight w:val="none"/>
          <w:lang w:val="en-US" w:eastAsia="zh-CN"/>
        </w:rPr>
        <w:t>122</w:t>
      </w:r>
      <w:r>
        <w:rPr>
          <w:rFonts w:hint="eastAsia" w:hAnsi="宋体"/>
          <w:sz w:val="32"/>
          <w:szCs w:val="32"/>
          <w:highlight w:val="none"/>
        </w:rPr>
        <w:t>人，在职人员</w:t>
      </w:r>
      <w:r>
        <w:rPr>
          <w:rFonts w:hint="eastAsia" w:hAnsi="宋体"/>
          <w:sz w:val="32"/>
          <w:szCs w:val="32"/>
          <w:highlight w:val="none"/>
          <w:lang w:val="en-US" w:eastAsia="zh-CN"/>
        </w:rPr>
        <w:t>115</w:t>
      </w:r>
      <w:r>
        <w:rPr>
          <w:rFonts w:hint="eastAsia" w:hAnsi="宋体"/>
          <w:sz w:val="32"/>
          <w:szCs w:val="32"/>
          <w:highlight w:val="none"/>
        </w:rPr>
        <w:t>人，在职人员控制率为</w:t>
      </w:r>
      <w:r>
        <w:rPr>
          <w:rFonts w:hint="eastAsia" w:hAnsi="宋体"/>
          <w:sz w:val="32"/>
          <w:szCs w:val="32"/>
          <w:highlight w:val="none"/>
          <w:lang w:val="en-US" w:eastAsia="zh-CN"/>
        </w:rPr>
        <w:t>94.26</w:t>
      </w:r>
      <w:r>
        <w:rPr>
          <w:rFonts w:hint="eastAsia" w:hAnsi="宋体"/>
          <w:sz w:val="32"/>
          <w:szCs w:val="32"/>
          <w:highlight w:val="none"/>
        </w:rPr>
        <w:t>%</w:t>
      </w:r>
      <w:r>
        <w:rPr>
          <w:rFonts w:hint="eastAsia" w:hAnsi="宋体"/>
          <w:sz w:val="32"/>
          <w:szCs w:val="32"/>
          <w:highlight w:val="none"/>
          <w:lang w:eastAsia="zh-CN"/>
        </w:rPr>
        <w:t>，</w:t>
      </w:r>
      <w:r>
        <w:rPr>
          <w:rFonts w:hint="eastAsia" w:hAnsi="宋体"/>
          <w:sz w:val="32"/>
          <w:szCs w:val="32"/>
          <w:highlight w:val="none"/>
        </w:rPr>
        <w:t>有效控制在编制内</w:t>
      </w:r>
      <w:r>
        <w:rPr>
          <w:rFonts w:hint="eastAsia" w:hAnsi="宋体"/>
          <w:sz w:val="32"/>
          <w:szCs w:val="32"/>
          <w:highlight w:val="none"/>
          <w:lang w:eastAsia="zh-CN"/>
        </w:rPr>
        <w:t>，</w:t>
      </w:r>
      <w:r>
        <w:rPr>
          <w:rFonts w:hint="eastAsia" w:hAnsi="宋体"/>
          <w:sz w:val="32"/>
          <w:szCs w:val="32"/>
          <w:highlight w:val="none"/>
        </w:rPr>
        <w:t>该指标分值</w:t>
      </w:r>
      <w:r>
        <w:rPr>
          <w:rFonts w:hint="eastAsia" w:hAnsi="宋体"/>
          <w:sz w:val="32"/>
          <w:szCs w:val="32"/>
          <w:highlight w:val="none"/>
          <w:lang w:eastAsia="zh-CN"/>
        </w:rPr>
        <w:t>2</w:t>
      </w:r>
      <w:r>
        <w:rPr>
          <w:rFonts w:hint="eastAsia" w:hAnsi="宋体"/>
          <w:sz w:val="32"/>
          <w:szCs w:val="32"/>
          <w:highlight w:val="none"/>
        </w:rPr>
        <w:t>分，自评得分为</w:t>
      </w:r>
      <w:r>
        <w:rPr>
          <w:rFonts w:hint="eastAsia" w:hAnsi="宋体"/>
          <w:sz w:val="32"/>
          <w:szCs w:val="32"/>
          <w:highlight w:val="none"/>
          <w:lang w:eastAsia="zh-CN"/>
        </w:rPr>
        <w:t>2</w:t>
      </w:r>
      <w:r>
        <w:rPr>
          <w:rFonts w:hint="eastAsia" w:hAnsi="宋体"/>
          <w:sz w:val="32"/>
          <w:szCs w:val="32"/>
          <w:highlight w:val="none"/>
        </w:rPr>
        <w:t>分，得分率为100%。</w:t>
      </w:r>
    </w:p>
    <w:p w14:paraId="495FB4B8">
      <w:pPr>
        <w:pageBreakBefore w:val="0"/>
        <w:widowControl w:val="0"/>
        <w:kinsoku/>
        <w:wordWrap/>
        <w:overflowPunct/>
        <w:topLinePunct w:val="0"/>
        <w:autoSpaceDE/>
        <w:autoSpaceDN/>
        <w:bidi w:val="0"/>
        <w:adjustRightInd/>
        <w:snapToGrid/>
        <w:spacing w:line="560" w:lineRule="exact"/>
        <w:ind w:firstLine="562"/>
        <w:textAlignment w:val="auto"/>
        <w:rPr>
          <w:rFonts w:hint="eastAsia" w:hAnsi="宋体"/>
          <w:sz w:val="32"/>
          <w:szCs w:val="32"/>
        </w:rPr>
      </w:pPr>
      <w:r>
        <w:rPr>
          <w:rFonts w:hint="eastAsia" w:hAnsi="宋体"/>
          <w:b/>
          <w:bCs/>
          <w:sz w:val="32"/>
          <w:szCs w:val="32"/>
        </w:rPr>
        <w:t>重点工作管理制度健全性：</w:t>
      </w:r>
      <w:r>
        <w:rPr>
          <w:rFonts w:hint="eastAsia" w:hAnsi="宋体"/>
          <w:sz w:val="32"/>
          <w:szCs w:val="32"/>
        </w:rPr>
        <w:t>我院针对重点工作，修订并完善了相关案件审判制度，制度合法、合规、完整，并且能够有效执行和指导重点工作的有效推进和实施。指标分值</w:t>
      </w:r>
      <w:r>
        <w:rPr>
          <w:rFonts w:hint="eastAsia" w:hAnsi="宋体"/>
          <w:sz w:val="32"/>
          <w:szCs w:val="32"/>
          <w:lang w:eastAsia="zh-CN"/>
        </w:rPr>
        <w:t>2</w:t>
      </w:r>
      <w:r>
        <w:rPr>
          <w:rFonts w:hint="eastAsia" w:hAnsi="宋体"/>
          <w:sz w:val="32"/>
          <w:szCs w:val="32"/>
        </w:rPr>
        <w:t>分，自评得分</w:t>
      </w:r>
      <w:r>
        <w:rPr>
          <w:rFonts w:hint="eastAsia" w:hAnsi="宋体"/>
          <w:sz w:val="32"/>
          <w:szCs w:val="32"/>
          <w:lang w:eastAsia="zh-CN"/>
        </w:rPr>
        <w:t>2</w:t>
      </w:r>
      <w:r>
        <w:rPr>
          <w:rFonts w:hint="eastAsia" w:hAnsi="宋体"/>
          <w:sz w:val="32"/>
          <w:szCs w:val="32"/>
        </w:rPr>
        <w:t>分，得分率为100%。</w:t>
      </w:r>
    </w:p>
    <w:p w14:paraId="6BAEEE47">
      <w:pPr>
        <w:pStyle w:val="4"/>
        <w:keepNext/>
        <w:keepLines/>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eastAsia="仿宋_GB2312"/>
          <w:sz w:val="32"/>
          <w:szCs w:val="36"/>
          <w:highlight w:val="none"/>
          <w:lang w:val="en-US" w:eastAsia="zh-CN"/>
        </w:rPr>
      </w:pPr>
      <w:bookmarkStart w:id="50" w:name="_Toc40046032"/>
      <w:r>
        <w:rPr>
          <w:rFonts w:hint="eastAsia"/>
          <w:sz w:val="32"/>
          <w:szCs w:val="36"/>
          <w:highlight w:val="none"/>
          <w:lang w:val="en-US" w:eastAsia="zh-CN"/>
        </w:rPr>
        <w:t>3.</w:t>
      </w:r>
      <w:r>
        <w:rPr>
          <w:rFonts w:hint="eastAsia"/>
          <w:sz w:val="32"/>
          <w:szCs w:val="36"/>
          <w:highlight w:val="none"/>
        </w:rPr>
        <w:t>履职效果</w:t>
      </w:r>
      <w:bookmarkEnd w:id="50"/>
      <w:r>
        <w:rPr>
          <w:rFonts w:hint="eastAsia"/>
          <w:sz w:val="32"/>
          <w:szCs w:val="36"/>
          <w:highlight w:val="none"/>
          <w:lang w:val="en-US" w:eastAsia="zh-CN"/>
        </w:rPr>
        <w:t>目标完成情况分析</w:t>
      </w:r>
    </w:p>
    <w:p w14:paraId="034EADBB">
      <w:pPr>
        <w:pageBreakBefore w:val="0"/>
        <w:widowControl w:val="0"/>
        <w:kinsoku/>
        <w:wordWrap/>
        <w:overflowPunct/>
        <w:topLinePunct w:val="0"/>
        <w:autoSpaceDE/>
        <w:autoSpaceDN/>
        <w:bidi w:val="0"/>
        <w:adjustRightInd/>
        <w:snapToGrid/>
        <w:spacing w:line="560" w:lineRule="exact"/>
        <w:textAlignment w:val="auto"/>
        <w:rPr>
          <w:rFonts w:ascii="仿宋_GB2312"/>
          <w:highlight w:val="none"/>
        </w:rPr>
      </w:pPr>
      <w:r>
        <w:rPr>
          <w:rFonts w:hint="eastAsia"/>
          <w:sz w:val="32"/>
          <w:szCs w:val="24"/>
          <w:highlight w:val="none"/>
        </w:rPr>
        <w:t>履职效果指标包括部门履职</w:t>
      </w:r>
      <w:r>
        <w:rPr>
          <w:rFonts w:hint="eastAsia"/>
          <w:sz w:val="32"/>
          <w:szCs w:val="24"/>
          <w:highlight w:val="none"/>
          <w:lang w:val="en-US" w:eastAsia="zh-CN"/>
        </w:rPr>
        <w:t>目标</w:t>
      </w:r>
      <w:r>
        <w:rPr>
          <w:rFonts w:hint="eastAsia"/>
          <w:sz w:val="32"/>
          <w:szCs w:val="24"/>
          <w:highlight w:val="none"/>
        </w:rPr>
        <w:t>、</w:t>
      </w:r>
      <w:r>
        <w:rPr>
          <w:rFonts w:hint="eastAsia"/>
          <w:sz w:val="32"/>
          <w:szCs w:val="24"/>
          <w:highlight w:val="none"/>
          <w:lang w:val="en-US" w:eastAsia="zh-CN"/>
        </w:rPr>
        <w:t>部门效果、服务对象满意度及</w:t>
      </w:r>
      <w:r>
        <w:rPr>
          <w:rFonts w:hint="eastAsia"/>
          <w:sz w:val="32"/>
          <w:szCs w:val="24"/>
          <w:highlight w:val="none"/>
        </w:rPr>
        <w:t>社会影响</w:t>
      </w:r>
      <w:r>
        <w:rPr>
          <w:rFonts w:hint="eastAsia"/>
          <w:sz w:val="32"/>
          <w:szCs w:val="24"/>
          <w:highlight w:val="none"/>
          <w:lang w:val="en-US" w:eastAsia="zh-CN"/>
        </w:rPr>
        <w:t>3</w:t>
      </w:r>
      <w:r>
        <w:rPr>
          <w:rFonts w:hint="eastAsia"/>
          <w:sz w:val="32"/>
          <w:szCs w:val="24"/>
          <w:highlight w:val="none"/>
        </w:rPr>
        <w:t>个二级指标，下设</w:t>
      </w:r>
      <w:r>
        <w:rPr>
          <w:rFonts w:hint="eastAsia"/>
          <w:sz w:val="32"/>
          <w:szCs w:val="24"/>
          <w:highlight w:val="none"/>
          <w:lang w:val="en-US" w:eastAsia="zh-CN"/>
        </w:rPr>
        <w:t>17</w:t>
      </w:r>
      <w:r>
        <w:rPr>
          <w:rFonts w:hint="eastAsia"/>
          <w:sz w:val="32"/>
          <w:szCs w:val="24"/>
          <w:highlight w:val="none"/>
        </w:rPr>
        <w:t>个三级指标。履职效果指标分值</w:t>
      </w:r>
      <w:r>
        <w:rPr>
          <w:rFonts w:hint="eastAsia"/>
          <w:sz w:val="32"/>
          <w:szCs w:val="24"/>
          <w:highlight w:val="none"/>
          <w:lang w:val="en-US" w:eastAsia="zh-CN"/>
        </w:rPr>
        <w:t>60</w:t>
      </w:r>
      <w:r>
        <w:rPr>
          <w:rFonts w:hint="eastAsia"/>
          <w:sz w:val="32"/>
          <w:szCs w:val="24"/>
          <w:highlight w:val="none"/>
        </w:rPr>
        <w:t>分，自评</w:t>
      </w:r>
      <w:r>
        <w:rPr>
          <w:sz w:val="32"/>
          <w:szCs w:val="24"/>
          <w:highlight w:val="none"/>
        </w:rPr>
        <w:t>得</w:t>
      </w:r>
      <w:r>
        <w:rPr>
          <w:rFonts w:hint="eastAsia"/>
          <w:sz w:val="32"/>
          <w:szCs w:val="24"/>
          <w:highlight w:val="none"/>
        </w:rPr>
        <w:t>分</w:t>
      </w:r>
      <w:r>
        <w:rPr>
          <w:rFonts w:hint="eastAsia"/>
          <w:sz w:val="32"/>
          <w:szCs w:val="24"/>
          <w:highlight w:val="none"/>
          <w:lang w:val="en-US" w:eastAsia="zh-CN"/>
        </w:rPr>
        <w:t>57.7</w:t>
      </w:r>
      <w:r>
        <w:rPr>
          <w:rFonts w:hint="eastAsia"/>
          <w:sz w:val="32"/>
          <w:szCs w:val="24"/>
          <w:highlight w:val="none"/>
        </w:rPr>
        <w:t>分，</w:t>
      </w:r>
      <w:r>
        <w:rPr>
          <w:sz w:val="32"/>
          <w:szCs w:val="24"/>
          <w:highlight w:val="none"/>
        </w:rPr>
        <w:t>得分率</w:t>
      </w:r>
      <w:r>
        <w:rPr>
          <w:rFonts w:hint="eastAsia"/>
          <w:sz w:val="32"/>
          <w:szCs w:val="24"/>
          <w:highlight w:val="none"/>
          <w:lang w:val="en-US" w:eastAsia="zh-CN"/>
        </w:rPr>
        <w:t>96.17</w:t>
      </w:r>
      <w:r>
        <w:rPr>
          <w:sz w:val="32"/>
          <w:szCs w:val="24"/>
          <w:highlight w:val="none"/>
        </w:rPr>
        <w:t>%</w:t>
      </w:r>
      <w:r>
        <w:rPr>
          <w:rFonts w:hint="eastAsia"/>
          <w:sz w:val="32"/>
          <w:szCs w:val="24"/>
          <w:highlight w:val="none"/>
        </w:rPr>
        <w:t>。</w:t>
      </w:r>
    </w:p>
    <w:tbl>
      <w:tblPr>
        <w:tblStyle w:val="21"/>
        <w:tblW w:w="873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88"/>
        <w:gridCol w:w="1814"/>
        <w:gridCol w:w="1814"/>
        <w:gridCol w:w="1814"/>
      </w:tblGrid>
      <w:tr w14:paraId="2E0CC60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jc w:val="center"/>
        </w:trPr>
        <w:tc>
          <w:tcPr>
            <w:tcW w:w="3288" w:type="dxa"/>
            <w:shd w:val="clear" w:color="auto" w:fill="BDD6EE"/>
            <w:vAlign w:val="center"/>
          </w:tcPr>
          <w:p w14:paraId="55806648">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二级指标</w:t>
            </w:r>
          </w:p>
        </w:tc>
        <w:tc>
          <w:tcPr>
            <w:tcW w:w="1814" w:type="dxa"/>
            <w:shd w:val="clear" w:color="auto" w:fill="BDD6EE"/>
            <w:vAlign w:val="center"/>
          </w:tcPr>
          <w:p w14:paraId="64D11DDA">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ascii="宋体" w:hAnsi="宋体" w:cs="宋体"/>
                <w:b/>
                <w:color w:val="000000"/>
                <w:kern w:val="0"/>
                <w:sz w:val="24"/>
                <w:highlight w:val="none"/>
              </w:rPr>
            </w:pPr>
            <w:r>
              <w:rPr>
                <w:rFonts w:hint="eastAsia" w:ascii="宋体" w:hAnsi="宋体" w:cs="宋体"/>
                <w:b/>
                <w:color w:val="000000"/>
                <w:kern w:val="0"/>
                <w:sz w:val="24"/>
                <w:highlight w:val="none"/>
              </w:rPr>
              <w:t>分值</w:t>
            </w:r>
          </w:p>
        </w:tc>
        <w:tc>
          <w:tcPr>
            <w:tcW w:w="1814" w:type="dxa"/>
            <w:shd w:val="clear" w:color="auto" w:fill="BDD6EE"/>
            <w:vAlign w:val="center"/>
          </w:tcPr>
          <w:p w14:paraId="06E35934">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rPr>
                <w:rFonts w:ascii="宋体" w:hAnsi="宋体" w:cs="宋体"/>
                <w:b/>
                <w:color w:val="000000"/>
                <w:kern w:val="0"/>
                <w:sz w:val="24"/>
                <w:highlight w:val="none"/>
              </w:rPr>
            </w:pPr>
            <w:r>
              <w:rPr>
                <w:rFonts w:hint="eastAsia" w:ascii="宋体" w:hAnsi="宋体" w:cs="宋体"/>
                <w:b/>
                <w:color w:val="000000"/>
                <w:kern w:val="0"/>
                <w:sz w:val="24"/>
                <w:highlight w:val="none"/>
              </w:rPr>
              <w:t>自评</w:t>
            </w:r>
            <w:r>
              <w:rPr>
                <w:rFonts w:ascii="宋体" w:hAnsi="宋体" w:cs="宋体"/>
                <w:b/>
                <w:color w:val="000000"/>
                <w:kern w:val="0"/>
                <w:sz w:val="24"/>
                <w:highlight w:val="none"/>
              </w:rPr>
              <w:t>得分</w:t>
            </w:r>
          </w:p>
        </w:tc>
        <w:tc>
          <w:tcPr>
            <w:tcW w:w="1814" w:type="dxa"/>
            <w:shd w:val="clear" w:color="auto" w:fill="BDD6EE"/>
            <w:vAlign w:val="center"/>
          </w:tcPr>
          <w:p w14:paraId="33E4C236">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ascii="宋体" w:hAnsi="宋体" w:cs="宋体"/>
                <w:b/>
                <w:color w:val="000000"/>
                <w:kern w:val="0"/>
                <w:sz w:val="24"/>
                <w:highlight w:val="none"/>
              </w:rPr>
            </w:pPr>
            <w:r>
              <w:rPr>
                <w:rFonts w:hint="eastAsia" w:ascii="宋体" w:hAnsi="宋体" w:cs="宋体"/>
                <w:b/>
                <w:color w:val="000000"/>
                <w:kern w:val="0"/>
                <w:sz w:val="24"/>
                <w:highlight w:val="none"/>
              </w:rPr>
              <w:t>得分率</w:t>
            </w:r>
          </w:p>
        </w:tc>
      </w:tr>
      <w:tr w14:paraId="63F1801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88" w:type="dxa"/>
            <w:vAlign w:val="center"/>
          </w:tcPr>
          <w:p w14:paraId="1CB397CE">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部门</w:t>
            </w:r>
            <w:r>
              <w:rPr>
                <w:rFonts w:hAnsi="宋体" w:cs="宋体"/>
                <w:color w:val="000000"/>
                <w:kern w:val="0"/>
                <w:sz w:val="24"/>
                <w:szCs w:val="28"/>
                <w:highlight w:val="none"/>
              </w:rPr>
              <w:t>履职</w:t>
            </w:r>
          </w:p>
        </w:tc>
        <w:tc>
          <w:tcPr>
            <w:tcW w:w="1814" w:type="dxa"/>
            <w:vAlign w:val="center"/>
          </w:tcPr>
          <w:p w14:paraId="237F0C28">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34.4</w:t>
            </w:r>
          </w:p>
        </w:tc>
        <w:tc>
          <w:tcPr>
            <w:tcW w:w="1814" w:type="dxa"/>
            <w:vAlign w:val="center"/>
          </w:tcPr>
          <w:p w14:paraId="7C9F14B9">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33.6</w:t>
            </w:r>
          </w:p>
        </w:tc>
        <w:tc>
          <w:tcPr>
            <w:tcW w:w="1814" w:type="dxa"/>
            <w:vAlign w:val="center"/>
          </w:tcPr>
          <w:p w14:paraId="5E68A427">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97.67</w:t>
            </w:r>
            <w:r>
              <w:rPr>
                <w:rFonts w:hint="eastAsia" w:ascii="宋体" w:hAnsi="宋体" w:eastAsia="宋体" w:cs="宋体"/>
                <w:color w:val="000000"/>
                <w:kern w:val="0"/>
                <w:sz w:val="22"/>
                <w:szCs w:val="22"/>
                <w:highlight w:val="none"/>
              </w:rPr>
              <w:t>%</w:t>
            </w:r>
          </w:p>
        </w:tc>
      </w:tr>
      <w:tr w14:paraId="3AA09CF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88" w:type="dxa"/>
            <w:vAlign w:val="center"/>
          </w:tcPr>
          <w:p w14:paraId="5C197D77">
            <w:pPr>
              <w:widowControl/>
              <w:wordWrap/>
              <w:autoSpaceDE w:val="0"/>
              <w:autoSpaceDN w:val="0"/>
              <w:adjustRightInd/>
              <w:snapToGrid/>
              <w:spacing w:line="240" w:lineRule="auto"/>
              <w:jc w:val="left"/>
              <w:rPr>
                <w:rFonts w:hint="default"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lang w:val="en-US" w:eastAsia="zh-CN"/>
              </w:rPr>
              <w:t>部门效果</w:t>
            </w:r>
          </w:p>
        </w:tc>
        <w:tc>
          <w:tcPr>
            <w:tcW w:w="1814" w:type="dxa"/>
            <w:vAlign w:val="center"/>
          </w:tcPr>
          <w:p w14:paraId="5904B763">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9.36</w:t>
            </w:r>
          </w:p>
        </w:tc>
        <w:tc>
          <w:tcPr>
            <w:tcW w:w="1814" w:type="dxa"/>
            <w:vAlign w:val="center"/>
          </w:tcPr>
          <w:p w14:paraId="13B755F0">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7.86</w:t>
            </w:r>
          </w:p>
        </w:tc>
        <w:tc>
          <w:tcPr>
            <w:tcW w:w="1814" w:type="dxa"/>
            <w:vAlign w:val="center"/>
          </w:tcPr>
          <w:p w14:paraId="7D891CBE">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83.97</w:t>
            </w:r>
            <w:r>
              <w:rPr>
                <w:rFonts w:hint="eastAsia" w:ascii="宋体" w:hAnsi="宋体" w:eastAsia="宋体" w:cs="宋体"/>
                <w:color w:val="000000"/>
                <w:kern w:val="0"/>
                <w:sz w:val="22"/>
                <w:szCs w:val="22"/>
                <w:highlight w:val="none"/>
              </w:rPr>
              <w:t>%</w:t>
            </w:r>
          </w:p>
        </w:tc>
      </w:tr>
      <w:tr w14:paraId="40D6886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88" w:type="dxa"/>
            <w:vAlign w:val="center"/>
          </w:tcPr>
          <w:p w14:paraId="0253D4EA">
            <w:pPr>
              <w:widowControl/>
              <w:wordWrap/>
              <w:autoSpaceDE w:val="0"/>
              <w:autoSpaceDN w:val="0"/>
              <w:adjustRightInd/>
              <w:snapToGrid/>
              <w:spacing w:line="240" w:lineRule="auto"/>
              <w:jc w:val="left"/>
              <w:rPr>
                <w:rFonts w:hint="eastAsia" w:hAnsi="宋体" w:cs="宋体"/>
                <w:color w:val="000000"/>
                <w:kern w:val="0"/>
                <w:sz w:val="24"/>
                <w:szCs w:val="28"/>
                <w:highlight w:val="none"/>
                <w:lang w:val="en-US" w:eastAsia="zh-CN"/>
              </w:rPr>
            </w:pPr>
            <w:r>
              <w:rPr>
                <w:rFonts w:hint="eastAsia" w:hAnsi="宋体" w:cs="宋体"/>
                <w:color w:val="000000"/>
                <w:kern w:val="0"/>
                <w:sz w:val="24"/>
                <w:szCs w:val="28"/>
                <w:highlight w:val="none"/>
                <w:lang w:val="en-US" w:eastAsia="zh-CN"/>
              </w:rPr>
              <w:t>服务对象满意度</w:t>
            </w:r>
          </w:p>
        </w:tc>
        <w:tc>
          <w:tcPr>
            <w:tcW w:w="1814" w:type="dxa"/>
            <w:vAlign w:val="center"/>
          </w:tcPr>
          <w:p w14:paraId="199D1BB5">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1814" w:type="dxa"/>
            <w:vAlign w:val="center"/>
          </w:tcPr>
          <w:p w14:paraId="1E6D0FBC">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1814" w:type="dxa"/>
            <w:vAlign w:val="center"/>
          </w:tcPr>
          <w:p w14:paraId="27DBFB73">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100%</w:t>
            </w:r>
          </w:p>
        </w:tc>
      </w:tr>
      <w:tr w14:paraId="01CAD40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88" w:type="dxa"/>
            <w:vAlign w:val="center"/>
          </w:tcPr>
          <w:p w14:paraId="0951E162">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社会影响</w:t>
            </w:r>
          </w:p>
        </w:tc>
        <w:tc>
          <w:tcPr>
            <w:tcW w:w="1814" w:type="dxa"/>
            <w:vAlign w:val="center"/>
          </w:tcPr>
          <w:p w14:paraId="4ABC9578">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6.24</w:t>
            </w:r>
          </w:p>
        </w:tc>
        <w:tc>
          <w:tcPr>
            <w:tcW w:w="1814" w:type="dxa"/>
            <w:vAlign w:val="center"/>
          </w:tcPr>
          <w:p w14:paraId="477BEF41">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6.24</w:t>
            </w:r>
          </w:p>
        </w:tc>
        <w:tc>
          <w:tcPr>
            <w:tcW w:w="1814" w:type="dxa"/>
            <w:vAlign w:val="center"/>
          </w:tcPr>
          <w:p w14:paraId="60509686">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14:paraId="0827B97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88" w:type="dxa"/>
            <w:shd w:val="clear" w:color="auto" w:fill="BDD6EE"/>
            <w:vAlign w:val="center"/>
          </w:tcPr>
          <w:p w14:paraId="0D2DC61A">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合计</w:t>
            </w:r>
          </w:p>
        </w:tc>
        <w:tc>
          <w:tcPr>
            <w:tcW w:w="1814" w:type="dxa"/>
            <w:shd w:val="clear" w:color="auto" w:fill="BDD6EE"/>
            <w:vAlign w:val="center"/>
          </w:tcPr>
          <w:p w14:paraId="76118971">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60</w:t>
            </w:r>
          </w:p>
        </w:tc>
        <w:tc>
          <w:tcPr>
            <w:tcW w:w="1814" w:type="dxa"/>
            <w:shd w:val="clear" w:color="auto" w:fill="BDD6EE"/>
            <w:vAlign w:val="center"/>
          </w:tcPr>
          <w:p w14:paraId="6D074D8A">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57.7</w:t>
            </w:r>
          </w:p>
        </w:tc>
        <w:tc>
          <w:tcPr>
            <w:tcW w:w="1814" w:type="dxa"/>
            <w:shd w:val="clear" w:color="auto" w:fill="BDD6EE"/>
            <w:vAlign w:val="center"/>
          </w:tcPr>
          <w:p w14:paraId="197F65F0">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9</w:t>
            </w:r>
            <w:r>
              <w:rPr>
                <w:rFonts w:hint="eastAsia" w:ascii="宋体" w:hAnsi="宋体" w:eastAsia="宋体" w:cs="宋体"/>
                <w:b/>
                <w:color w:val="000000"/>
                <w:kern w:val="0"/>
                <w:sz w:val="22"/>
                <w:szCs w:val="22"/>
                <w:highlight w:val="none"/>
                <w:lang w:val="en-US" w:eastAsia="zh-CN"/>
              </w:rPr>
              <w:t>6</w:t>
            </w:r>
            <w:r>
              <w:rPr>
                <w:rFonts w:hint="eastAsia" w:ascii="宋体" w:hAnsi="宋体" w:eastAsia="宋体" w:cs="宋体"/>
                <w:b/>
                <w:color w:val="000000"/>
                <w:kern w:val="0"/>
                <w:sz w:val="22"/>
                <w:szCs w:val="22"/>
                <w:highlight w:val="none"/>
              </w:rPr>
              <w:t>.</w:t>
            </w:r>
            <w:r>
              <w:rPr>
                <w:rFonts w:hint="eastAsia" w:ascii="宋体" w:hAnsi="宋体" w:eastAsia="宋体" w:cs="宋体"/>
                <w:b/>
                <w:color w:val="000000"/>
                <w:kern w:val="0"/>
                <w:sz w:val="22"/>
                <w:szCs w:val="22"/>
                <w:highlight w:val="none"/>
                <w:lang w:val="en-US" w:eastAsia="zh-CN"/>
              </w:rPr>
              <w:t>17</w:t>
            </w:r>
            <w:r>
              <w:rPr>
                <w:rFonts w:hint="eastAsia" w:ascii="宋体" w:hAnsi="宋体" w:eastAsia="宋体" w:cs="宋体"/>
                <w:b/>
                <w:color w:val="000000"/>
                <w:kern w:val="0"/>
                <w:sz w:val="22"/>
                <w:szCs w:val="22"/>
                <w:highlight w:val="none"/>
              </w:rPr>
              <w:t>%</w:t>
            </w:r>
          </w:p>
        </w:tc>
      </w:tr>
    </w:tbl>
    <w:p w14:paraId="3B030894">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sz w:val="32"/>
          <w:szCs w:val="32"/>
        </w:rPr>
      </w:pPr>
      <w:r>
        <w:rPr>
          <w:rFonts w:hint="eastAsia"/>
          <w:b/>
          <w:bCs/>
          <w:sz w:val="32"/>
          <w:szCs w:val="32"/>
        </w:rPr>
        <w:t>（1）部门履职目标</w:t>
      </w:r>
    </w:p>
    <w:p w14:paraId="43C76AD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theme="minorBidi"/>
          <w:b/>
          <w:bCs/>
          <w:kern w:val="2"/>
          <w:sz w:val="32"/>
          <w:szCs w:val="32"/>
          <w:lang w:val="en-US" w:eastAsia="zh-CN" w:bidi="ar-SA"/>
        </w:rPr>
      </w:pPr>
      <w:r>
        <w:rPr>
          <w:rFonts w:hint="eastAsia"/>
          <w:sz w:val="32"/>
          <w:szCs w:val="32"/>
          <w:highlight w:val="none"/>
        </w:rPr>
        <w:t>部门履职指标分值34.4分，自评得分33.6分，得分率为97.67%。</w:t>
      </w:r>
    </w:p>
    <w:p w14:paraId="319F636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宋体" w:eastAsia="仿宋_GB2312" w:cstheme="minorBidi"/>
          <w:b/>
          <w:bCs/>
          <w:kern w:val="2"/>
          <w:sz w:val="32"/>
          <w:szCs w:val="32"/>
          <w:lang w:val="en-US" w:eastAsia="zh-CN" w:bidi="ar-SA"/>
        </w:rPr>
      </w:pPr>
      <w:r>
        <w:rPr>
          <w:rFonts w:hint="eastAsia" w:hAnsi="宋体" w:cstheme="minorBidi"/>
          <w:b/>
          <w:bCs/>
          <w:kern w:val="2"/>
          <w:sz w:val="32"/>
          <w:szCs w:val="32"/>
          <w:lang w:val="en-US" w:eastAsia="zh-CN" w:bidi="ar-SA"/>
        </w:rPr>
        <w:t>①产出数量指标分析</w:t>
      </w:r>
    </w:p>
    <w:p w14:paraId="66431D4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宋体" w:eastAsia="仿宋_GB2312" w:cstheme="minorBidi"/>
          <w:b/>
          <w:bCs/>
          <w:kern w:val="2"/>
          <w:sz w:val="32"/>
          <w:szCs w:val="32"/>
          <w:lang w:val="en-US" w:eastAsia="zh-CN" w:bidi="ar-SA"/>
        </w:rPr>
      </w:pPr>
      <w:r>
        <w:rPr>
          <w:rFonts w:hint="eastAsia" w:ascii="仿宋_GB2312" w:hAnsi="宋体" w:eastAsia="仿宋_GB2312" w:cstheme="minorBidi"/>
          <w:b/>
          <w:bCs/>
          <w:kern w:val="2"/>
          <w:sz w:val="32"/>
          <w:szCs w:val="32"/>
          <w:lang w:val="en-US" w:eastAsia="zh-CN" w:bidi="ar-SA"/>
        </w:rPr>
        <w:t>刑事案件</w:t>
      </w:r>
      <w:r>
        <w:rPr>
          <w:rFonts w:hint="eastAsia" w:hAnsi="宋体" w:cstheme="minorBidi"/>
          <w:b/>
          <w:bCs/>
          <w:kern w:val="2"/>
          <w:sz w:val="32"/>
          <w:szCs w:val="32"/>
          <w:lang w:val="en-US" w:eastAsia="zh-CN" w:bidi="ar-SA"/>
        </w:rPr>
        <w:t>结案率</w:t>
      </w:r>
      <w:r>
        <w:rPr>
          <w:rFonts w:hint="eastAsia" w:ascii="仿宋_GB2312" w:hAnsi="宋体" w:eastAsia="仿宋_GB2312" w:cstheme="minorBidi"/>
          <w:b/>
          <w:bCs/>
          <w:kern w:val="2"/>
          <w:sz w:val="32"/>
          <w:szCs w:val="32"/>
          <w:lang w:val="en-US" w:eastAsia="zh-CN" w:bidi="ar-SA"/>
        </w:rPr>
        <w:t>：</w:t>
      </w:r>
      <w:r>
        <w:rPr>
          <w:rFonts w:hint="eastAsia" w:hAnsi="宋体" w:cstheme="minorBidi"/>
          <w:b w:val="0"/>
          <w:bCs w:val="0"/>
          <w:kern w:val="2"/>
          <w:sz w:val="32"/>
          <w:szCs w:val="32"/>
          <w:lang w:val="en-US" w:eastAsia="zh-CN" w:bidi="ar-SA"/>
        </w:rPr>
        <w:t>我院</w:t>
      </w:r>
      <w:r>
        <w:rPr>
          <w:rFonts w:hint="eastAsia" w:ascii="仿宋_GB2312" w:hAnsi="宋体" w:eastAsia="仿宋_GB2312" w:cstheme="minorBidi"/>
          <w:b w:val="0"/>
          <w:bCs w:val="0"/>
          <w:kern w:val="2"/>
          <w:sz w:val="32"/>
          <w:szCs w:val="32"/>
          <w:lang w:val="en-US" w:eastAsia="zh-CN" w:bidi="ar-SA"/>
        </w:rPr>
        <w:t>刑事案件审结率</w:t>
      </w:r>
      <w:r>
        <w:rPr>
          <w:rFonts w:hint="eastAsia" w:hAnsi="宋体" w:cstheme="minorBidi"/>
          <w:b w:val="0"/>
          <w:bCs w:val="0"/>
          <w:kern w:val="2"/>
          <w:sz w:val="32"/>
          <w:szCs w:val="32"/>
          <w:lang w:val="en-US" w:eastAsia="zh-CN" w:bidi="ar-SA"/>
        </w:rPr>
        <w:t>年度指标值≥90%，实际完成100%，</w:t>
      </w:r>
      <w:r>
        <w:rPr>
          <w:rFonts w:hint="eastAsia"/>
          <w:color w:val="000000" w:themeColor="text1"/>
          <w:sz w:val="32"/>
          <w:szCs w:val="32"/>
          <w14:textFill>
            <w14:solidFill>
              <w14:schemeClr w14:val="tx1"/>
            </w14:solidFill>
          </w14:textFill>
        </w:rPr>
        <w:t>达到</w:t>
      </w:r>
      <w:r>
        <w:rPr>
          <w:rFonts w:hint="eastAsia"/>
          <w:b w:val="0"/>
          <w:bCs w:val="0"/>
          <w:sz w:val="32"/>
          <w:szCs w:val="32"/>
          <w:highlight w:val="none"/>
          <w:lang w:val="en-US" w:eastAsia="zh-CN"/>
        </w:rPr>
        <w:t>年度指标值</w:t>
      </w:r>
      <w:r>
        <w:rPr>
          <w:rFonts w:hint="eastAsia"/>
          <w:color w:val="000000" w:themeColor="text1"/>
          <w:sz w:val="32"/>
          <w:szCs w:val="32"/>
          <w:lang w:eastAsia="zh-CN"/>
          <w14:textFill>
            <w14:solidFill>
              <w14:schemeClr w14:val="tx1"/>
            </w14:solidFill>
          </w14:textFill>
        </w:rPr>
        <w:t>。</w:t>
      </w:r>
      <w:r>
        <w:rPr>
          <w:rFonts w:hint="eastAsia" w:hAnsi="宋体"/>
          <w:sz w:val="32"/>
          <w:szCs w:val="32"/>
        </w:rPr>
        <w:t>该指标分值</w:t>
      </w:r>
      <w:r>
        <w:rPr>
          <w:rFonts w:hint="eastAsia" w:hAnsi="宋体"/>
          <w:sz w:val="32"/>
          <w:szCs w:val="32"/>
          <w:lang w:val="en-US" w:eastAsia="zh-CN"/>
        </w:rPr>
        <w:t>3.2</w:t>
      </w:r>
      <w:r>
        <w:rPr>
          <w:rFonts w:hint="eastAsia" w:hAnsi="宋体"/>
          <w:sz w:val="32"/>
          <w:szCs w:val="32"/>
        </w:rPr>
        <w:t>分，自评得分为</w:t>
      </w:r>
      <w:r>
        <w:rPr>
          <w:rFonts w:hint="eastAsia" w:hAnsi="宋体"/>
          <w:sz w:val="32"/>
          <w:szCs w:val="32"/>
          <w:lang w:val="en-US" w:eastAsia="zh-CN"/>
        </w:rPr>
        <w:t>3.2</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4B84EBE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b w:val="0"/>
          <w:bCs w:val="0"/>
          <w:sz w:val="32"/>
          <w:szCs w:val="32"/>
          <w:lang w:val="en-US" w:eastAsia="zh-CN"/>
        </w:rPr>
      </w:pPr>
      <w:r>
        <w:rPr>
          <w:rFonts w:hint="eastAsia" w:ascii="仿宋_GB2312" w:hAnsi="宋体" w:eastAsia="仿宋_GB2312" w:cstheme="minorBidi"/>
          <w:b/>
          <w:bCs/>
          <w:kern w:val="2"/>
          <w:sz w:val="32"/>
          <w:szCs w:val="32"/>
          <w:lang w:val="en-US" w:eastAsia="zh-CN" w:bidi="ar-SA"/>
        </w:rPr>
        <w:t>民</w:t>
      </w:r>
      <w:r>
        <w:rPr>
          <w:rFonts w:hint="eastAsia" w:hAnsi="宋体" w:cstheme="minorBidi"/>
          <w:b/>
          <w:bCs/>
          <w:kern w:val="2"/>
          <w:sz w:val="32"/>
          <w:szCs w:val="32"/>
          <w:lang w:val="en-US" w:eastAsia="zh-CN" w:bidi="ar-SA"/>
        </w:rPr>
        <w:t>商</w:t>
      </w:r>
      <w:r>
        <w:rPr>
          <w:rFonts w:hint="eastAsia" w:ascii="仿宋_GB2312" w:hAnsi="宋体" w:eastAsia="仿宋_GB2312" w:cstheme="minorBidi"/>
          <w:b/>
          <w:bCs/>
          <w:kern w:val="2"/>
          <w:sz w:val="32"/>
          <w:szCs w:val="32"/>
          <w:lang w:val="en-US" w:eastAsia="zh-CN" w:bidi="ar-SA"/>
        </w:rPr>
        <w:t>事案件</w:t>
      </w:r>
      <w:r>
        <w:rPr>
          <w:rFonts w:hint="eastAsia" w:hAnsi="宋体" w:cstheme="minorBidi"/>
          <w:b/>
          <w:bCs/>
          <w:kern w:val="2"/>
          <w:sz w:val="32"/>
          <w:szCs w:val="32"/>
          <w:lang w:val="en-US" w:eastAsia="zh-CN" w:bidi="ar-SA"/>
        </w:rPr>
        <w:t>结案率</w:t>
      </w:r>
      <w:r>
        <w:rPr>
          <w:rFonts w:hint="eastAsia" w:ascii="仿宋_GB2312" w:hAnsi="宋体" w:eastAsia="仿宋_GB2312" w:cstheme="minorBidi"/>
          <w:b/>
          <w:bCs/>
          <w:kern w:val="2"/>
          <w:sz w:val="32"/>
          <w:szCs w:val="32"/>
          <w:lang w:val="en-US" w:eastAsia="zh-CN" w:bidi="ar-SA"/>
        </w:rPr>
        <w:t>：</w:t>
      </w:r>
      <w:r>
        <w:rPr>
          <w:rFonts w:hint="eastAsia" w:hAnsi="宋体" w:cstheme="minorBidi"/>
          <w:b w:val="0"/>
          <w:bCs w:val="0"/>
          <w:kern w:val="2"/>
          <w:sz w:val="32"/>
          <w:szCs w:val="32"/>
          <w:lang w:val="en-US" w:eastAsia="zh-CN" w:bidi="ar-SA"/>
        </w:rPr>
        <w:t>我院民商事案件审结率年度指标值≥85%，实际完成97%，</w:t>
      </w:r>
      <w:r>
        <w:rPr>
          <w:rFonts w:hint="eastAsia"/>
          <w:color w:val="000000" w:themeColor="text1"/>
          <w:sz w:val="32"/>
          <w:szCs w:val="32"/>
          <w14:textFill>
            <w14:solidFill>
              <w14:schemeClr w14:val="tx1"/>
            </w14:solidFill>
          </w14:textFill>
        </w:rPr>
        <w:t>达到</w:t>
      </w:r>
      <w:r>
        <w:rPr>
          <w:rFonts w:hint="eastAsia"/>
          <w:b w:val="0"/>
          <w:bCs w:val="0"/>
          <w:sz w:val="32"/>
          <w:szCs w:val="32"/>
          <w:highlight w:val="none"/>
          <w:lang w:val="en-US" w:eastAsia="zh-CN"/>
        </w:rPr>
        <w:t>年度指标值</w:t>
      </w:r>
      <w:r>
        <w:rPr>
          <w:rFonts w:hint="eastAsia"/>
          <w:color w:val="000000" w:themeColor="text1"/>
          <w:sz w:val="32"/>
          <w:szCs w:val="32"/>
          <w:lang w:eastAsia="zh-CN"/>
          <w14:textFill>
            <w14:solidFill>
              <w14:schemeClr w14:val="tx1"/>
            </w14:solidFill>
          </w14:textFill>
        </w:rPr>
        <w:t>。</w:t>
      </w:r>
      <w:r>
        <w:rPr>
          <w:rFonts w:hint="eastAsia" w:hAnsi="宋体"/>
          <w:b w:val="0"/>
          <w:bCs w:val="0"/>
          <w:sz w:val="32"/>
          <w:szCs w:val="32"/>
        </w:rPr>
        <w:t>该指标分值</w:t>
      </w:r>
      <w:r>
        <w:rPr>
          <w:rFonts w:hint="eastAsia" w:hAnsi="宋体"/>
          <w:sz w:val="32"/>
          <w:szCs w:val="32"/>
          <w:lang w:val="en-US" w:eastAsia="zh-CN"/>
        </w:rPr>
        <w:t>3.12</w:t>
      </w:r>
      <w:r>
        <w:rPr>
          <w:rFonts w:hint="eastAsia" w:hAnsi="宋体"/>
          <w:b w:val="0"/>
          <w:bCs w:val="0"/>
          <w:sz w:val="32"/>
          <w:szCs w:val="32"/>
        </w:rPr>
        <w:t>分，自评得分为</w:t>
      </w:r>
      <w:r>
        <w:rPr>
          <w:rFonts w:hint="eastAsia" w:hAnsi="宋体"/>
          <w:sz w:val="32"/>
          <w:szCs w:val="32"/>
          <w:lang w:val="en-US" w:eastAsia="zh-CN"/>
        </w:rPr>
        <w:t>3.12</w:t>
      </w:r>
      <w:r>
        <w:rPr>
          <w:rFonts w:hint="eastAsia" w:hAnsi="宋体"/>
          <w:b w:val="0"/>
          <w:bCs w:val="0"/>
          <w:sz w:val="32"/>
          <w:szCs w:val="32"/>
        </w:rPr>
        <w:t>分，得分率为</w:t>
      </w:r>
      <w:r>
        <w:rPr>
          <w:rFonts w:hint="eastAsia" w:hAnsi="宋体"/>
          <w:b w:val="0"/>
          <w:bCs w:val="0"/>
          <w:sz w:val="32"/>
          <w:szCs w:val="32"/>
          <w:lang w:val="en-US" w:eastAsia="zh-CN"/>
        </w:rPr>
        <w:t>100%。</w:t>
      </w:r>
    </w:p>
    <w:p w14:paraId="691D0C5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eastAsia="仿宋_GB2312"/>
          <w:sz w:val="32"/>
          <w:szCs w:val="32"/>
          <w:lang w:val="en-US" w:eastAsia="zh-CN"/>
        </w:rPr>
      </w:pPr>
      <w:r>
        <w:rPr>
          <w:rFonts w:hint="eastAsia" w:ascii="仿宋_GB2312" w:hAnsi="宋体" w:eastAsia="仿宋_GB2312" w:cstheme="minorBidi"/>
          <w:b/>
          <w:bCs/>
          <w:kern w:val="2"/>
          <w:sz w:val="32"/>
          <w:szCs w:val="32"/>
          <w:lang w:val="en-US" w:eastAsia="zh-CN" w:bidi="ar-SA"/>
        </w:rPr>
        <w:t>执行案件</w:t>
      </w:r>
      <w:r>
        <w:rPr>
          <w:rFonts w:hint="eastAsia" w:hAnsi="宋体" w:cstheme="minorBidi"/>
          <w:b/>
          <w:bCs/>
          <w:kern w:val="2"/>
          <w:sz w:val="32"/>
          <w:szCs w:val="32"/>
          <w:lang w:val="en-US" w:eastAsia="zh-CN" w:bidi="ar-SA"/>
        </w:rPr>
        <w:t>结案率：</w:t>
      </w:r>
      <w:r>
        <w:rPr>
          <w:rFonts w:hint="eastAsia" w:hAnsi="宋体" w:cstheme="minorBidi"/>
          <w:b w:val="0"/>
          <w:bCs w:val="0"/>
          <w:kern w:val="2"/>
          <w:sz w:val="32"/>
          <w:szCs w:val="32"/>
          <w:lang w:val="en-US" w:eastAsia="zh-CN" w:bidi="ar-SA"/>
        </w:rPr>
        <w:t>我院执行案件执结率年度指标值≥80%，实际完成95%，</w:t>
      </w:r>
      <w:r>
        <w:rPr>
          <w:rFonts w:hint="eastAsia"/>
          <w:color w:val="000000" w:themeColor="text1"/>
          <w:sz w:val="32"/>
          <w:szCs w:val="32"/>
          <w14:textFill>
            <w14:solidFill>
              <w14:schemeClr w14:val="tx1"/>
            </w14:solidFill>
          </w14:textFill>
        </w:rPr>
        <w:t>达到</w:t>
      </w:r>
      <w:r>
        <w:rPr>
          <w:rFonts w:hint="eastAsia"/>
          <w:b w:val="0"/>
          <w:bCs w:val="0"/>
          <w:sz w:val="32"/>
          <w:szCs w:val="32"/>
          <w:highlight w:val="none"/>
          <w:lang w:val="en-US" w:eastAsia="zh-CN"/>
        </w:rPr>
        <w:t>年度指标值</w:t>
      </w:r>
      <w:r>
        <w:rPr>
          <w:rFonts w:hint="eastAsia"/>
          <w:color w:val="000000" w:themeColor="text1"/>
          <w:sz w:val="32"/>
          <w:szCs w:val="32"/>
          <w:lang w:eastAsia="zh-CN"/>
          <w14:textFill>
            <w14:solidFill>
              <w14:schemeClr w14:val="tx1"/>
            </w14:solidFill>
          </w14:textFill>
        </w:rPr>
        <w:t>。</w:t>
      </w:r>
      <w:r>
        <w:rPr>
          <w:rFonts w:hint="eastAsia" w:hAnsi="宋体"/>
          <w:sz w:val="32"/>
          <w:szCs w:val="32"/>
        </w:rPr>
        <w:t>该指标分值</w:t>
      </w:r>
      <w:r>
        <w:rPr>
          <w:rFonts w:hint="eastAsia" w:hAnsi="宋体"/>
          <w:sz w:val="32"/>
          <w:szCs w:val="32"/>
          <w:lang w:val="en-US" w:eastAsia="zh-CN"/>
        </w:rPr>
        <w:t>3.12</w:t>
      </w:r>
      <w:r>
        <w:rPr>
          <w:rFonts w:hint="eastAsia" w:hAnsi="宋体"/>
          <w:sz w:val="32"/>
          <w:szCs w:val="32"/>
        </w:rPr>
        <w:t>分，自评得分为</w:t>
      </w:r>
      <w:r>
        <w:rPr>
          <w:rFonts w:hint="eastAsia" w:hAnsi="宋体"/>
          <w:sz w:val="32"/>
          <w:szCs w:val="32"/>
          <w:lang w:val="en-US" w:eastAsia="zh-CN"/>
        </w:rPr>
        <w:t>3.12</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r>
        <w:rPr>
          <w:rFonts w:hint="eastAsia" w:hAnsi="宋体"/>
          <w:sz w:val="32"/>
          <w:szCs w:val="32"/>
          <w:lang w:eastAsia="zh-CN"/>
        </w:rPr>
        <w:t>。</w:t>
      </w:r>
    </w:p>
    <w:p w14:paraId="14AC0CD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hAnsi="宋体" w:cstheme="minorBidi"/>
          <w:b/>
          <w:bCs/>
          <w:kern w:val="2"/>
          <w:sz w:val="32"/>
          <w:szCs w:val="32"/>
          <w:highlight w:val="yellow"/>
          <w:lang w:val="en-US" w:eastAsia="zh-CN" w:bidi="ar-SA"/>
        </w:rPr>
      </w:pPr>
      <w:r>
        <w:rPr>
          <w:rFonts w:hint="eastAsia" w:hAnsi="宋体" w:cstheme="minorBidi"/>
          <w:b/>
          <w:bCs/>
          <w:kern w:val="2"/>
          <w:sz w:val="32"/>
          <w:szCs w:val="32"/>
          <w:highlight w:val="none"/>
          <w:lang w:val="en-US" w:eastAsia="zh-CN" w:bidi="ar-SA"/>
        </w:rPr>
        <w:t>装备购置完成率：</w:t>
      </w:r>
      <w:r>
        <w:rPr>
          <w:rFonts w:hint="eastAsia" w:hAnsi="宋体" w:cstheme="minorBidi"/>
          <w:b w:val="0"/>
          <w:bCs w:val="0"/>
          <w:kern w:val="2"/>
          <w:sz w:val="32"/>
          <w:szCs w:val="32"/>
          <w:highlight w:val="none"/>
          <w:lang w:val="en-US" w:eastAsia="zh-CN" w:bidi="ar-SA"/>
        </w:rPr>
        <w:t>我院按照年初采购计划进行采购，</w:t>
      </w:r>
      <w:r>
        <w:rPr>
          <w:rFonts w:hint="eastAsia"/>
          <w:sz w:val="32"/>
          <w:szCs w:val="32"/>
        </w:rPr>
        <w:t>购置办公</w:t>
      </w:r>
      <w:r>
        <w:rPr>
          <w:rFonts w:hint="eastAsia"/>
          <w:sz w:val="32"/>
          <w:szCs w:val="32"/>
          <w:lang w:val="en-US" w:eastAsia="zh-CN"/>
        </w:rPr>
        <w:t>设备、</w:t>
      </w:r>
      <w:r>
        <w:rPr>
          <w:rFonts w:hint="eastAsia"/>
          <w:sz w:val="32"/>
          <w:szCs w:val="32"/>
        </w:rPr>
        <w:t>警务轿车等</w:t>
      </w:r>
      <w:r>
        <w:rPr>
          <w:rFonts w:hint="eastAsia"/>
          <w:sz w:val="32"/>
          <w:szCs w:val="32"/>
          <w:lang w:val="en-US" w:eastAsia="zh-CN"/>
        </w:rPr>
        <w:t>资产</w:t>
      </w:r>
      <w:r>
        <w:rPr>
          <w:rFonts w:hint="eastAsia"/>
          <w:sz w:val="32"/>
          <w:szCs w:val="32"/>
        </w:rPr>
        <w:t>，完善配套设施，</w:t>
      </w:r>
      <w:r>
        <w:rPr>
          <w:sz w:val="32"/>
          <w:szCs w:val="32"/>
        </w:rPr>
        <w:t>持续改善执法办案条件，</w:t>
      </w:r>
      <w:r>
        <w:rPr>
          <w:rFonts w:hint="eastAsia"/>
          <w:sz w:val="32"/>
          <w:szCs w:val="32"/>
        </w:rPr>
        <w:t>因基础设施不符合部分设备</w:t>
      </w:r>
      <w:r>
        <w:rPr>
          <w:rFonts w:hint="eastAsia"/>
          <w:sz w:val="32"/>
          <w:szCs w:val="32"/>
          <w:lang w:val="en-US" w:eastAsia="zh-CN"/>
        </w:rPr>
        <w:t>的</w:t>
      </w:r>
      <w:r>
        <w:rPr>
          <w:rFonts w:hint="eastAsia"/>
          <w:sz w:val="32"/>
          <w:szCs w:val="32"/>
        </w:rPr>
        <w:t>安装、使用条件，</w:t>
      </w:r>
      <w:r>
        <w:rPr>
          <w:rFonts w:hint="eastAsia"/>
          <w:sz w:val="32"/>
          <w:szCs w:val="32"/>
          <w:lang w:val="en-US" w:eastAsia="zh-CN"/>
        </w:rPr>
        <w:t>部分</w:t>
      </w:r>
      <w:r>
        <w:rPr>
          <w:rFonts w:hint="eastAsia"/>
          <w:sz w:val="32"/>
          <w:szCs w:val="32"/>
        </w:rPr>
        <w:t>资产未采购</w:t>
      </w:r>
      <w:r>
        <w:rPr>
          <w:rFonts w:hint="eastAsia"/>
          <w:sz w:val="32"/>
          <w:szCs w:val="32"/>
          <w:lang w:eastAsia="zh-CN"/>
        </w:rPr>
        <w:t>，</w:t>
      </w:r>
      <w:r>
        <w:rPr>
          <w:rFonts w:hint="eastAsia"/>
          <w:sz w:val="32"/>
          <w:szCs w:val="32"/>
        </w:rPr>
        <w:t>装备购置完成率</w:t>
      </w:r>
      <w:r>
        <w:rPr>
          <w:rFonts w:hint="eastAsia" w:hAnsi="宋体" w:cstheme="minorBidi"/>
          <w:b w:val="0"/>
          <w:bCs w:val="0"/>
          <w:kern w:val="2"/>
          <w:sz w:val="32"/>
          <w:szCs w:val="32"/>
          <w:highlight w:val="none"/>
          <w:lang w:val="en-US" w:eastAsia="zh-CN" w:bidi="ar-SA"/>
        </w:rPr>
        <w:t>为74%，未</w:t>
      </w:r>
      <w:r>
        <w:rPr>
          <w:rFonts w:hint="eastAsia"/>
          <w:color w:val="000000" w:themeColor="text1"/>
          <w:sz w:val="32"/>
          <w:szCs w:val="32"/>
          <w14:textFill>
            <w14:solidFill>
              <w14:schemeClr w14:val="tx1"/>
            </w14:solidFill>
          </w14:textFill>
        </w:rPr>
        <w:t>达到</w:t>
      </w:r>
      <w:r>
        <w:rPr>
          <w:rFonts w:hint="eastAsia"/>
          <w:b w:val="0"/>
          <w:bCs w:val="0"/>
          <w:sz w:val="32"/>
          <w:szCs w:val="32"/>
          <w:highlight w:val="none"/>
          <w:lang w:val="en-US" w:eastAsia="zh-CN"/>
        </w:rPr>
        <w:t>年度指标值</w:t>
      </w:r>
      <w:r>
        <w:rPr>
          <w:rFonts w:hint="eastAsia"/>
          <w:color w:val="000000" w:themeColor="text1"/>
          <w:sz w:val="32"/>
          <w:szCs w:val="32"/>
          <w:lang w:eastAsia="zh-CN"/>
          <w14:textFill>
            <w14:solidFill>
              <w14:schemeClr w14:val="tx1"/>
            </w14:solidFill>
          </w14:textFill>
        </w:rPr>
        <w:t>。</w:t>
      </w:r>
      <w:r>
        <w:rPr>
          <w:rFonts w:hint="eastAsia" w:hAnsi="宋体"/>
          <w:b w:val="0"/>
          <w:bCs w:val="0"/>
          <w:sz w:val="32"/>
          <w:szCs w:val="32"/>
          <w:highlight w:val="none"/>
        </w:rPr>
        <w:t>指标分值</w:t>
      </w:r>
      <w:r>
        <w:rPr>
          <w:rFonts w:hint="eastAsia" w:hAnsi="宋体"/>
          <w:b w:val="0"/>
          <w:bCs w:val="0"/>
          <w:sz w:val="32"/>
          <w:szCs w:val="32"/>
          <w:highlight w:val="none"/>
          <w:lang w:val="en-US" w:eastAsia="zh-CN"/>
        </w:rPr>
        <w:t>3.12</w:t>
      </w:r>
      <w:r>
        <w:rPr>
          <w:rFonts w:hint="eastAsia" w:hAnsi="宋体"/>
          <w:b w:val="0"/>
          <w:bCs w:val="0"/>
          <w:sz w:val="32"/>
          <w:szCs w:val="32"/>
          <w:highlight w:val="none"/>
        </w:rPr>
        <w:t>分，自评得分为</w:t>
      </w:r>
      <w:r>
        <w:rPr>
          <w:rFonts w:hint="eastAsia" w:hAnsi="宋体"/>
          <w:sz w:val="32"/>
          <w:szCs w:val="32"/>
          <w:lang w:val="en-US" w:eastAsia="zh-CN"/>
        </w:rPr>
        <w:t>2.32</w:t>
      </w:r>
      <w:r>
        <w:rPr>
          <w:rFonts w:hint="eastAsia" w:hAnsi="宋体"/>
          <w:b w:val="0"/>
          <w:bCs w:val="0"/>
          <w:sz w:val="32"/>
          <w:szCs w:val="32"/>
          <w:highlight w:val="none"/>
        </w:rPr>
        <w:t>分</w:t>
      </w:r>
      <w:r>
        <w:rPr>
          <w:rFonts w:hint="eastAsia" w:hAnsi="宋体"/>
          <w:sz w:val="32"/>
          <w:szCs w:val="32"/>
          <w:highlight w:val="none"/>
        </w:rPr>
        <w:t>，得分率为</w:t>
      </w:r>
      <w:r>
        <w:rPr>
          <w:rFonts w:hint="eastAsia" w:hAnsi="宋体"/>
          <w:sz w:val="32"/>
          <w:szCs w:val="32"/>
          <w:highlight w:val="none"/>
          <w:lang w:val="en-US" w:eastAsia="zh-CN"/>
        </w:rPr>
        <w:t>74.36</w:t>
      </w:r>
      <w:r>
        <w:rPr>
          <w:rFonts w:hint="eastAsia" w:hAnsi="宋体" w:cstheme="minorBidi"/>
          <w:b w:val="0"/>
          <w:bCs w:val="0"/>
          <w:kern w:val="2"/>
          <w:sz w:val="32"/>
          <w:szCs w:val="32"/>
          <w:highlight w:val="none"/>
          <w:lang w:val="en-US" w:eastAsia="zh-CN" w:bidi="ar-SA"/>
        </w:rPr>
        <w:t>%。</w:t>
      </w:r>
    </w:p>
    <w:p w14:paraId="33EE4CBF">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宋体" w:eastAsia="仿宋_GB2312" w:cstheme="minorBidi"/>
          <w:b/>
          <w:bCs/>
          <w:kern w:val="2"/>
          <w:sz w:val="32"/>
          <w:szCs w:val="32"/>
          <w:lang w:val="en-US" w:eastAsia="zh-CN" w:bidi="ar-SA"/>
        </w:rPr>
      </w:pPr>
      <w:r>
        <w:rPr>
          <w:rFonts w:hint="eastAsia" w:hAnsi="宋体" w:cstheme="minorBidi"/>
          <w:b/>
          <w:bCs/>
          <w:kern w:val="2"/>
          <w:sz w:val="32"/>
          <w:szCs w:val="32"/>
          <w:lang w:val="en-US" w:eastAsia="zh-CN" w:bidi="ar-SA"/>
        </w:rPr>
        <w:t>②</w:t>
      </w:r>
      <w:r>
        <w:rPr>
          <w:rFonts w:hint="eastAsia" w:ascii="仿宋_GB2312" w:hAnsi="宋体" w:eastAsia="仿宋_GB2312" w:cstheme="minorBidi"/>
          <w:b/>
          <w:bCs/>
          <w:kern w:val="2"/>
          <w:sz w:val="32"/>
          <w:szCs w:val="32"/>
          <w:lang w:val="en-US" w:eastAsia="zh-CN" w:bidi="ar-SA"/>
        </w:rPr>
        <w:t>产出质量指标分析</w:t>
      </w:r>
    </w:p>
    <w:p w14:paraId="15D1414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cstheme="minorBidi"/>
          <w:b/>
          <w:bCs/>
          <w:kern w:val="2"/>
          <w:sz w:val="32"/>
          <w:szCs w:val="32"/>
          <w:highlight w:val="none"/>
          <w:lang w:val="en-US" w:eastAsia="zh-CN" w:bidi="ar-SA"/>
        </w:rPr>
      </w:pPr>
      <w:r>
        <w:rPr>
          <w:rFonts w:hint="eastAsia" w:hAnsi="宋体" w:cstheme="minorBidi"/>
          <w:b/>
          <w:bCs/>
          <w:kern w:val="2"/>
          <w:sz w:val="32"/>
          <w:szCs w:val="32"/>
          <w:highlight w:val="none"/>
          <w:lang w:val="en-US" w:eastAsia="zh-CN" w:bidi="ar-SA"/>
        </w:rPr>
        <w:t>一审服判息诉率：</w:t>
      </w:r>
      <w:r>
        <w:rPr>
          <w:rFonts w:hint="eastAsia"/>
          <w:sz w:val="32"/>
          <w:szCs w:val="32"/>
        </w:rPr>
        <w:t>我院一审服判息诉率</w:t>
      </w:r>
      <w:r>
        <w:rPr>
          <w:rFonts w:hint="eastAsia" w:hAnsi="宋体" w:cstheme="minorBidi"/>
          <w:b w:val="0"/>
          <w:bCs w:val="0"/>
          <w:kern w:val="2"/>
          <w:sz w:val="32"/>
          <w:szCs w:val="32"/>
          <w:lang w:val="en-US" w:eastAsia="zh-CN" w:bidi="ar-SA"/>
        </w:rPr>
        <w:t>年度指标值≥90%，实际完成83.16%，</w:t>
      </w:r>
      <w:r>
        <w:rPr>
          <w:rFonts w:hint="eastAsia"/>
          <w:b w:val="0"/>
          <w:bCs w:val="0"/>
          <w:sz w:val="32"/>
          <w:szCs w:val="32"/>
          <w:highlight w:val="none"/>
        </w:rPr>
        <w:t>达到</w:t>
      </w:r>
      <w:r>
        <w:rPr>
          <w:rFonts w:hint="eastAsia"/>
          <w:b w:val="0"/>
          <w:bCs w:val="0"/>
          <w:sz w:val="32"/>
          <w:szCs w:val="32"/>
          <w:highlight w:val="none"/>
          <w:lang w:val="en-US" w:eastAsia="zh-CN"/>
        </w:rPr>
        <w:t>年度指标</w:t>
      </w:r>
      <w:r>
        <w:rPr>
          <w:rFonts w:hint="eastAsia"/>
          <w:b w:val="0"/>
          <w:bCs w:val="0"/>
          <w:sz w:val="32"/>
          <w:szCs w:val="32"/>
          <w:highlight w:val="none"/>
        </w:rPr>
        <w:t>值</w:t>
      </w:r>
      <w:r>
        <w:rPr>
          <w:rFonts w:hint="eastAsia"/>
          <w:b w:val="0"/>
          <w:bCs w:val="0"/>
          <w:sz w:val="32"/>
          <w:szCs w:val="32"/>
          <w:highlight w:val="none"/>
          <w:lang w:eastAsia="zh-CN"/>
        </w:rPr>
        <w:t>。</w:t>
      </w:r>
      <w:r>
        <w:rPr>
          <w:rFonts w:hint="eastAsia" w:hAnsi="宋体"/>
          <w:sz w:val="32"/>
          <w:szCs w:val="32"/>
        </w:rPr>
        <w:t>指标分值</w:t>
      </w:r>
      <w:r>
        <w:rPr>
          <w:rFonts w:hint="eastAsia" w:hAnsi="宋体"/>
          <w:sz w:val="32"/>
          <w:szCs w:val="32"/>
          <w:lang w:val="en-US" w:eastAsia="zh-CN"/>
        </w:rPr>
        <w:t>3.12</w:t>
      </w:r>
      <w:r>
        <w:rPr>
          <w:rFonts w:hint="eastAsia" w:hAnsi="宋体"/>
          <w:sz w:val="32"/>
          <w:szCs w:val="32"/>
        </w:rPr>
        <w:t>分，自评得分为</w:t>
      </w:r>
      <w:r>
        <w:rPr>
          <w:rFonts w:hint="eastAsia" w:hAnsi="宋体"/>
          <w:sz w:val="32"/>
          <w:szCs w:val="32"/>
          <w:lang w:val="en-US" w:eastAsia="zh-CN"/>
        </w:rPr>
        <w:t>3.12</w:t>
      </w:r>
      <w:r>
        <w:rPr>
          <w:rFonts w:hint="eastAsia" w:hAnsi="宋体"/>
          <w:sz w:val="32"/>
          <w:szCs w:val="32"/>
        </w:rPr>
        <w:t>分，得分率为</w:t>
      </w:r>
      <w:r>
        <w:rPr>
          <w:rFonts w:hint="eastAsia" w:hAnsi="宋体" w:cstheme="minorBidi"/>
          <w:b w:val="0"/>
          <w:bCs w:val="0"/>
          <w:kern w:val="2"/>
          <w:sz w:val="32"/>
          <w:szCs w:val="32"/>
          <w:lang w:val="en-US" w:eastAsia="zh-CN" w:bidi="ar-SA"/>
        </w:rPr>
        <w:t>100</w:t>
      </w:r>
      <w:r>
        <w:rPr>
          <w:rFonts w:hint="eastAsia" w:hAnsi="宋体"/>
          <w:sz w:val="32"/>
          <w:szCs w:val="32"/>
        </w:rPr>
        <w:t>%。</w:t>
      </w:r>
    </w:p>
    <w:p w14:paraId="6D46F66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sz w:val="32"/>
          <w:szCs w:val="32"/>
        </w:rPr>
      </w:pPr>
      <w:r>
        <w:rPr>
          <w:rFonts w:hint="eastAsia" w:hAnsi="宋体" w:cstheme="minorBidi"/>
          <w:b/>
          <w:bCs/>
          <w:kern w:val="2"/>
          <w:sz w:val="32"/>
          <w:szCs w:val="32"/>
          <w:lang w:val="en-US" w:eastAsia="zh-CN" w:bidi="ar-SA"/>
        </w:rPr>
        <w:t>上诉案件改判率：</w:t>
      </w:r>
      <w:r>
        <w:rPr>
          <w:rFonts w:hint="eastAsia"/>
          <w:sz w:val="32"/>
          <w:szCs w:val="32"/>
        </w:rPr>
        <w:t>我院上诉案件改判率</w:t>
      </w:r>
      <w:r>
        <w:rPr>
          <w:rFonts w:hint="eastAsia" w:hAnsi="宋体" w:cstheme="minorBidi"/>
          <w:b w:val="0"/>
          <w:bCs w:val="0"/>
          <w:kern w:val="2"/>
          <w:sz w:val="32"/>
          <w:szCs w:val="32"/>
          <w:lang w:val="en-US" w:eastAsia="zh-CN" w:bidi="ar-SA"/>
        </w:rPr>
        <w:t>年度指标值≤7%，实际完成8.74%，</w:t>
      </w:r>
      <w:r>
        <w:rPr>
          <w:rFonts w:hint="eastAsia"/>
          <w:b w:val="0"/>
          <w:bCs w:val="0"/>
          <w:sz w:val="32"/>
          <w:szCs w:val="32"/>
          <w:highlight w:val="none"/>
        </w:rPr>
        <w:t>达到</w:t>
      </w:r>
      <w:r>
        <w:rPr>
          <w:rFonts w:hint="eastAsia"/>
          <w:b w:val="0"/>
          <w:bCs w:val="0"/>
          <w:sz w:val="32"/>
          <w:szCs w:val="32"/>
          <w:highlight w:val="none"/>
          <w:lang w:val="en-US" w:eastAsia="zh-CN"/>
        </w:rPr>
        <w:t>年度指标值</w:t>
      </w:r>
      <w:r>
        <w:rPr>
          <w:rFonts w:hint="eastAsia"/>
          <w:b w:val="0"/>
          <w:bCs w:val="0"/>
          <w:sz w:val="32"/>
          <w:szCs w:val="32"/>
          <w:highlight w:val="none"/>
          <w:lang w:eastAsia="zh-CN"/>
        </w:rPr>
        <w:t>。</w:t>
      </w:r>
      <w:r>
        <w:rPr>
          <w:rFonts w:hint="eastAsia" w:hAnsi="宋体"/>
          <w:sz w:val="32"/>
          <w:szCs w:val="32"/>
        </w:rPr>
        <w:t>指标分值</w:t>
      </w:r>
      <w:r>
        <w:rPr>
          <w:rFonts w:hint="eastAsia" w:hAnsi="宋体"/>
          <w:sz w:val="32"/>
          <w:szCs w:val="32"/>
          <w:lang w:val="en-US" w:eastAsia="zh-CN"/>
        </w:rPr>
        <w:t>3.12</w:t>
      </w:r>
      <w:r>
        <w:rPr>
          <w:rFonts w:hint="eastAsia" w:hAnsi="宋体"/>
          <w:sz w:val="32"/>
          <w:szCs w:val="32"/>
        </w:rPr>
        <w:t>分，自评得分为</w:t>
      </w:r>
      <w:r>
        <w:rPr>
          <w:rFonts w:hint="eastAsia" w:hAnsi="宋体"/>
          <w:sz w:val="32"/>
          <w:szCs w:val="32"/>
          <w:lang w:val="en-US" w:eastAsia="zh-CN"/>
        </w:rPr>
        <w:t>3.12</w:t>
      </w:r>
      <w:r>
        <w:rPr>
          <w:rFonts w:hint="eastAsia" w:hAnsi="宋体"/>
          <w:sz w:val="32"/>
          <w:szCs w:val="32"/>
        </w:rPr>
        <w:t>分，得分率为</w:t>
      </w:r>
      <w:r>
        <w:rPr>
          <w:rFonts w:hint="eastAsia" w:hAnsi="宋体" w:cstheme="minorBidi"/>
          <w:b w:val="0"/>
          <w:bCs w:val="0"/>
          <w:kern w:val="2"/>
          <w:sz w:val="32"/>
          <w:szCs w:val="32"/>
          <w:lang w:val="en-US" w:eastAsia="zh-CN" w:bidi="ar-SA"/>
        </w:rPr>
        <w:t>100</w:t>
      </w:r>
      <w:r>
        <w:rPr>
          <w:rFonts w:hint="eastAsia" w:hAnsi="宋体"/>
          <w:sz w:val="32"/>
          <w:szCs w:val="32"/>
        </w:rPr>
        <w:t>%。</w:t>
      </w:r>
    </w:p>
    <w:p w14:paraId="37704816">
      <w:pPr>
        <w:pageBreakBefore w:val="0"/>
        <w:widowControl w:val="0"/>
        <w:kinsoku/>
        <w:wordWrap/>
        <w:overflowPunct/>
        <w:topLinePunct w:val="0"/>
        <w:autoSpaceDE/>
        <w:autoSpaceDN/>
        <w:bidi w:val="0"/>
        <w:adjustRightInd/>
        <w:snapToGrid/>
        <w:spacing w:line="560" w:lineRule="exact"/>
        <w:ind w:firstLine="643" w:firstLineChars="200"/>
        <w:textAlignment w:val="auto"/>
        <w:rPr>
          <w:b/>
          <w:bCs/>
          <w:sz w:val="32"/>
          <w:szCs w:val="32"/>
        </w:rPr>
      </w:pPr>
      <w:r>
        <w:rPr>
          <w:rFonts w:hint="eastAsia" w:hAnsi="宋体" w:cstheme="minorBidi"/>
          <w:b/>
          <w:bCs/>
          <w:kern w:val="2"/>
          <w:sz w:val="32"/>
          <w:szCs w:val="32"/>
          <w:lang w:val="en-US" w:eastAsia="zh-CN" w:bidi="ar-SA"/>
        </w:rPr>
        <w:t>购置装备验收合格率：</w:t>
      </w:r>
      <w:r>
        <w:rPr>
          <w:rFonts w:hint="eastAsia"/>
          <w:color w:val="000000" w:themeColor="text1"/>
          <w:sz w:val="32"/>
          <w:szCs w:val="32"/>
          <w14:textFill>
            <w14:solidFill>
              <w14:schemeClr w14:val="tx1"/>
            </w14:solidFill>
          </w14:textFill>
        </w:rPr>
        <w:t>我院所有</w:t>
      </w:r>
      <w:r>
        <w:rPr>
          <w:rFonts w:hint="eastAsia"/>
          <w:color w:val="000000" w:themeColor="text1"/>
          <w:sz w:val="32"/>
          <w:szCs w:val="32"/>
          <w:lang w:val="en-US" w:eastAsia="zh-CN"/>
          <w14:textFill>
            <w14:solidFill>
              <w14:schemeClr w14:val="tx1"/>
            </w14:solidFill>
          </w14:textFill>
        </w:rPr>
        <w:t>采购</w:t>
      </w:r>
      <w:r>
        <w:rPr>
          <w:rFonts w:hint="eastAsia"/>
          <w:color w:val="000000" w:themeColor="text1"/>
          <w:sz w:val="32"/>
          <w:szCs w:val="32"/>
          <w14:textFill>
            <w14:solidFill>
              <w14:schemeClr w14:val="tx1"/>
            </w14:solidFill>
          </w14:textFill>
        </w:rPr>
        <w:t>资产均通过验收，符合相关质量要求，验收合格率为100%</w:t>
      </w:r>
      <w:r>
        <w:rPr>
          <w:rFonts w:hint="eastAsia"/>
          <w:color w:val="000000" w:themeColor="text1"/>
          <w:sz w:val="32"/>
          <w:szCs w:val="32"/>
          <w:lang w:eastAsia="zh-CN"/>
          <w14:textFill>
            <w14:solidFill>
              <w14:schemeClr w14:val="tx1"/>
            </w14:solidFill>
          </w14:textFill>
        </w:rPr>
        <w:t>，</w:t>
      </w:r>
      <w:r>
        <w:rPr>
          <w:rFonts w:hint="eastAsia"/>
          <w:b w:val="0"/>
          <w:bCs w:val="0"/>
          <w:sz w:val="32"/>
          <w:szCs w:val="32"/>
          <w:highlight w:val="none"/>
        </w:rPr>
        <w:t>达到</w:t>
      </w:r>
      <w:r>
        <w:rPr>
          <w:rFonts w:hint="eastAsia"/>
          <w:b w:val="0"/>
          <w:bCs w:val="0"/>
          <w:sz w:val="32"/>
          <w:szCs w:val="32"/>
          <w:highlight w:val="none"/>
          <w:lang w:val="en-US" w:eastAsia="zh-CN"/>
        </w:rPr>
        <w:t>年度指标值</w:t>
      </w:r>
      <w:r>
        <w:rPr>
          <w:rFonts w:hint="eastAsia"/>
          <w:b w:val="0"/>
          <w:bCs w:val="0"/>
          <w:sz w:val="32"/>
          <w:szCs w:val="32"/>
          <w:highlight w:val="none"/>
          <w:lang w:eastAsia="zh-CN"/>
        </w:rPr>
        <w:t>。</w:t>
      </w:r>
      <w:r>
        <w:rPr>
          <w:rFonts w:hint="eastAsia" w:hAnsi="宋体"/>
          <w:color w:val="000000" w:themeColor="text1"/>
          <w:sz w:val="32"/>
          <w:szCs w:val="32"/>
          <w14:textFill>
            <w14:solidFill>
              <w14:schemeClr w14:val="tx1"/>
            </w14:solidFill>
          </w14:textFill>
        </w:rPr>
        <w:t>该指标分值</w:t>
      </w:r>
      <w:r>
        <w:rPr>
          <w:rFonts w:hint="eastAsia" w:hAnsi="宋体"/>
          <w:sz w:val="32"/>
          <w:szCs w:val="32"/>
          <w:lang w:val="en-US" w:eastAsia="zh-CN"/>
        </w:rPr>
        <w:t>3.12</w:t>
      </w:r>
      <w:r>
        <w:rPr>
          <w:rFonts w:hint="eastAsia" w:hAnsi="宋体"/>
          <w:color w:val="000000" w:themeColor="text1"/>
          <w:sz w:val="32"/>
          <w:szCs w:val="32"/>
          <w14:textFill>
            <w14:solidFill>
              <w14:schemeClr w14:val="tx1"/>
            </w14:solidFill>
          </w14:textFill>
        </w:rPr>
        <w:t>分，自评得分为</w:t>
      </w:r>
      <w:r>
        <w:rPr>
          <w:rFonts w:hint="eastAsia" w:hAnsi="宋体"/>
          <w:sz w:val="32"/>
          <w:szCs w:val="32"/>
          <w:lang w:val="en-US" w:eastAsia="zh-CN"/>
        </w:rPr>
        <w:t>3.12</w:t>
      </w:r>
      <w:r>
        <w:rPr>
          <w:rFonts w:hint="eastAsia" w:hAnsi="宋体"/>
          <w:color w:val="000000" w:themeColor="text1"/>
          <w:sz w:val="32"/>
          <w:szCs w:val="32"/>
          <w14:textFill>
            <w14:solidFill>
              <w14:schemeClr w14:val="tx1"/>
            </w14:solidFill>
          </w14:textFill>
        </w:rPr>
        <w:t>分，得分率为100%。</w:t>
      </w:r>
    </w:p>
    <w:p w14:paraId="3DFAB3BC">
      <w:pPr>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hAnsi="宋体" w:cstheme="minorBidi"/>
          <w:b/>
          <w:bCs/>
          <w:kern w:val="2"/>
          <w:sz w:val="32"/>
          <w:szCs w:val="32"/>
          <w:lang w:val="en-US" w:eastAsia="zh-CN" w:bidi="ar-SA"/>
        </w:rPr>
        <w:t>③</w:t>
      </w:r>
      <w:r>
        <w:rPr>
          <w:rFonts w:hint="eastAsia" w:ascii="仿宋_GB2312" w:hAnsi="宋体" w:eastAsia="仿宋_GB2312" w:cstheme="minorBidi"/>
          <w:b/>
          <w:bCs/>
          <w:kern w:val="2"/>
          <w:sz w:val="32"/>
          <w:szCs w:val="32"/>
          <w:lang w:val="en-US" w:eastAsia="zh-CN" w:bidi="ar-SA"/>
        </w:rPr>
        <w:t>产出</w:t>
      </w:r>
      <w:r>
        <w:rPr>
          <w:rFonts w:hint="eastAsia" w:hAnsi="宋体" w:cstheme="minorBidi"/>
          <w:b/>
          <w:bCs/>
          <w:kern w:val="2"/>
          <w:sz w:val="32"/>
          <w:szCs w:val="32"/>
          <w:lang w:val="en-US" w:eastAsia="zh-CN" w:bidi="ar-SA"/>
        </w:rPr>
        <w:t>时效</w:t>
      </w:r>
      <w:r>
        <w:rPr>
          <w:rFonts w:hint="eastAsia" w:ascii="仿宋_GB2312" w:hAnsi="宋体" w:eastAsia="仿宋_GB2312" w:cstheme="minorBidi"/>
          <w:b/>
          <w:bCs/>
          <w:kern w:val="2"/>
          <w:sz w:val="32"/>
          <w:szCs w:val="32"/>
          <w:lang w:val="en-US" w:eastAsia="zh-CN" w:bidi="ar-SA"/>
        </w:rPr>
        <w:t>指标分析</w:t>
      </w:r>
    </w:p>
    <w:p w14:paraId="194FD0FA">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b w:val="0"/>
          <w:bCs w:val="0"/>
          <w:sz w:val="32"/>
          <w:szCs w:val="32"/>
        </w:rPr>
      </w:pPr>
      <w:r>
        <w:rPr>
          <w:rFonts w:hint="default"/>
          <w:b/>
          <w:bCs/>
          <w:sz w:val="32"/>
          <w:szCs w:val="32"/>
          <w:lang w:val="en-US" w:eastAsia="zh-CN"/>
        </w:rPr>
        <w:t>法定审限内结案率</w:t>
      </w:r>
      <w:r>
        <w:rPr>
          <w:rFonts w:hint="eastAsia"/>
          <w:b/>
          <w:bCs/>
          <w:sz w:val="32"/>
          <w:szCs w:val="32"/>
          <w:lang w:val="en-US" w:eastAsia="zh-CN"/>
        </w:rPr>
        <w:t>：</w:t>
      </w:r>
      <w:r>
        <w:rPr>
          <w:rFonts w:hint="eastAsia"/>
          <w:sz w:val="32"/>
          <w:szCs w:val="32"/>
        </w:rPr>
        <w:t>我院不断提升办案质效，法定审限内结案率为</w:t>
      </w:r>
      <w:r>
        <w:rPr>
          <w:rFonts w:hint="eastAsia"/>
          <w:sz w:val="32"/>
          <w:szCs w:val="32"/>
          <w:lang w:val="en-US" w:eastAsia="zh-CN"/>
        </w:rPr>
        <w:t>100</w:t>
      </w:r>
      <w:r>
        <w:rPr>
          <w:rFonts w:hint="eastAsia"/>
          <w:sz w:val="32"/>
          <w:szCs w:val="32"/>
        </w:rPr>
        <w:t>%，达到</w:t>
      </w:r>
      <w:r>
        <w:rPr>
          <w:rFonts w:hint="eastAsia"/>
          <w:sz w:val="32"/>
          <w:szCs w:val="32"/>
          <w:lang w:val="en-US" w:eastAsia="zh-CN"/>
        </w:rPr>
        <w:t>年度指标值</w:t>
      </w:r>
      <w:r>
        <w:rPr>
          <w:rFonts w:hint="eastAsia"/>
          <w:sz w:val="32"/>
          <w:szCs w:val="32"/>
          <w:lang w:eastAsia="zh-CN"/>
        </w:rPr>
        <w:t>。</w:t>
      </w:r>
      <w:r>
        <w:rPr>
          <w:rFonts w:hint="eastAsia" w:hAnsi="宋体"/>
          <w:b w:val="0"/>
          <w:bCs w:val="0"/>
          <w:sz w:val="32"/>
          <w:szCs w:val="32"/>
        </w:rPr>
        <w:t>该指标</w:t>
      </w:r>
      <w:r>
        <w:rPr>
          <w:rFonts w:hint="eastAsia" w:hAnsi="宋体"/>
          <w:sz w:val="32"/>
          <w:szCs w:val="32"/>
          <w:lang w:val="en-US" w:eastAsia="zh-CN"/>
        </w:rPr>
        <w:t>3.12</w:t>
      </w:r>
      <w:r>
        <w:rPr>
          <w:rFonts w:hint="eastAsia" w:hAnsi="宋体"/>
          <w:b w:val="0"/>
          <w:bCs w:val="0"/>
          <w:sz w:val="32"/>
          <w:szCs w:val="32"/>
        </w:rPr>
        <w:t>分，自评得分为</w:t>
      </w:r>
      <w:r>
        <w:rPr>
          <w:rFonts w:hint="eastAsia" w:hAnsi="宋体"/>
          <w:sz w:val="32"/>
          <w:szCs w:val="32"/>
          <w:lang w:val="en-US" w:eastAsia="zh-CN"/>
        </w:rPr>
        <w:t>3.12</w:t>
      </w:r>
      <w:r>
        <w:rPr>
          <w:rFonts w:hint="eastAsia" w:hAnsi="宋体"/>
          <w:b w:val="0"/>
          <w:bCs w:val="0"/>
          <w:sz w:val="32"/>
          <w:szCs w:val="32"/>
        </w:rPr>
        <w:t>分，得分率为</w:t>
      </w:r>
      <w:r>
        <w:rPr>
          <w:rFonts w:hint="eastAsia" w:hAnsi="宋体"/>
          <w:b w:val="0"/>
          <w:bCs w:val="0"/>
          <w:sz w:val="32"/>
          <w:szCs w:val="32"/>
          <w:lang w:val="en-US" w:eastAsia="zh-CN"/>
        </w:rPr>
        <w:t>100%</w:t>
      </w:r>
      <w:r>
        <w:rPr>
          <w:rFonts w:hint="eastAsia" w:hAnsi="宋体"/>
          <w:b w:val="0"/>
          <w:bCs w:val="0"/>
          <w:sz w:val="32"/>
          <w:szCs w:val="32"/>
        </w:rPr>
        <w:t>。</w:t>
      </w:r>
    </w:p>
    <w:p w14:paraId="3E4B6B15">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eastAsia="仿宋_GB2312"/>
          <w:b/>
          <w:bCs/>
          <w:sz w:val="32"/>
          <w:szCs w:val="32"/>
          <w:highlight w:val="none"/>
          <w:lang w:val="en-US" w:eastAsia="zh-CN"/>
        </w:rPr>
      </w:pPr>
      <w:r>
        <w:rPr>
          <w:rFonts w:hint="eastAsia"/>
          <w:b/>
          <w:bCs/>
          <w:sz w:val="32"/>
          <w:szCs w:val="32"/>
          <w:lang w:val="en-US" w:eastAsia="zh-CN"/>
        </w:rPr>
        <w:t>装备购置及时性：</w:t>
      </w:r>
      <w:r>
        <w:rPr>
          <w:rFonts w:hint="eastAsia"/>
          <w:color w:val="000000" w:themeColor="text1"/>
          <w:sz w:val="32"/>
          <w:szCs w:val="32"/>
          <w14:textFill>
            <w14:solidFill>
              <w14:schemeClr w14:val="tx1"/>
            </w14:solidFill>
          </w14:textFill>
        </w:rPr>
        <w:t>我院</w:t>
      </w:r>
      <w:r>
        <w:rPr>
          <w:rFonts w:hint="eastAsia"/>
          <w:color w:val="000000" w:themeColor="text1"/>
          <w:sz w:val="32"/>
          <w:szCs w:val="32"/>
          <w:lang w:val="en-US" w:eastAsia="zh-CN"/>
          <w14:textFill>
            <w14:solidFill>
              <w14:schemeClr w14:val="tx1"/>
            </w14:solidFill>
          </w14:textFill>
        </w:rPr>
        <w:t>采购</w:t>
      </w:r>
      <w:r>
        <w:rPr>
          <w:rFonts w:hint="eastAsia"/>
          <w:color w:val="000000" w:themeColor="text1"/>
          <w:sz w:val="32"/>
          <w:szCs w:val="32"/>
          <w14:textFill>
            <w14:solidFill>
              <w14:schemeClr w14:val="tx1"/>
            </w14:solidFill>
          </w14:textFill>
        </w:rPr>
        <w:t>资产</w:t>
      </w:r>
      <w:r>
        <w:rPr>
          <w:rFonts w:hint="eastAsia"/>
          <w:color w:val="000000" w:themeColor="text1"/>
          <w:sz w:val="32"/>
          <w:szCs w:val="32"/>
          <w:lang w:val="en-US" w:eastAsia="zh-CN"/>
          <w14:textFill>
            <w14:solidFill>
              <w14:schemeClr w14:val="tx1"/>
            </w14:solidFill>
          </w14:textFill>
        </w:rPr>
        <w:t>及时，已采购的资产全部</w:t>
      </w:r>
      <w:r>
        <w:rPr>
          <w:rFonts w:hint="eastAsia"/>
          <w:color w:val="000000" w:themeColor="text1"/>
          <w:sz w:val="32"/>
          <w:szCs w:val="32"/>
          <w14:textFill>
            <w14:solidFill>
              <w14:schemeClr w14:val="tx1"/>
            </w14:solidFill>
          </w14:textFill>
        </w:rPr>
        <w:t>通过验收，达到</w:t>
      </w:r>
      <w:r>
        <w:rPr>
          <w:rFonts w:hint="eastAsia"/>
          <w:b w:val="0"/>
          <w:bCs w:val="0"/>
          <w:sz w:val="32"/>
          <w:szCs w:val="32"/>
          <w:highlight w:val="none"/>
          <w:lang w:val="en-US" w:eastAsia="zh-CN"/>
        </w:rPr>
        <w:t>年度指标值</w:t>
      </w:r>
      <w:r>
        <w:rPr>
          <w:rFonts w:hint="eastAsia"/>
          <w:color w:val="000000" w:themeColor="text1"/>
          <w:sz w:val="32"/>
          <w:szCs w:val="32"/>
          <w:lang w:eastAsia="zh-CN"/>
          <w14:textFill>
            <w14:solidFill>
              <w14:schemeClr w14:val="tx1"/>
            </w14:solidFill>
          </w14:textFill>
        </w:rPr>
        <w:t>。</w:t>
      </w:r>
      <w:r>
        <w:rPr>
          <w:rFonts w:hint="eastAsia" w:hAnsi="宋体"/>
          <w:color w:val="000000" w:themeColor="text1"/>
          <w:sz w:val="32"/>
          <w:szCs w:val="32"/>
          <w14:textFill>
            <w14:solidFill>
              <w14:schemeClr w14:val="tx1"/>
            </w14:solidFill>
          </w14:textFill>
        </w:rPr>
        <w:t>该指标分值</w:t>
      </w:r>
      <w:r>
        <w:rPr>
          <w:rFonts w:hint="eastAsia" w:hAnsi="宋体"/>
          <w:sz w:val="32"/>
          <w:szCs w:val="32"/>
          <w:lang w:val="en-US" w:eastAsia="zh-CN"/>
        </w:rPr>
        <w:t>3.12</w:t>
      </w:r>
      <w:r>
        <w:rPr>
          <w:rFonts w:hint="eastAsia" w:hAnsi="宋体"/>
          <w:color w:val="000000" w:themeColor="text1"/>
          <w:sz w:val="32"/>
          <w:szCs w:val="32"/>
          <w14:textFill>
            <w14:solidFill>
              <w14:schemeClr w14:val="tx1"/>
            </w14:solidFill>
          </w14:textFill>
        </w:rPr>
        <w:t>分，自评得分为</w:t>
      </w:r>
      <w:r>
        <w:rPr>
          <w:rFonts w:hint="eastAsia" w:hAnsi="宋体"/>
          <w:sz w:val="32"/>
          <w:szCs w:val="32"/>
          <w:lang w:val="en-US" w:eastAsia="zh-CN"/>
        </w:rPr>
        <w:t>3.12</w:t>
      </w:r>
      <w:r>
        <w:rPr>
          <w:rFonts w:hint="eastAsia" w:hAnsi="宋体"/>
          <w:color w:val="000000" w:themeColor="text1"/>
          <w:sz w:val="32"/>
          <w:szCs w:val="32"/>
          <w14:textFill>
            <w14:solidFill>
              <w14:schemeClr w14:val="tx1"/>
            </w14:solidFill>
          </w14:textFill>
        </w:rPr>
        <w:t>分，得分率</w:t>
      </w:r>
      <w:r>
        <w:rPr>
          <w:rFonts w:hint="eastAsia" w:hAnsi="宋体"/>
          <w:color w:val="000000" w:themeColor="text1"/>
          <w:sz w:val="32"/>
          <w:szCs w:val="32"/>
          <w:highlight w:val="none"/>
          <w14:textFill>
            <w14:solidFill>
              <w14:schemeClr w14:val="tx1"/>
            </w14:solidFill>
          </w14:textFill>
        </w:rPr>
        <w:t>为100%</w:t>
      </w:r>
      <w:r>
        <w:rPr>
          <w:rFonts w:hint="eastAsia" w:hAnsi="宋体"/>
          <w:color w:val="000000" w:themeColor="text1"/>
          <w:sz w:val="32"/>
          <w:szCs w:val="32"/>
          <w:highlight w:val="none"/>
          <w:lang w:eastAsia="zh-CN"/>
          <w14:textFill>
            <w14:solidFill>
              <w14:schemeClr w14:val="tx1"/>
            </w14:solidFill>
          </w14:textFill>
        </w:rPr>
        <w:t>。</w:t>
      </w:r>
    </w:p>
    <w:p w14:paraId="16AE88C8">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b w:val="0"/>
          <w:bCs w:val="0"/>
          <w:sz w:val="32"/>
          <w:szCs w:val="32"/>
          <w:highlight w:val="none"/>
        </w:rPr>
      </w:pPr>
      <w:r>
        <w:rPr>
          <w:rFonts w:hint="default"/>
          <w:b/>
          <w:bCs/>
          <w:sz w:val="32"/>
          <w:szCs w:val="32"/>
          <w:highlight w:val="none"/>
          <w:lang w:val="en-US" w:eastAsia="zh-CN"/>
        </w:rPr>
        <w:t>培训工作开展及时性</w:t>
      </w:r>
      <w:r>
        <w:rPr>
          <w:rFonts w:hint="eastAsia"/>
          <w:b/>
          <w:bCs/>
          <w:sz w:val="32"/>
          <w:szCs w:val="32"/>
          <w:highlight w:val="none"/>
          <w:lang w:val="en-US" w:eastAsia="zh-CN"/>
        </w:rPr>
        <w:t>：</w:t>
      </w:r>
      <w:r>
        <w:rPr>
          <w:rFonts w:hint="eastAsia" w:hAnsi="宋体" w:cstheme="minorBidi"/>
          <w:b w:val="0"/>
          <w:bCs w:val="0"/>
          <w:kern w:val="2"/>
          <w:sz w:val="32"/>
          <w:szCs w:val="32"/>
          <w:highlight w:val="none"/>
          <w:lang w:val="en-US" w:eastAsia="zh-CN" w:bidi="ar-SA"/>
        </w:rPr>
        <w:t>我院及时组织全岗全员教育培训，举办或参加各类培训班46批114人次，开展“大兴学习之风·法观纵横”系列讲座4场次，进行“知重负重·苦干实干”等专题交流研讨6次，常态化组织开展优秀裁判文书评选、庭审记录比赛等岗位练兵活动，把干警素质提升融入日常、抓在经常、做在平常，</w:t>
      </w:r>
      <w:r>
        <w:rPr>
          <w:rFonts w:hint="eastAsia"/>
          <w:color w:val="000000" w:themeColor="text1"/>
          <w:sz w:val="32"/>
          <w:szCs w:val="32"/>
          <w:highlight w:val="none"/>
          <w14:textFill>
            <w14:solidFill>
              <w14:schemeClr w14:val="tx1"/>
            </w14:solidFill>
          </w14:textFill>
        </w:rPr>
        <w:t>达到</w:t>
      </w:r>
      <w:r>
        <w:rPr>
          <w:rFonts w:hint="eastAsia"/>
          <w:b w:val="0"/>
          <w:bCs w:val="0"/>
          <w:sz w:val="32"/>
          <w:szCs w:val="32"/>
          <w:highlight w:val="none"/>
          <w:lang w:val="en-US" w:eastAsia="zh-CN"/>
        </w:rPr>
        <w:t>年度指标</w:t>
      </w:r>
      <w:r>
        <w:rPr>
          <w:rFonts w:hint="eastAsia"/>
          <w:color w:val="000000" w:themeColor="text1"/>
          <w:sz w:val="32"/>
          <w:szCs w:val="32"/>
          <w:highlight w:val="none"/>
          <w14:textFill>
            <w14:solidFill>
              <w14:schemeClr w14:val="tx1"/>
            </w14:solidFill>
          </w14:textFill>
        </w:rPr>
        <w:t>值</w:t>
      </w:r>
      <w:r>
        <w:rPr>
          <w:rFonts w:hint="eastAsia"/>
          <w:color w:val="000000" w:themeColor="text1"/>
          <w:sz w:val="32"/>
          <w:szCs w:val="32"/>
          <w:highlight w:val="none"/>
          <w:lang w:eastAsia="zh-CN"/>
          <w14:textFill>
            <w14:solidFill>
              <w14:schemeClr w14:val="tx1"/>
            </w14:solidFill>
          </w14:textFill>
        </w:rPr>
        <w:t>。</w:t>
      </w:r>
      <w:r>
        <w:rPr>
          <w:rFonts w:hint="eastAsia" w:hAnsi="宋体"/>
          <w:b w:val="0"/>
          <w:bCs w:val="0"/>
          <w:sz w:val="32"/>
          <w:szCs w:val="32"/>
          <w:highlight w:val="none"/>
        </w:rPr>
        <w:t>该指标分值</w:t>
      </w:r>
      <w:r>
        <w:rPr>
          <w:rFonts w:hint="eastAsia" w:hAnsi="宋体"/>
          <w:sz w:val="32"/>
          <w:szCs w:val="32"/>
          <w:highlight w:val="none"/>
          <w:lang w:val="en-US" w:eastAsia="zh-CN"/>
        </w:rPr>
        <w:t>3.12</w:t>
      </w:r>
      <w:r>
        <w:rPr>
          <w:rFonts w:hint="eastAsia" w:hAnsi="宋体"/>
          <w:b w:val="0"/>
          <w:bCs w:val="0"/>
          <w:sz w:val="32"/>
          <w:szCs w:val="32"/>
          <w:highlight w:val="none"/>
        </w:rPr>
        <w:t>分，自评得分为</w:t>
      </w:r>
      <w:r>
        <w:rPr>
          <w:rFonts w:hint="eastAsia" w:hAnsi="宋体"/>
          <w:sz w:val="32"/>
          <w:szCs w:val="32"/>
          <w:highlight w:val="none"/>
          <w:lang w:val="en-US" w:eastAsia="zh-CN"/>
        </w:rPr>
        <w:t>3.12</w:t>
      </w:r>
      <w:r>
        <w:rPr>
          <w:rFonts w:hint="eastAsia" w:hAnsi="宋体"/>
          <w:b w:val="0"/>
          <w:bCs w:val="0"/>
          <w:sz w:val="32"/>
          <w:szCs w:val="32"/>
          <w:highlight w:val="none"/>
        </w:rPr>
        <w:t>分，得分率为</w:t>
      </w:r>
      <w:r>
        <w:rPr>
          <w:rFonts w:hint="eastAsia" w:hAnsi="宋体"/>
          <w:b w:val="0"/>
          <w:bCs w:val="0"/>
          <w:sz w:val="32"/>
          <w:szCs w:val="32"/>
          <w:highlight w:val="none"/>
          <w:lang w:val="en-US" w:eastAsia="zh-CN"/>
        </w:rPr>
        <w:t>100%</w:t>
      </w:r>
      <w:r>
        <w:rPr>
          <w:rFonts w:hint="eastAsia" w:hAnsi="宋体"/>
          <w:b w:val="0"/>
          <w:bCs w:val="0"/>
          <w:sz w:val="32"/>
          <w:szCs w:val="32"/>
          <w:highlight w:val="none"/>
        </w:rPr>
        <w:t>。</w:t>
      </w:r>
    </w:p>
    <w:p w14:paraId="6D4629D1">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theme="minorBidi"/>
          <w:b/>
          <w:bCs/>
          <w:kern w:val="2"/>
          <w:sz w:val="32"/>
          <w:szCs w:val="32"/>
          <w:lang w:val="en-US" w:eastAsia="zh-CN" w:bidi="ar-SA"/>
        </w:rPr>
      </w:pPr>
      <w:r>
        <w:rPr>
          <w:rFonts w:hint="eastAsia" w:cstheme="minorBidi"/>
          <w:b/>
          <w:bCs/>
          <w:kern w:val="2"/>
          <w:sz w:val="32"/>
          <w:szCs w:val="32"/>
          <w:lang w:val="en-US" w:eastAsia="zh-CN" w:bidi="ar-SA"/>
        </w:rPr>
        <w:t>④产出成本指标分析</w:t>
      </w:r>
    </w:p>
    <w:p w14:paraId="6CC4624E">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eastAsia="仿宋_GB2312"/>
          <w:b/>
          <w:bCs/>
          <w:sz w:val="32"/>
          <w:szCs w:val="32"/>
          <w:lang w:eastAsia="zh-CN"/>
        </w:rPr>
      </w:pPr>
      <w:r>
        <w:rPr>
          <w:rFonts w:hint="default" w:ascii="仿宋_GB2312" w:hAnsi="仿宋_GB2312" w:eastAsia="仿宋_GB2312" w:cstheme="minorBidi"/>
          <w:b/>
          <w:bCs/>
          <w:kern w:val="2"/>
          <w:sz w:val="32"/>
          <w:szCs w:val="32"/>
          <w:lang w:val="en-US" w:eastAsia="zh-CN" w:bidi="ar-SA"/>
        </w:rPr>
        <w:t>成本控制情况</w:t>
      </w:r>
      <w:r>
        <w:rPr>
          <w:rFonts w:hint="eastAsia" w:cstheme="minorBidi"/>
          <w:b/>
          <w:bCs/>
          <w:kern w:val="2"/>
          <w:sz w:val="32"/>
          <w:szCs w:val="32"/>
          <w:highlight w:val="none"/>
          <w:lang w:val="en-US" w:eastAsia="zh-CN" w:bidi="ar-SA"/>
        </w:rPr>
        <w:t>：</w:t>
      </w:r>
      <w:r>
        <w:rPr>
          <w:rFonts w:hint="eastAsia"/>
          <w:sz w:val="32"/>
          <w:szCs w:val="32"/>
          <w:highlight w:val="none"/>
        </w:rPr>
        <w:t>我院全年预算资金总额6,732.79</w:t>
      </w:r>
      <w:r>
        <w:rPr>
          <w:sz w:val="32"/>
          <w:szCs w:val="32"/>
          <w:highlight w:val="none"/>
        </w:rPr>
        <w:t>万元，实际支出</w:t>
      </w:r>
      <w:r>
        <w:rPr>
          <w:rFonts w:hint="eastAsia"/>
          <w:sz w:val="32"/>
          <w:szCs w:val="32"/>
          <w:highlight w:val="none"/>
        </w:rPr>
        <w:t>5,971.10</w:t>
      </w:r>
      <w:r>
        <w:rPr>
          <w:sz w:val="32"/>
          <w:szCs w:val="32"/>
          <w:highlight w:val="none"/>
        </w:rPr>
        <w:t>万元，</w:t>
      </w:r>
      <w:r>
        <w:rPr>
          <w:rFonts w:hint="default" w:hAnsi="宋体"/>
          <w:b w:val="0"/>
          <w:bCs w:val="0"/>
          <w:sz w:val="32"/>
          <w:szCs w:val="32"/>
          <w:highlight w:val="none"/>
          <w:lang w:val="en-US" w:eastAsia="zh-CN"/>
        </w:rPr>
        <w:t>成本控制</w:t>
      </w:r>
      <w:r>
        <w:rPr>
          <w:rFonts w:hint="eastAsia" w:hAnsi="宋体"/>
          <w:b w:val="0"/>
          <w:bCs w:val="0"/>
          <w:sz w:val="32"/>
          <w:szCs w:val="32"/>
          <w:highlight w:val="none"/>
          <w:lang w:val="en-US" w:eastAsia="zh-CN"/>
        </w:rPr>
        <w:t>在预算范围内</w:t>
      </w:r>
      <w:r>
        <w:rPr>
          <w:rFonts w:hint="eastAsia" w:cstheme="minorBidi"/>
          <w:b/>
          <w:bCs/>
          <w:kern w:val="2"/>
          <w:sz w:val="32"/>
          <w:szCs w:val="32"/>
          <w:highlight w:val="none"/>
          <w:lang w:val="en-US" w:eastAsia="zh-CN" w:bidi="ar-SA"/>
        </w:rPr>
        <w:t>。</w:t>
      </w:r>
      <w:r>
        <w:rPr>
          <w:rFonts w:hint="eastAsia" w:hAnsi="宋体"/>
          <w:b w:val="0"/>
          <w:bCs w:val="0"/>
          <w:sz w:val="32"/>
          <w:szCs w:val="32"/>
        </w:rPr>
        <w:t>该指标分值</w:t>
      </w:r>
      <w:r>
        <w:rPr>
          <w:rFonts w:hint="eastAsia" w:hAnsi="宋体"/>
          <w:sz w:val="32"/>
          <w:szCs w:val="32"/>
          <w:highlight w:val="none"/>
          <w:lang w:val="en-US" w:eastAsia="zh-CN"/>
        </w:rPr>
        <w:t>3.12</w:t>
      </w:r>
      <w:r>
        <w:rPr>
          <w:rFonts w:hint="eastAsia" w:hAnsi="宋体"/>
          <w:b w:val="0"/>
          <w:bCs w:val="0"/>
          <w:sz w:val="32"/>
          <w:szCs w:val="32"/>
        </w:rPr>
        <w:t>分，自评得分为</w:t>
      </w:r>
      <w:r>
        <w:rPr>
          <w:rFonts w:hint="eastAsia" w:hAnsi="宋体"/>
          <w:sz w:val="32"/>
          <w:szCs w:val="32"/>
          <w:highlight w:val="none"/>
          <w:lang w:val="en-US" w:eastAsia="zh-CN"/>
        </w:rPr>
        <w:t>3.12</w:t>
      </w:r>
      <w:r>
        <w:rPr>
          <w:rFonts w:hint="eastAsia" w:hAnsi="宋体"/>
          <w:b w:val="0"/>
          <w:bCs w:val="0"/>
          <w:sz w:val="32"/>
          <w:szCs w:val="32"/>
        </w:rPr>
        <w:t>分，得分率为</w:t>
      </w:r>
      <w:r>
        <w:rPr>
          <w:rFonts w:hint="eastAsia" w:hAnsi="宋体"/>
          <w:b w:val="0"/>
          <w:bCs w:val="0"/>
          <w:sz w:val="32"/>
          <w:szCs w:val="32"/>
          <w:lang w:val="en-US" w:eastAsia="zh-CN"/>
        </w:rPr>
        <w:t>100%</w:t>
      </w:r>
      <w:r>
        <w:rPr>
          <w:rFonts w:hint="eastAsia" w:hAnsi="宋体"/>
          <w:b w:val="0"/>
          <w:bCs w:val="0"/>
          <w:sz w:val="32"/>
          <w:szCs w:val="32"/>
        </w:rPr>
        <w:t>。</w:t>
      </w:r>
    </w:p>
    <w:p w14:paraId="3A8891BF">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宋体"/>
          <w:sz w:val="32"/>
          <w:szCs w:val="32"/>
        </w:rPr>
      </w:pPr>
      <w:r>
        <w:rPr>
          <w:rFonts w:hint="eastAsia" w:hAnsi="宋体"/>
          <w:b/>
          <w:bCs/>
          <w:sz w:val="32"/>
          <w:szCs w:val="32"/>
        </w:rPr>
        <w:t>（2）部门效果目标</w:t>
      </w:r>
    </w:p>
    <w:p w14:paraId="39A0CF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Ansi="仿宋"/>
          <w:b/>
          <w:bCs/>
          <w:spacing w:val="4"/>
          <w:sz w:val="32"/>
          <w:szCs w:val="32"/>
          <w:lang w:val="en-US" w:eastAsia="zh-CN"/>
        </w:rPr>
      </w:pPr>
      <w:r>
        <w:rPr>
          <w:rFonts w:hint="eastAsia"/>
          <w:sz w:val="32"/>
          <w:szCs w:val="32"/>
          <w:highlight w:val="none"/>
          <w:lang w:val="en-US" w:eastAsia="zh-CN"/>
        </w:rPr>
        <w:t>部门效果</w:t>
      </w:r>
      <w:r>
        <w:rPr>
          <w:rFonts w:hint="eastAsia"/>
          <w:sz w:val="32"/>
          <w:szCs w:val="32"/>
          <w:highlight w:val="none"/>
        </w:rPr>
        <w:t>指标分值</w:t>
      </w:r>
      <w:r>
        <w:rPr>
          <w:rFonts w:hint="eastAsia"/>
          <w:sz w:val="32"/>
          <w:szCs w:val="32"/>
          <w:highlight w:val="none"/>
          <w:lang w:val="en-US" w:eastAsia="zh-CN"/>
        </w:rPr>
        <w:t>9.36</w:t>
      </w:r>
      <w:r>
        <w:rPr>
          <w:rFonts w:hint="eastAsia"/>
          <w:sz w:val="32"/>
          <w:szCs w:val="32"/>
          <w:highlight w:val="none"/>
        </w:rPr>
        <w:t>分，自评得分</w:t>
      </w:r>
      <w:r>
        <w:rPr>
          <w:rFonts w:hint="eastAsia"/>
          <w:sz w:val="32"/>
          <w:szCs w:val="32"/>
          <w:highlight w:val="none"/>
          <w:lang w:val="en-US" w:eastAsia="zh-CN"/>
        </w:rPr>
        <w:t>7.86</w:t>
      </w:r>
      <w:r>
        <w:rPr>
          <w:rFonts w:hint="eastAsia"/>
          <w:sz w:val="32"/>
          <w:szCs w:val="32"/>
          <w:highlight w:val="none"/>
        </w:rPr>
        <w:t>分，得分率为</w:t>
      </w:r>
      <w:r>
        <w:rPr>
          <w:rFonts w:hint="eastAsia"/>
          <w:sz w:val="32"/>
          <w:szCs w:val="32"/>
          <w:highlight w:val="none"/>
          <w:lang w:val="en-US" w:eastAsia="zh-CN"/>
        </w:rPr>
        <w:t>83.97</w:t>
      </w:r>
      <w:r>
        <w:rPr>
          <w:rFonts w:hint="eastAsia" w:hAnsi="宋体"/>
          <w:b w:val="0"/>
          <w:bCs w:val="0"/>
          <w:sz w:val="32"/>
          <w:szCs w:val="32"/>
          <w:lang w:val="en-US" w:eastAsia="zh-CN"/>
        </w:rPr>
        <w:t>%</w:t>
      </w:r>
      <w:r>
        <w:rPr>
          <w:rFonts w:hint="eastAsia"/>
          <w:sz w:val="32"/>
          <w:szCs w:val="32"/>
          <w:highlight w:val="none"/>
        </w:rPr>
        <w:t>。</w:t>
      </w:r>
    </w:p>
    <w:p w14:paraId="44B68C0D">
      <w:pPr>
        <w:keepNext w:val="0"/>
        <w:keepLines w:val="0"/>
        <w:pageBreakBefore w:val="0"/>
        <w:widowControl w:val="0"/>
        <w:kinsoku/>
        <w:wordWrap/>
        <w:overflowPunct/>
        <w:topLinePunct w:val="0"/>
        <w:autoSpaceDE/>
        <w:autoSpaceDN/>
        <w:bidi w:val="0"/>
        <w:adjustRightInd/>
        <w:snapToGrid/>
        <w:spacing w:line="560" w:lineRule="exact"/>
        <w:ind w:firstLine="659" w:firstLineChars="200"/>
        <w:textAlignment w:val="auto"/>
        <w:rPr>
          <w:rFonts w:hint="eastAsia" w:hAnsi="宋体" w:eastAsia="仿宋_GB2312"/>
          <w:b/>
          <w:bCs/>
          <w:sz w:val="32"/>
          <w:szCs w:val="32"/>
          <w:lang w:eastAsia="zh-CN"/>
        </w:rPr>
      </w:pPr>
      <w:r>
        <w:rPr>
          <w:rFonts w:hint="eastAsia" w:hAnsi="仿宋"/>
          <w:b/>
          <w:bCs/>
          <w:spacing w:val="4"/>
          <w:sz w:val="32"/>
          <w:szCs w:val="32"/>
          <w:lang w:val="en-US" w:eastAsia="zh-CN"/>
        </w:rPr>
        <w:t>①经济</w:t>
      </w:r>
      <w:r>
        <w:rPr>
          <w:rFonts w:hint="eastAsia" w:hAnsi="宋体"/>
          <w:b/>
          <w:bCs/>
          <w:sz w:val="32"/>
          <w:szCs w:val="32"/>
        </w:rPr>
        <w:t>效益指标分析</w:t>
      </w:r>
    </w:p>
    <w:p w14:paraId="6A7F19F0">
      <w:pPr>
        <w:pStyle w:val="18"/>
        <w:pageBreakBefore w:val="0"/>
        <w:widowControl w:val="0"/>
        <w:kinsoku/>
        <w:wordWrap/>
        <w:overflowPunct/>
        <w:topLinePunct w:val="0"/>
        <w:autoSpaceDE/>
        <w:autoSpaceDN/>
        <w:bidi w:val="0"/>
        <w:adjustRightInd/>
        <w:snapToGrid/>
        <w:spacing w:line="560" w:lineRule="exact"/>
        <w:ind w:firstLine="659" w:firstLineChars="200"/>
        <w:textAlignment w:val="auto"/>
        <w:rPr>
          <w:rFonts w:hint="eastAsia"/>
          <w:sz w:val="32"/>
          <w:szCs w:val="32"/>
          <w:lang w:val="en-US" w:eastAsia="zh-CN"/>
        </w:rPr>
      </w:pPr>
      <w:r>
        <w:rPr>
          <w:rFonts w:hint="eastAsia" w:ascii="仿宋_GB2312" w:hAnsi="仿宋" w:eastAsia="仿宋_GB2312" w:cstheme="minorBidi"/>
          <w:b/>
          <w:bCs/>
          <w:spacing w:val="4"/>
          <w:kern w:val="2"/>
          <w:sz w:val="32"/>
          <w:szCs w:val="32"/>
          <w:lang w:val="en-US" w:eastAsia="zh-CN" w:bidi="ar-SA"/>
        </w:rPr>
        <w:t>执行标的到位率：</w:t>
      </w:r>
      <w:r>
        <w:rPr>
          <w:rFonts w:hint="eastAsia"/>
          <w:b w:val="0"/>
          <w:bCs w:val="0"/>
          <w:sz w:val="32"/>
          <w:szCs w:val="32"/>
          <w:lang w:val="en-US" w:eastAsia="zh-CN"/>
        </w:rPr>
        <w:t>我院执行标的到位率</w:t>
      </w:r>
      <w:r>
        <w:rPr>
          <w:rFonts w:hint="eastAsia" w:hAnsi="宋体" w:cstheme="minorBidi"/>
          <w:b w:val="0"/>
          <w:bCs w:val="0"/>
          <w:kern w:val="2"/>
          <w:sz w:val="32"/>
          <w:szCs w:val="32"/>
          <w:lang w:val="en-US" w:eastAsia="zh-CN" w:bidi="ar-SA"/>
        </w:rPr>
        <w:t>年度指标值≥10%，实际完成30.77</w:t>
      </w:r>
      <w:r>
        <w:rPr>
          <w:rFonts w:hint="eastAsia" w:ascii="仿宋_GB2312" w:hAnsi="宋体" w:eastAsia="仿宋_GB2312" w:cstheme="minorBidi"/>
          <w:b w:val="0"/>
          <w:bCs w:val="0"/>
          <w:kern w:val="2"/>
          <w:sz w:val="32"/>
          <w:szCs w:val="32"/>
          <w:lang w:val="en-US" w:eastAsia="zh-CN" w:bidi="ar-SA"/>
        </w:rPr>
        <w:t>%</w:t>
      </w:r>
      <w:r>
        <w:rPr>
          <w:rFonts w:hint="eastAsia" w:hAnsi="宋体" w:cstheme="minorBidi"/>
          <w:kern w:val="2"/>
          <w:sz w:val="32"/>
          <w:szCs w:val="32"/>
          <w:lang w:val="en-US" w:eastAsia="zh-CN" w:bidi="ar-SA"/>
        </w:rPr>
        <w:t>，超出</w:t>
      </w:r>
      <w:r>
        <w:rPr>
          <w:rFonts w:hint="eastAsia"/>
          <w:b w:val="0"/>
          <w:bCs w:val="0"/>
          <w:sz w:val="32"/>
          <w:szCs w:val="32"/>
          <w:highlight w:val="none"/>
          <w:lang w:val="en-US" w:eastAsia="zh-CN"/>
        </w:rPr>
        <w:t>年度指标</w:t>
      </w:r>
      <w:r>
        <w:rPr>
          <w:rFonts w:hint="eastAsia"/>
          <w:color w:val="000000" w:themeColor="text1"/>
          <w:sz w:val="32"/>
          <w:szCs w:val="32"/>
          <w14:textFill>
            <w14:solidFill>
              <w14:schemeClr w14:val="tx1"/>
            </w14:solidFill>
          </w14:textFill>
        </w:rPr>
        <w:t>值</w:t>
      </w:r>
      <w:r>
        <w:rPr>
          <w:rFonts w:hint="eastAsia"/>
          <w:color w:val="000000" w:themeColor="text1"/>
          <w:sz w:val="32"/>
          <w:szCs w:val="32"/>
          <w:lang w:val="en-US" w:eastAsia="zh-CN"/>
          <w14:textFill>
            <w14:solidFill>
              <w14:schemeClr w14:val="tx1"/>
            </w14:solidFill>
          </w14:textFill>
        </w:rPr>
        <w:t>的130%</w:t>
      </w:r>
      <w:r>
        <w:rPr>
          <w:rFonts w:hint="eastAsia"/>
          <w:color w:val="000000" w:themeColor="text1"/>
          <w:sz w:val="32"/>
          <w:szCs w:val="32"/>
          <w:lang w:eastAsia="zh-CN"/>
          <w14:textFill>
            <w14:solidFill>
              <w14:schemeClr w14:val="tx1"/>
            </w14:solidFill>
          </w14:textFill>
        </w:rPr>
        <w:t>。</w:t>
      </w:r>
      <w:r>
        <w:rPr>
          <w:rFonts w:hint="eastAsia" w:ascii="仿宋_GB2312" w:hAnsi="宋体" w:eastAsia="仿宋_GB2312" w:cstheme="minorBidi"/>
          <w:kern w:val="2"/>
          <w:sz w:val="32"/>
          <w:szCs w:val="32"/>
          <w:lang w:val="en-US" w:eastAsia="zh-CN" w:bidi="ar-SA"/>
        </w:rPr>
        <w:t>该指标分值</w:t>
      </w:r>
      <w:r>
        <w:rPr>
          <w:rFonts w:hint="eastAsia" w:hAnsi="宋体" w:cstheme="minorBidi"/>
          <w:kern w:val="2"/>
          <w:sz w:val="32"/>
          <w:szCs w:val="32"/>
          <w:lang w:val="en-US" w:eastAsia="zh-CN" w:bidi="ar-SA"/>
        </w:rPr>
        <w:t>3.1</w:t>
      </w:r>
      <w:r>
        <w:rPr>
          <w:rFonts w:hint="eastAsia" w:hAnsi="宋体"/>
          <w:sz w:val="32"/>
          <w:szCs w:val="32"/>
          <w:lang w:val="en-US" w:eastAsia="zh-CN"/>
        </w:rPr>
        <w:t>2</w:t>
      </w:r>
      <w:r>
        <w:rPr>
          <w:rFonts w:hint="eastAsia" w:ascii="仿宋_GB2312" w:hAnsi="宋体" w:eastAsia="仿宋_GB2312" w:cstheme="minorBidi"/>
          <w:kern w:val="2"/>
          <w:sz w:val="32"/>
          <w:szCs w:val="32"/>
          <w:lang w:val="en-US" w:eastAsia="zh-CN" w:bidi="ar-SA"/>
        </w:rPr>
        <w:t>分，自评得分为1.</w:t>
      </w:r>
      <w:r>
        <w:rPr>
          <w:rFonts w:hint="eastAsia" w:hAnsi="宋体" w:cstheme="minorBidi"/>
          <w:kern w:val="2"/>
          <w:sz w:val="32"/>
          <w:szCs w:val="32"/>
          <w:lang w:val="en-US" w:eastAsia="zh-CN" w:bidi="ar-SA"/>
        </w:rPr>
        <w:t>62</w:t>
      </w:r>
      <w:r>
        <w:rPr>
          <w:rFonts w:hint="eastAsia" w:ascii="仿宋_GB2312" w:hAnsi="宋体" w:eastAsia="仿宋_GB2312" w:cstheme="minorBidi"/>
          <w:kern w:val="2"/>
          <w:sz w:val="32"/>
          <w:szCs w:val="32"/>
          <w:lang w:val="en-US" w:eastAsia="zh-CN" w:bidi="ar-SA"/>
        </w:rPr>
        <w:t>分，得分率为</w:t>
      </w:r>
      <w:r>
        <w:rPr>
          <w:rFonts w:hint="eastAsia" w:hAnsi="宋体" w:cstheme="minorBidi"/>
          <w:kern w:val="2"/>
          <w:sz w:val="32"/>
          <w:szCs w:val="32"/>
          <w:lang w:val="en-US" w:eastAsia="zh-CN" w:bidi="ar-SA"/>
        </w:rPr>
        <w:t>51.92</w:t>
      </w:r>
      <w:r>
        <w:rPr>
          <w:rFonts w:hint="eastAsia" w:ascii="仿宋_GB2312" w:hAnsi="宋体" w:eastAsia="仿宋_GB2312" w:cstheme="minorBidi"/>
          <w:kern w:val="2"/>
          <w:sz w:val="32"/>
          <w:szCs w:val="32"/>
          <w:lang w:val="en-US" w:eastAsia="zh-CN" w:bidi="ar-SA"/>
        </w:rPr>
        <w:t>%</w:t>
      </w:r>
      <w:r>
        <w:rPr>
          <w:rFonts w:hint="eastAsia" w:hAnsi="宋体" w:cstheme="minorBidi"/>
          <w:kern w:val="2"/>
          <w:sz w:val="32"/>
          <w:szCs w:val="32"/>
          <w:lang w:val="en-US" w:eastAsia="zh-CN" w:bidi="ar-SA"/>
        </w:rPr>
        <w:t>。</w:t>
      </w:r>
    </w:p>
    <w:p w14:paraId="46520E53">
      <w:pPr>
        <w:keepNext w:val="0"/>
        <w:keepLines w:val="0"/>
        <w:pageBreakBefore w:val="0"/>
        <w:widowControl w:val="0"/>
        <w:kinsoku/>
        <w:wordWrap/>
        <w:overflowPunct/>
        <w:topLinePunct w:val="0"/>
        <w:autoSpaceDE/>
        <w:autoSpaceDN/>
        <w:bidi w:val="0"/>
        <w:adjustRightInd/>
        <w:snapToGrid/>
        <w:spacing w:line="560" w:lineRule="exact"/>
        <w:ind w:firstLine="659" w:firstLineChars="200"/>
        <w:textAlignment w:val="auto"/>
        <w:rPr>
          <w:rFonts w:hint="eastAsia" w:eastAsia="仿宋_GB2312"/>
          <w:sz w:val="32"/>
          <w:szCs w:val="32"/>
          <w:lang w:val="en-US" w:eastAsia="zh-CN"/>
        </w:rPr>
      </w:pPr>
      <w:r>
        <w:rPr>
          <w:rFonts w:hint="eastAsia" w:hAnsi="仿宋"/>
          <w:b/>
          <w:bCs/>
          <w:spacing w:val="4"/>
          <w:sz w:val="32"/>
          <w:szCs w:val="32"/>
          <w:lang w:val="en-US" w:eastAsia="zh-CN"/>
        </w:rPr>
        <w:t>②</w:t>
      </w:r>
      <w:r>
        <w:rPr>
          <w:rFonts w:hint="eastAsia" w:hAnsi="宋体"/>
          <w:b/>
          <w:bCs/>
          <w:sz w:val="32"/>
          <w:szCs w:val="32"/>
        </w:rPr>
        <w:t>社会效益指标分析</w:t>
      </w:r>
    </w:p>
    <w:p w14:paraId="67C949BD">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sz w:val="32"/>
          <w:szCs w:val="32"/>
          <w:lang w:val="en-US" w:eastAsia="zh-CN"/>
        </w:rPr>
      </w:pPr>
      <w:r>
        <w:rPr>
          <w:rFonts w:hint="eastAsia"/>
          <w:b/>
          <w:bCs/>
          <w:sz w:val="32"/>
          <w:szCs w:val="32"/>
          <w:lang w:val="en-US" w:eastAsia="zh-CN"/>
        </w:rPr>
        <w:t>民商事案件调解成功率：</w:t>
      </w:r>
      <w:r>
        <w:rPr>
          <w:rFonts w:hint="eastAsia"/>
          <w:b w:val="0"/>
          <w:bCs w:val="0"/>
          <w:sz w:val="32"/>
          <w:szCs w:val="32"/>
          <w:lang w:val="en-US" w:eastAsia="zh-CN"/>
        </w:rPr>
        <w:t>我院民商事案件调解成功率</w:t>
      </w:r>
      <w:r>
        <w:rPr>
          <w:rFonts w:hint="eastAsia" w:hAnsi="宋体" w:cstheme="minorBidi"/>
          <w:b w:val="0"/>
          <w:bCs w:val="0"/>
          <w:kern w:val="2"/>
          <w:sz w:val="32"/>
          <w:szCs w:val="32"/>
          <w:lang w:val="en-US" w:eastAsia="zh-CN" w:bidi="ar-SA"/>
        </w:rPr>
        <w:t>年度指标值≥50%，实际完成</w:t>
      </w:r>
      <w:r>
        <w:rPr>
          <w:rFonts w:hint="eastAsia"/>
          <w:b w:val="0"/>
          <w:bCs w:val="0"/>
          <w:sz w:val="32"/>
          <w:szCs w:val="32"/>
          <w:lang w:val="en-US" w:eastAsia="zh-CN"/>
        </w:rPr>
        <w:t>50.98%</w:t>
      </w:r>
      <w:r>
        <w:rPr>
          <w:rFonts w:hint="eastAsia" w:hAnsi="宋体" w:cstheme="minorBidi"/>
          <w:kern w:val="2"/>
          <w:sz w:val="32"/>
          <w:szCs w:val="32"/>
          <w:lang w:val="en-US" w:eastAsia="zh-CN" w:bidi="ar-SA"/>
        </w:rPr>
        <w:t>，</w:t>
      </w:r>
      <w:r>
        <w:rPr>
          <w:rFonts w:hint="eastAsia"/>
          <w:color w:val="000000" w:themeColor="text1"/>
          <w:sz w:val="32"/>
          <w:szCs w:val="32"/>
          <w14:textFill>
            <w14:solidFill>
              <w14:schemeClr w14:val="tx1"/>
            </w14:solidFill>
          </w14:textFill>
        </w:rPr>
        <w:t>达到</w:t>
      </w:r>
      <w:r>
        <w:rPr>
          <w:rFonts w:hint="eastAsia"/>
          <w:b w:val="0"/>
          <w:bCs w:val="0"/>
          <w:sz w:val="32"/>
          <w:szCs w:val="32"/>
          <w:highlight w:val="none"/>
          <w:lang w:val="en-US" w:eastAsia="zh-CN"/>
        </w:rPr>
        <w:t>年度指标值</w:t>
      </w:r>
      <w:r>
        <w:rPr>
          <w:rFonts w:hint="eastAsia"/>
          <w:color w:val="000000" w:themeColor="text1"/>
          <w:sz w:val="32"/>
          <w:szCs w:val="32"/>
          <w:lang w:eastAsia="zh-CN"/>
          <w14:textFill>
            <w14:solidFill>
              <w14:schemeClr w14:val="tx1"/>
            </w14:solidFill>
          </w14:textFill>
        </w:rPr>
        <w:t>。</w:t>
      </w:r>
      <w:r>
        <w:rPr>
          <w:rFonts w:hint="eastAsia" w:ascii="仿宋_GB2312" w:hAnsi="宋体" w:eastAsia="仿宋_GB2312" w:cstheme="minorBidi"/>
          <w:kern w:val="2"/>
          <w:sz w:val="32"/>
          <w:szCs w:val="32"/>
          <w:lang w:val="en-US" w:eastAsia="zh-CN" w:bidi="ar-SA"/>
        </w:rPr>
        <w:t>该指标分值</w:t>
      </w:r>
      <w:r>
        <w:rPr>
          <w:rFonts w:hint="eastAsia" w:hAnsi="宋体"/>
          <w:sz w:val="32"/>
          <w:szCs w:val="32"/>
          <w:lang w:val="en-US" w:eastAsia="zh-CN"/>
        </w:rPr>
        <w:t>3.12</w:t>
      </w:r>
      <w:r>
        <w:rPr>
          <w:rFonts w:hint="eastAsia" w:ascii="仿宋_GB2312" w:hAnsi="宋体" w:eastAsia="仿宋_GB2312" w:cstheme="minorBidi"/>
          <w:kern w:val="2"/>
          <w:sz w:val="32"/>
          <w:szCs w:val="32"/>
          <w:lang w:val="en-US" w:eastAsia="zh-CN" w:bidi="ar-SA"/>
        </w:rPr>
        <w:t>分，自评得分为</w:t>
      </w:r>
      <w:r>
        <w:rPr>
          <w:rFonts w:hint="eastAsia" w:hAnsi="宋体"/>
          <w:sz w:val="32"/>
          <w:szCs w:val="32"/>
          <w:lang w:val="en-US" w:eastAsia="zh-CN"/>
        </w:rPr>
        <w:t>3.12</w:t>
      </w:r>
      <w:r>
        <w:rPr>
          <w:rFonts w:hint="eastAsia" w:ascii="仿宋_GB2312" w:hAnsi="宋体" w:eastAsia="仿宋_GB2312" w:cstheme="minorBidi"/>
          <w:kern w:val="2"/>
          <w:sz w:val="32"/>
          <w:szCs w:val="32"/>
          <w:lang w:val="en-US" w:eastAsia="zh-CN" w:bidi="ar-SA"/>
        </w:rPr>
        <w:t>分，得分率为</w:t>
      </w:r>
      <w:r>
        <w:rPr>
          <w:rFonts w:hint="eastAsia" w:hAnsi="宋体" w:cstheme="minorBidi"/>
          <w:kern w:val="2"/>
          <w:sz w:val="32"/>
          <w:szCs w:val="32"/>
          <w:lang w:val="en-US" w:eastAsia="zh-CN" w:bidi="ar-SA"/>
        </w:rPr>
        <w:t>100</w:t>
      </w:r>
      <w:r>
        <w:rPr>
          <w:rFonts w:hint="eastAsia" w:ascii="仿宋_GB2312" w:hAnsi="宋体" w:eastAsia="仿宋_GB2312" w:cstheme="minorBidi"/>
          <w:kern w:val="2"/>
          <w:sz w:val="32"/>
          <w:szCs w:val="32"/>
          <w:lang w:val="en-US" w:eastAsia="zh-CN" w:bidi="ar-SA"/>
        </w:rPr>
        <w:t>%</w:t>
      </w:r>
      <w:r>
        <w:rPr>
          <w:rFonts w:hint="eastAsia"/>
          <w:sz w:val="32"/>
          <w:szCs w:val="32"/>
          <w:lang w:val="en-US" w:eastAsia="zh-CN"/>
        </w:rPr>
        <w:t>。</w:t>
      </w:r>
    </w:p>
    <w:p w14:paraId="7BECB6DB">
      <w:pPr>
        <w:pStyle w:val="18"/>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theme="minorBidi"/>
          <w:b/>
          <w:bCs/>
          <w:kern w:val="2"/>
          <w:sz w:val="32"/>
          <w:szCs w:val="32"/>
          <w:lang w:val="en-US" w:eastAsia="zh-CN" w:bidi="ar-SA"/>
        </w:rPr>
      </w:pPr>
      <w:r>
        <w:rPr>
          <w:rFonts w:hint="default" w:ascii="仿宋_GB2312" w:hAnsi="仿宋_GB2312" w:eastAsia="仿宋_GB2312" w:cstheme="minorBidi"/>
          <w:b/>
          <w:bCs/>
          <w:kern w:val="2"/>
          <w:sz w:val="32"/>
          <w:szCs w:val="32"/>
          <w:lang w:val="en-US" w:eastAsia="zh-CN" w:bidi="ar-SA"/>
        </w:rPr>
        <w:t>当场立案率</w:t>
      </w:r>
      <w:r>
        <w:rPr>
          <w:rFonts w:hint="eastAsia" w:ascii="仿宋_GB2312" w:hAnsi="仿宋_GB2312" w:eastAsia="仿宋_GB2312" w:cstheme="minorBidi"/>
          <w:b/>
          <w:bCs/>
          <w:kern w:val="2"/>
          <w:sz w:val="32"/>
          <w:szCs w:val="32"/>
          <w:lang w:val="en-US" w:eastAsia="zh-CN" w:bidi="ar-SA"/>
        </w:rPr>
        <w:t>：</w:t>
      </w:r>
      <w:r>
        <w:rPr>
          <w:rFonts w:hint="eastAsia"/>
          <w:b w:val="0"/>
          <w:bCs w:val="0"/>
          <w:sz w:val="32"/>
          <w:szCs w:val="32"/>
          <w:lang w:val="en-US" w:eastAsia="zh-CN"/>
        </w:rPr>
        <w:t>我院庭当场立案率</w:t>
      </w:r>
      <w:r>
        <w:rPr>
          <w:rFonts w:hint="eastAsia" w:hAnsi="宋体" w:cstheme="minorBidi"/>
          <w:b w:val="0"/>
          <w:bCs w:val="0"/>
          <w:kern w:val="2"/>
          <w:sz w:val="32"/>
          <w:szCs w:val="32"/>
          <w:lang w:val="en-US" w:eastAsia="zh-CN" w:bidi="ar-SA"/>
        </w:rPr>
        <w:t>年度指标值≥95%，实际完成98</w:t>
      </w:r>
      <w:r>
        <w:rPr>
          <w:rFonts w:hint="eastAsia"/>
          <w:b w:val="0"/>
          <w:bCs w:val="0"/>
          <w:sz w:val="32"/>
          <w:szCs w:val="32"/>
          <w:lang w:val="en-US" w:eastAsia="zh-CN"/>
        </w:rPr>
        <w:t>%</w:t>
      </w:r>
      <w:r>
        <w:rPr>
          <w:rFonts w:hint="eastAsia" w:hAnsi="宋体" w:cstheme="minorBidi"/>
          <w:kern w:val="2"/>
          <w:sz w:val="32"/>
          <w:szCs w:val="32"/>
          <w:lang w:val="en-US" w:eastAsia="zh-CN" w:bidi="ar-SA"/>
        </w:rPr>
        <w:t>，</w:t>
      </w:r>
      <w:r>
        <w:rPr>
          <w:rFonts w:hint="eastAsia"/>
          <w:color w:val="000000" w:themeColor="text1"/>
          <w:sz w:val="32"/>
          <w:szCs w:val="32"/>
          <w14:textFill>
            <w14:solidFill>
              <w14:schemeClr w14:val="tx1"/>
            </w14:solidFill>
          </w14:textFill>
        </w:rPr>
        <w:t>达到</w:t>
      </w:r>
      <w:r>
        <w:rPr>
          <w:rFonts w:hint="eastAsia"/>
          <w:b w:val="0"/>
          <w:bCs w:val="0"/>
          <w:sz w:val="32"/>
          <w:szCs w:val="32"/>
          <w:highlight w:val="none"/>
          <w:lang w:val="en-US" w:eastAsia="zh-CN"/>
        </w:rPr>
        <w:t>年度指标值</w:t>
      </w:r>
      <w:r>
        <w:rPr>
          <w:rFonts w:hint="eastAsia"/>
          <w:color w:val="000000" w:themeColor="text1"/>
          <w:sz w:val="32"/>
          <w:szCs w:val="32"/>
          <w:lang w:eastAsia="zh-CN"/>
          <w14:textFill>
            <w14:solidFill>
              <w14:schemeClr w14:val="tx1"/>
            </w14:solidFill>
          </w14:textFill>
        </w:rPr>
        <w:t>。</w:t>
      </w:r>
      <w:r>
        <w:rPr>
          <w:rFonts w:hint="eastAsia" w:ascii="仿宋_GB2312" w:hAnsi="宋体" w:eastAsia="仿宋_GB2312" w:cstheme="minorBidi"/>
          <w:kern w:val="2"/>
          <w:sz w:val="32"/>
          <w:szCs w:val="32"/>
          <w:lang w:val="en-US" w:eastAsia="zh-CN" w:bidi="ar-SA"/>
        </w:rPr>
        <w:t>该指标分值</w:t>
      </w:r>
      <w:r>
        <w:rPr>
          <w:rFonts w:hint="eastAsia" w:hAnsi="宋体" w:cstheme="minorBidi"/>
          <w:kern w:val="2"/>
          <w:sz w:val="32"/>
          <w:szCs w:val="32"/>
          <w:lang w:val="en-US" w:eastAsia="zh-CN" w:bidi="ar-SA"/>
        </w:rPr>
        <w:t>3.1</w:t>
      </w:r>
      <w:r>
        <w:rPr>
          <w:rFonts w:hint="eastAsia" w:hAnsi="宋体"/>
          <w:sz w:val="32"/>
          <w:szCs w:val="32"/>
          <w:lang w:val="en-US" w:eastAsia="zh-CN"/>
        </w:rPr>
        <w:t>2</w:t>
      </w:r>
      <w:r>
        <w:rPr>
          <w:rFonts w:hint="eastAsia" w:ascii="仿宋_GB2312" w:hAnsi="宋体" w:eastAsia="仿宋_GB2312" w:cstheme="minorBidi"/>
          <w:kern w:val="2"/>
          <w:sz w:val="32"/>
          <w:szCs w:val="32"/>
          <w:lang w:val="en-US" w:eastAsia="zh-CN" w:bidi="ar-SA"/>
        </w:rPr>
        <w:t>分，自评得分为</w:t>
      </w:r>
      <w:r>
        <w:rPr>
          <w:rFonts w:hint="eastAsia" w:hAnsi="宋体" w:cstheme="minorBidi"/>
          <w:kern w:val="2"/>
          <w:sz w:val="32"/>
          <w:szCs w:val="32"/>
          <w:lang w:val="en-US" w:eastAsia="zh-CN" w:bidi="ar-SA"/>
        </w:rPr>
        <w:t>3.1</w:t>
      </w:r>
      <w:r>
        <w:rPr>
          <w:rFonts w:hint="eastAsia" w:hAnsi="宋体"/>
          <w:sz w:val="32"/>
          <w:szCs w:val="32"/>
          <w:lang w:val="en-US" w:eastAsia="zh-CN"/>
        </w:rPr>
        <w:t>2</w:t>
      </w:r>
      <w:r>
        <w:rPr>
          <w:rFonts w:hint="eastAsia" w:ascii="仿宋_GB2312" w:hAnsi="宋体" w:eastAsia="仿宋_GB2312" w:cstheme="minorBidi"/>
          <w:kern w:val="2"/>
          <w:sz w:val="32"/>
          <w:szCs w:val="32"/>
          <w:lang w:val="en-US" w:eastAsia="zh-CN" w:bidi="ar-SA"/>
        </w:rPr>
        <w:t>分，得分率为</w:t>
      </w:r>
      <w:r>
        <w:rPr>
          <w:rFonts w:hint="eastAsia" w:hAnsi="宋体" w:cstheme="minorBidi"/>
          <w:kern w:val="2"/>
          <w:sz w:val="32"/>
          <w:szCs w:val="32"/>
          <w:lang w:val="en-US" w:eastAsia="zh-CN" w:bidi="ar-SA"/>
        </w:rPr>
        <w:t>100</w:t>
      </w:r>
      <w:r>
        <w:rPr>
          <w:rFonts w:hint="eastAsia" w:ascii="仿宋_GB2312" w:hAnsi="宋体" w:eastAsia="仿宋_GB2312" w:cstheme="minorBidi"/>
          <w:kern w:val="2"/>
          <w:sz w:val="32"/>
          <w:szCs w:val="32"/>
          <w:lang w:val="en-US" w:eastAsia="zh-CN" w:bidi="ar-SA"/>
        </w:rPr>
        <w:t>%</w:t>
      </w:r>
      <w:r>
        <w:rPr>
          <w:rFonts w:hint="eastAsia"/>
          <w:sz w:val="32"/>
          <w:szCs w:val="32"/>
          <w:lang w:val="en-US" w:eastAsia="zh-CN"/>
        </w:rPr>
        <w:t>。</w:t>
      </w:r>
    </w:p>
    <w:p w14:paraId="47C8EBE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Ansi="宋体"/>
          <w:b/>
          <w:bCs/>
          <w:sz w:val="32"/>
          <w:szCs w:val="32"/>
        </w:rPr>
      </w:pPr>
      <w:r>
        <w:rPr>
          <w:rFonts w:hint="eastAsia" w:hAnsi="宋体"/>
          <w:b/>
          <w:bCs/>
          <w:sz w:val="32"/>
          <w:szCs w:val="32"/>
        </w:rPr>
        <w:t>（</w:t>
      </w:r>
      <w:r>
        <w:rPr>
          <w:rFonts w:hint="eastAsia" w:hAnsi="宋体"/>
          <w:b/>
          <w:bCs/>
          <w:sz w:val="32"/>
          <w:szCs w:val="32"/>
          <w:lang w:val="en-US" w:eastAsia="zh-CN"/>
        </w:rPr>
        <w:t>3</w:t>
      </w:r>
      <w:r>
        <w:rPr>
          <w:rFonts w:hint="eastAsia" w:hAnsi="宋体"/>
          <w:b/>
          <w:bCs/>
          <w:sz w:val="32"/>
          <w:szCs w:val="32"/>
        </w:rPr>
        <w:t>）服务对象满意度</w:t>
      </w:r>
    </w:p>
    <w:p w14:paraId="41FB7590">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hAnsi="宋体"/>
          <w:sz w:val="32"/>
          <w:szCs w:val="32"/>
        </w:rPr>
        <w:t>服务对象满意度主要考察</w:t>
      </w:r>
      <w:r>
        <w:rPr>
          <w:rFonts w:hint="eastAsia" w:hAnsi="宋体"/>
          <w:sz w:val="32"/>
          <w:szCs w:val="32"/>
          <w:lang w:val="en-US" w:eastAsia="zh-CN"/>
        </w:rPr>
        <w:t>诉讼双方满意度</w:t>
      </w:r>
      <w:r>
        <w:rPr>
          <w:rFonts w:hint="eastAsia" w:hAnsi="宋体"/>
          <w:sz w:val="32"/>
          <w:szCs w:val="32"/>
          <w:lang w:eastAsia="zh-CN"/>
        </w:rPr>
        <w:t>。</w:t>
      </w:r>
      <w:r>
        <w:rPr>
          <w:rFonts w:hAnsi="宋体"/>
          <w:sz w:val="32"/>
          <w:szCs w:val="32"/>
        </w:rPr>
        <w:t>该指标分值</w:t>
      </w:r>
      <w:r>
        <w:rPr>
          <w:rFonts w:hint="eastAsia" w:hAnsi="宋体"/>
          <w:sz w:val="32"/>
          <w:szCs w:val="32"/>
          <w:lang w:val="en-US" w:eastAsia="zh-CN"/>
        </w:rPr>
        <w:t>10</w:t>
      </w:r>
      <w:r>
        <w:rPr>
          <w:rFonts w:hint="eastAsia" w:hAnsi="宋体"/>
          <w:sz w:val="32"/>
          <w:szCs w:val="32"/>
        </w:rPr>
        <w:t>分</w:t>
      </w:r>
      <w:r>
        <w:rPr>
          <w:rFonts w:hint="eastAsia" w:hAnsi="宋体"/>
          <w:sz w:val="32"/>
          <w:szCs w:val="32"/>
          <w:highlight w:val="none"/>
        </w:rPr>
        <w:t>，自评得分</w:t>
      </w:r>
      <w:r>
        <w:rPr>
          <w:rFonts w:hint="eastAsia"/>
          <w:sz w:val="32"/>
          <w:szCs w:val="32"/>
        </w:rPr>
        <w:t>为</w:t>
      </w:r>
      <w:r>
        <w:rPr>
          <w:rFonts w:hint="eastAsia" w:hAnsi="宋体"/>
          <w:sz w:val="32"/>
          <w:szCs w:val="32"/>
          <w:lang w:val="en-US" w:eastAsia="zh-CN"/>
        </w:rPr>
        <w:t>10</w:t>
      </w:r>
      <w:r>
        <w:rPr>
          <w:rFonts w:hint="eastAsia" w:hAnsi="宋体"/>
          <w:sz w:val="32"/>
          <w:szCs w:val="32"/>
          <w:highlight w:val="none"/>
        </w:rPr>
        <w:t>分，得分率</w:t>
      </w:r>
      <w:r>
        <w:rPr>
          <w:rFonts w:hint="eastAsia"/>
          <w:sz w:val="32"/>
          <w:szCs w:val="32"/>
        </w:rPr>
        <w:t>为</w:t>
      </w:r>
      <w:r>
        <w:rPr>
          <w:rFonts w:hint="eastAsia" w:hAnsi="宋体"/>
          <w:sz w:val="32"/>
          <w:szCs w:val="32"/>
          <w:highlight w:val="none"/>
          <w:lang w:val="en-US" w:eastAsia="zh-CN"/>
        </w:rPr>
        <w:t>100</w:t>
      </w:r>
      <w:r>
        <w:rPr>
          <w:rFonts w:hint="eastAsia" w:hAnsi="宋体"/>
          <w:sz w:val="32"/>
          <w:szCs w:val="32"/>
          <w:highlight w:val="none"/>
        </w:rPr>
        <w:t>%。</w:t>
      </w:r>
    </w:p>
    <w:p w14:paraId="0F538DF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hAnsi="宋体"/>
          <w:b/>
          <w:bCs/>
          <w:sz w:val="32"/>
          <w:szCs w:val="32"/>
        </w:rPr>
      </w:pPr>
      <w:r>
        <w:rPr>
          <w:rFonts w:hint="eastAsia" w:hAnsi="宋体"/>
          <w:sz w:val="32"/>
          <w:szCs w:val="32"/>
          <w:lang w:val="en-US" w:eastAsia="zh-CN"/>
        </w:rPr>
        <w:t>诉讼双方满意度</w:t>
      </w:r>
      <w:r>
        <w:rPr>
          <w:rFonts w:hint="eastAsia"/>
          <w:b/>
          <w:bCs/>
          <w:sz w:val="32"/>
          <w:szCs w:val="32"/>
          <w:highlight w:val="none"/>
          <w:lang w:val="en-US" w:eastAsia="zh-CN"/>
        </w:rPr>
        <w:t>：</w:t>
      </w:r>
      <w:r>
        <w:rPr>
          <w:rFonts w:hint="eastAsia"/>
          <w:b w:val="0"/>
          <w:bCs w:val="0"/>
          <w:sz w:val="32"/>
          <w:szCs w:val="32"/>
          <w:highlight w:val="none"/>
          <w:lang w:val="en-US" w:eastAsia="zh-CN"/>
        </w:rPr>
        <w:t>我院始终秉持“如我在诉、如我在访”的为民情怀，全力提升每一起案件办理的精度、速度与温度，加强劳动纠纷预防化解，坚持以人民为中心，打造“一网通办理、一站式服务”的综合性诉讼服务中心，“网上立案+电子送达+在线调解+远程审理”线上办案模式基本实现，“一揽子接收、全链条流转、一次性解决”的线下诉服体系运行良好，</w:t>
      </w:r>
      <w:r>
        <w:rPr>
          <w:rFonts w:hint="eastAsia" w:hAnsi="宋体"/>
          <w:sz w:val="32"/>
          <w:szCs w:val="32"/>
          <w:lang w:val="en-US" w:eastAsia="zh-CN"/>
        </w:rPr>
        <w:t>诉讼双方满意度达到</w:t>
      </w:r>
      <w:r>
        <w:rPr>
          <w:rFonts w:hint="eastAsia"/>
          <w:sz w:val="32"/>
          <w:szCs w:val="32"/>
          <w:lang w:val="en-US" w:eastAsia="zh-CN"/>
        </w:rPr>
        <w:t>98</w:t>
      </w:r>
      <w:r>
        <w:rPr>
          <w:rFonts w:hint="eastAsia"/>
          <w:sz w:val="32"/>
          <w:szCs w:val="32"/>
        </w:rPr>
        <w:t>%</w:t>
      </w:r>
      <w:r>
        <w:rPr>
          <w:rFonts w:hint="eastAsia" w:hAnsi="宋体"/>
          <w:sz w:val="32"/>
          <w:szCs w:val="32"/>
          <w:lang w:eastAsia="zh-CN"/>
        </w:rPr>
        <w:t>，</w:t>
      </w:r>
      <w:r>
        <w:rPr>
          <w:rFonts w:hint="eastAsia"/>
          <w:sz w:val="32"/>
          <w:szCs w:val="32"/>
          <w:lang w:eastAsia="zh-CN"/>
        </w:rPr>
        <w:t>达到年度指标值</w:t>
      </w:r>
      <w:r>
        <w:rPr>
          <w:rFonts w:hint="eastAsia"/>
          <w:sz w:val="32"/>
          <w:szCs w:val="32"/>
        </w:rPr>
        <w:t>。该指标</w:t>
      </w:r>
      <w:r>
        <w:rPr>
          <w:rFonts w:hint="eastAsia"/>
          <w:sz w:val="32"/>
          <w:szCs w:val="32"/>
          <w:lang w:val="en-US" w:eastAsia="zh-CN"/>
        </w:rPr>
        <w:t>分值</w:t>
      </w:r>
      <w:r>
        <w:rPr>
          <w:rFonts w:hint="eastAsia" w:hAnsi="宋体"/>
          <w:sz w:val="32"/>
          <w:szCs w:val="32"/>
          <w:lang w:val="en-US" w:eastAsia="zh-CN"/>
        </w:rPr>
        <w:t>10</w:t>
      </w:r>
      <w:r>
        <w:rPr>
          <w:rFonts w:hint="eastAsia"/>
          <w:sz w:val="32"/>
          <w:szCs w:val="32"/>
        </w:rPr>
        <w:t>分，自评得分</w:t>
      </w:r>
      <w:r>
        <w:rPr>
          <w:rFonts w:hint="eastAsia" w:hAnsi="宋体"/>
          <w:sz w:val="32"/>
          <w:szCs w:val="32"/>
          <w:lang w:val="en-US" w:eastAsia="zh-CN"/>
        </w:rPr>
        <w:t>10</w:t>
      </w:r>
      <w:r>
        <w:rPr>
          <w:rFonts w:hint="eastAsia"/>
          <w:sz w:val="32"/>
          <w:szCs w:val="32"/>
          <w:lang w:val="en-US" w:eastAsia="zh-CN"/>
        </w:rPr>
        <w:t>分</w:t>
      </w:r>
      <w:r>
        <w:rPr>
          <w:rFonts w:hint="eastAsia"/>
          <w:sz w:val="32"/>
          <w:szCs w:val="32"/>
        </w:rPr>
        <w:t>，得分率为100%。</w:t>
      </w:r>
    </w:p>
    <w:p w14:paraId="3FBDDD4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Ansi="宋体"/>
          <w:b/>
          <w:bCs/>
          <w:sz w:val="32"/>
          <w:szCs w:val="32"/>
        </w:rPr>
      </w:pPr>
      <w:r>
        <w:rPr>
          <w:rFonts w:hint="eastAsia" w:hAnsi="宋体"/>
          <w:b/>
          <w:bCs/>
          <w:sz w:val="32"/>
          <w:szCs w:val="32"/>
        </w:rPr>
        <w:t>（</w:t>
      </w:r>
      <w:r>
        <w:rPr>
          <w:rFonts w:hint="eastAsia" w:hAnsi="宋体"/>
          <w:b/>
          <w:bCs/>
          <w:sz w:val="32"/>
          <w:szCs w:val="32"/>
          <w:lang w:val="en-US" w:eastAsia="zh-CN"/>
        </w:rPr>
        <w:t>4</w:t>
      </w:r>
      <w:r>
        <w:rPr>
          <w:rFonts w:hint="eastAsia" w:hAnsi="宋体"/>
          <w:b/>
          <w:bCs/>
          <w:sz w:val="32"/>
          <w:szCs w:val="32"/>
        </w:rPr>
        <w:t>）社会影响</w:t>
      </w:r>
    </w:p>
    <w:p w14:paraId="57E7BA42">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sz w:val="32"/>
          <w:szCs w:val="32"/>
          <w:highlight w:val="none"/>
        </w:rPr>
        <w:t>社会影响</w:t>
      </w:r>
      <w:r>
        <w:rPr>
          <w:rFonts w:hint="eastAsia"/>
          <w:sz w:val="32"/>
          <w:szCs w:val="32"/>
          <w:highlight w:val="none"/>
          <w:lang w:val="en-US" w:eastAsia="zh-CN"/>
        </w:rPr>
        <w:t>指标</w:t>
      </w:r>
      <w:r>
        <w:rPr>
          <w:rFonts w:hint="eastAsia"/>
          <w:sz w:val="32"/>
          <w:szCs w:val="32"/>
          <w:highlight w:val="none"/>
        </w:rPr>
        <w:t>分值</w:t>
      </w:r>
      <w:r>
        <w:rPr>
          <w:rFonts w:hint="eastAsia"/>
          <w:sz w:val="32"/>
          <w:szCs w:val="32"/>
          <w:highlight w:val="none"/>
          <w:lang w:val="en-US" w:eastAsia="zh-CN"/>
        </w:rPr>
        <w:t>6.24</w:t>
      </w:r>
      <w:r>
        <w:rPr>
          <w:rFonts w:hint="eastAsia"/>
          <w:sz w:val="32"/>
          <w:szCs w:val="32"/>
          <w:highlight w:val="none"/>
        </w:rPr>
        <w:t>分，自评得分</w:t>
      </w:r>
      <w:r>
        <w:rPr>
          <w:rFonts w:hint="eastAsia"/>
          <w:sz w:val="32"/>
          <w:szCs w:val="32"/>
          <w:highlight w:val="none"/>
          <w:lang w:val="en-US" w:eastAsia="zh-CN"/>
        </w:rPr>
        <w:t>6.24</w:t>
      </w:r>
      <w:r>
        <w:rPr>
          <w:rFonts w:hint="eastAsia"/>
          <w:sz w:val="32"/>
          <w:szCs w:val="32"/>
          <w:highlight w:val="none"/>
        </w:rPr>
        <w:t>分，得分率</w:t>
      </w:r>
      <w:r>
        <w:rPr>
          <w:rFonts w:hint="eastAsia"/>
          <w:sz w:val="32"/>
          <w:szCs w:val="32"/>
        </w:rPr>
        <w:t>为</w:t>
      </w:r>
      <w:r>
        <w:rPr>
          <w:rFonts w:hint="eastAsia"/>
          <w:sz w:val="32"/>
          <w:szCs w:val="32"/>
          <w:highlight w:val="none"/>
          <w:lang w:val="en-US" w:eastAsia="zh-CN"/>
        </w:rPr>
        <w:t>100</w:t>
      </w:r>
      <w:r>
        <w:rPr>
          <w:rFonts w:hint="eastAsia"/>
          <w:sz w:val="32"/>
          <w:szCs w:val="32"/>
          <w:highlight w:val="none"/>
        </w:rPr>
        <w:t>%。</w:t>
      </w:r>
    </w:p>
    <w:p w14:paraId="27F0D2B7">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仿宋_GB2312"/>
          <w:b/>
          <w:bCs/>
          <w:sz w:val="32"/>
          <w:szCs w:val="32"/>
          <w:highlight w:val="none"/>
          <w:lang w:val="en-US" w:eastAsia="zh-CN"/>
        </w:rPr>
      </w:pPr>
      <w:r>
        <w:rPr>
          <w:rFonts w:hint="eastAsia"/>
          <w:b/>
          <w:bCs/>
          <w:sz w:val="32"/>
          <w:szCs w:val="32"/>
          <w:highlight w:val="none"/>
          <w:lang w:val="en-US" w:eastAsia="zh-CN"/>
        </w:rPr>
        <w:t>单位获奖情况：</w:t>
      </w:r>
      <w:r>
        <w:rPr>
          <w:rFonts w:hint="eastAsia"/>
          <w:b w:val="0"/>
          <w:bCs w:val="0"/>
          <w:sz w:val="32"/>
          <w:szCs w:val="32"/>
          <w:highlight w:val="none"/>
          <w:lang w:val="en-US" w:eastAsia="zh-CN"/>
        </w:rPr>
        <w:t>我院</w:t>
      </w:r>
      <w:r>
        <w:rPr>
          <w:rFonts w:hint="eastAsia"/>
          <w:sz w:val="32"/>
          <w:szCs w:val="32"/>
          <w:highlight w:val="none"/>
          <w:lang w:val="en-US" w:eastAsia="zh-CN"/>
        </w:rPr>
        <w:t>获评全国新时代“枫桥经验”先进典型。该指标分值3.12分，自评得</w:t>
      </w:r>
      <w:r>
        <w:rPr>
          <w:rFonts w:hint="eastAsia" w:ascii="仿宋_GB2312" w:hAnsi="宋体" w:eastAsia="仿宋_GB2312" w:cstheme="minorBidi"/>
          <w:kern w:val="2"/>
          <w:sz w:val="32"/>
          <w:szCs w:val="32"/>
          <w:lang w:val="en-US" w:eastAsia="zh-CN" w:bidi="ar-SA"/>
        </w:rPr>
        <w:t>分为</w:t>
      </w:r>
      <w:r>
        <w:rPr>
          <w:rFonts w:hint="eastAsia" w:hAnsi="宋体" w:cstheme="minorBidi"/>
          <w:kern w:val="2"/>
          <w:sz w:val="32"/>
          <w:szCs w:val="32"/>
          <w:lang w:val="en-US" w:eastAsia="zh-CN" w:bidi="ar-SA"/>
        </w:rPr>
        <w:t>3.12</w:t>
      </w:r>
      <w:r>
        <w:rPr>
          <w:rFonts w:hint="eastAsia" w:ascii="仿宋_GB2312" w:hAnsi="宋体" w:eastAsia="仿宋_GB2312" w:cstheme="minorBidi"/>
          <w:kern w:val="2"/>
          <w:sz w:val="32"/>
          <w:szCs w:val="32"/>
          <w:lang w:val="en-US" w:eastAsia="zh-CN" w:bidi="ar-SA"/>
        </w:rPr>
        <w:t>分，得分率为</w:t>
      </w:r>
      <w:r>
        <w:rPr>
          <w:rFonts w:hint="eastAsia" w:hAnsi="宋体" w:cstheme="minorBidi"/>
          <w:kern w:val="2"/>
          <w:sz w:val="32"/>
          <w:szCs w:val="32"/>
          <w:lang w:val="en-US" w:eastAsia="zh-CN" w:bidi="ar-SA"/>
        </w:rPr>
        <w:t>100</w:t>
      </w:r>
      <w:r>
        <w:rPr>
          <w:rFonts w:hint="eastAsia" w:ascii="仿宋_GB2312" w:hAnsi="宋体" w:eastAsia="仿宋_GB2312" w:cstheme="minorBidi"/>
          <w:kern w:val="2"/>
          <w:sz w:val="32"/>
          <w:szCs w:val="32"/>
          <w:lang w:val="en-US" w:eastAsia="zh-CN" w:bidi="ar-SA"/>
        </w:rPr>
        <w:t>%</w:t>
      </w:r>
      <w:r>
        <w:rPr>
          <w:rFonts w:hint="eastAsia"/>
          <w:b w:val="0"/>
          <w:bCs w:val="0"/>
          <w:sz w:val="32"/>
          <w:szCs w:val="32"/>
          <w:highlight w:val="none"/>
          <w:lang w:val="en-US" w:eastAsia="zh-CN"/>
        </w:rPr>
        <w:t>。</w:t>
      </w:r>
    </w:p>
    <w:p w14:paraId="4515F09F">
      <w:pPr>
        <w:pageBreakBefore w:val="0"/>
        <w:widowControl w:val="0"/>
        <w:kinsoku/>
        <w:wordWrap/>
        <w:overflowPunct/>
        <w:topLinePunct w:val="0"/>
        <w:autoSpaceDE/>
        <w:autoSpaceDN/>
        <w:bidi w:val="0"/>
        <w:adjustRightInd/>
        <w:snapToGrid/>
        <w:spacing w:line="560" w:lineRule="exact"/>
        <w:ind w:firstLine="643" w:firstLineChars="200"/>
        <w:textAlignment w:val="auto"/>
        <w:rPr>
          <w:rFonts w:hAnsi="宋体"/>
          <w:sz w:val="32"/>
          <w:szCs w:val="32"/>
          <w:highlight w:val="none"/>
        </w:rPr>
      </w:pPr>
      <w:r>
        <w:rPr>
          <w:rFonts w:hint="eastAsia"/>
          <w:b/>
          <w:bCs/>
          <w:sz w:val="32"/>
          <w:szCs w:val="32"/>
        </w:rPr>
        <w:t>违法违纪情况：</w:t>
      </w:r>
      <w:r>
        <w:rPr>
          <w:rFonts w:hint="eastAsia" w:hAnsi="宋体"/>
          <w:sz w:val="32"/>
          <w:szCs w:val="32"/>
          <w:highlight w:val="none"/>
        </w:rPr>
        <w:t>我院</w:t>
      </w:r>
      <w:r>
        <w:rPr>
          <w:rFonts w:hAnsi="宋体"/>
          <w:sz w:val="32"/>
          <w:szCs w:val="32"/>
          <w:highlight w:val="none"/>
        </w:rPr>
        <w:t>未出现在国家层面督查或人大审计、监察等监督监察时发现问题被问责的情况</w:t>
      </w:r>
      <w:r>
        <w:rPr>
          <w:rFonts w:hint="eastAsia" w:hAnsi="宋体"/>
          <w:sz w:val="32"/>
          <w:szCs w:val="32"/>
          <w:highlight w:val="none"/>
        </w:rPr>
        <w:t>。</w:t>
      </w:r>
      <w:r>
        <w:rPr>
          <w:rFonts w:hint="eastAsia"/>
          <w:b w:val="0"/>
          <w:bCs w:val="0"/>
          <w:sz w:val="32"/>
          <w:szCs w:val="32"/>
          <w:lang w:val="en-US" w:eastAsia="zh-CN"/>
        </w:rPr>
        <w:t>该指标分值</w:t>
      </w:r>
      <w:r>
        <w:rPr>
          <w:rFonts w:hint="eastAsia" w:hAnsi="宋体" w:cstheme="minorBidi"/>
          <w:kern w:val="2"/>
          <w:sz w:val="32"/>
          <w:szCs w:val="32"/>
          <w:lang w:val="en-US" w:eastAsia="zh-CN" w:bidi="ar-SA"/>
        </w:rPr>
        <w:t>3.12</w:t>
      </w:r>
      <w:r>
        <w:rPr>
          <w:rFonts w:hint="eastAsia"/>
          <w:b w:val="0"/>
          <w:bCs w:val="0"/>
          <w:sz w:val="32"/>
          <w:szCs w:val="32"/>
          <w:lang w:val="en-US" w:eastAsia="zh-CN"/>
        </w:rPr>
        <w:t>分，得分</w:t>
      </w:r>
      <w:r>
        <w:rPr>
          <w:rFonts w:hint="eastAsia" w:hAnsi="宋体" w:cstheme="minorBidi"/>
          <w:kern w:val="2"/>
          <w:sz w:val="32"/>
          <w:szCs w:val="32"/>
          <w:lang w:val="en-US" w:eastAsia="zh-CN" w:bidi="ar-SA"/>
        </w:rPr>
        <w:t>3.12</w:t>
      </w:r>
      <w:r>
        <w:rPr>
          <w:rFonts w:hint="eastAsia"/>
          <w:b w:val="0"/>
          <w:bCs w:val="0"/>
          <w:sz w:val="32"/>
          <w:szCs w:val="32"/>
          <w:lang w:val="en-US" w:eastAsia="zh-CN"/>
        </w:rPr>
        <w:t>分，得分率</w:t>
      </w:r>
      <w:r>
        <w:rPr>
          <w:rFonts w:hint="eastAsia"/>
          <w:sz w:val="32"/>
          <w:szCs w:val="32"/>
        </w:rPr>
        <w:t>为</w:t>
      </w:r>
      <w:r>
        <w:rPr>
          <w:rFonts w:hint="eastAsia"/>
          <w:b w:val="0"/>
          <w:bCs w:val="0"/>
          <w:sz w:val="32"/>
          <w:szCs w:val="32"/>
          <w:lang w:val="en-US" w:eastAsia="zh-CN"/>
        </w:rPr>
        <w:t>100%</w:t>
      </w:r>
      <w:r>
        <w:rPr>
          <w:rFonts w:hint="eastAsia" w:hAnsi="宋体"/>
          <w:sz w:val="32"/>
          <w:szCs w:val="32"/>
          <w:highlight w:val="none"/>
        </w:rPr>
        <w:t>。</w:t>
      </w:r>
    </w:p>
    <w:p w14:paraId="5DCE65B1">
      <w:pPr>
        <w:pStyle w:val="4"/>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bookmarkStart w:id="51" w:name="_Toc40046033"/>
      <w:r>
        <w:rPr>
          <w:rFonts w:hint="eastAsia"/>
          <w:sz w:val="32"/>
          <w:szCs w:val="32"/>
        </w:rPr>
        <w:t>4</w:t>
      </w:r>
      <w:r>
        <w:rPr>
          <w:rFonts w:hint="eastAsia"/>
          <w:sz w:val="32"/>
          <w:szCs w:val="32"/>
          <w:lang w:eastAsia="zh-CN"/>
        </w:rPr>
        <w:t>.</w:t>
      </w:r>
      <w:r>
        <w:rPr>
          <w:rFonts w:hint="eastAsia"/>
          <w:sz w:val="32"/>
          <w:szCs w:val="32"/>
        </w:rPr>
        <w:t>能力建设</w:t>
      </w:r>
      <w:bookmarkEnd w:id="51"/>
    </w:p>
    <w:p w14:paraId="2100169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Ansi="宋体" w:eastAsia="仿宋_GB2312"/>
          <w:sz w:val="32"/>
          <w:szCs w:val="32"/>
          <w:lang w:val="en-US" w:eastAsia="zh-CN"/>
        </w:rPr>
      </w:pPr>
      <w:r>
        <w:rPr>
          <w:rFonts w:hint="eastAsia" w:hAnsi="宋体"/>
          <w:sz w:val="32"/>
          <w:szCs w:val="32"/>
          <w:lang w:val="en-US" w:eastAsia="zh-CN"/>
        </w:rPr>
        <w:t>能力建设指标分值</w:t>
      </w:r>
      <w:r>
        <w:rPr>
          <w:rFonts w:hint="eastAsia"/>
          <w:sz w:val="32"/>
          <w:szCs w:val="32"/>
          <w:lang w:val="en-US" w:eastAsia="zh-CN"/>
        </w:rPr>
        <w:t>10</w:t>
      </w:r>
      <w:r>
        <w:rPr>
          <w:rFonts w:hint="eastAsia"/>
          <w:sz w:val="32"/>
          <w:szCs w:val="32"/>
        </w:rPr>
        <w:t>分</w:t>
      </w:r>
      <w:r>
        <w:rPr>
          <w:rFonts w:hint="eastAsia"/>
          <w:sz w:val="32"/>
          <w:szCs w:val="32"/>
          <w:highlight w:val="none"/>
        </w:rPr>
        <w:t>，自评得分</w:t>
      </w:r>
      <w:r>
        <w:rPr>
          <w:rFonts w:hint="eastAsia"/>
          <w:sz w:val="32"/>
          <w:szCs w:val="32"/>
          <w:highlight w:val="none"/>
          <w:lang w:val="en-US" w:eastAsia="zh-CN"/>
        </w:rPr>
        <w:t>10</w:t>
      </w:r>
      <w:r>
        <w:rPr>
          <w:rFonts w:hint="eastAsia"/>
          <w:sz w:val="32"/>
          <w:szCs w:val="32"/>
          <w:highlight w:val="none"/>
        </w:rPr>
        <w:t>分，得分率</w:t>
      </w:r>
      <w:r>
        <w:rPr>
          <w:rFonts w:hint="eastAsia"/>
          <w:sz w:val="32"/>
          <w:szCs w:val="32"/>
        </w:rPr>
        <w:t>为</w:t>
      </w:r>
      <w:r>
        <w:rPr>
          <w:rFonts w:hint="eastAsia"/>
          <w:sz w:val="32"/>
          <w:szCs w:val="32"/>
          <w:highlight w:val="none"/>
          <w:lang w:val="en-US" w:eastAsia="zh-CN"/>
        </w:rPr>
        <w:t>100</w:t>
      </w:r>
      <w:r>
        <w:rPr>
          <w:rFonts w:hint="eastAsia"/>
          <w:sz w:val="32"/>
          <w:szCs w:val="32"/>
          <w:highlight w:val="none"/>
        </w:rPr>
        <w:t>%。</w:t>
      </w:r>
    </w:p>
    <w:p w14:paraId="250F6D2D">
      <w:pPr>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hAnsi="宋体"/>
          <w:b/>
          <w:bCs/>
          <w:sz w:val="32"/>
          <w:szCs w:val="32"/>
        </w:rPr>
        <w:t>中期规划建设完备程度：</w:t>
      </w:r>
      <w:r>
        <w:rPr>
          <w:rFonts w:hint="eastAsia" w:hAnsi="宋体"/>
          <w:sz w:val="32"/>
          <w:szCs w:val="32"/>
        </w:rPr>
        <w:t>我院中期规划完整清晰、内容全面可行，能够为未来的工作明确目标、方向和内容，</w:t>
      </w:r>
      <w:r>
        <w:rPr>
          <w:rFonts w:hint="eastAsia"/>
          <w:sz w:val="32"/>
          <w:szCs w:val="32"/>
          <w:lang w:eastAsia="zh-CN"/>
        </w:rPr>
        <w:t>达到年度指标值</w:t>
      </w:r>
      <w:r>
        <w:rPr>
          <w:rFonts w:hint="eastAsia"/>
          <w:sz w:val="32"/>
          <w:szCs w:val="32"/>
        </w:rPr>
        <w:t>。</w:t>
      </w:r>
      <w:r>
        <w:rPr>
          <w:rFonts w:hint="eastAsia" w:hAnsi="宋体"/>
          <w:sz w:val="32"/>
          <w:szCs w:val="32"/>
        </w:rPr>
        <w:t>该指标分值</w:t>
      </w:r>
      <w:r>
        <w:rPr>
          <w:rFonts w:hint="eastAsia" w:hAnsi="宋体"/>
          <w:sz w:val="32"/>
          <w:szCs w:val="32"/>
          <w:lang w:val="en-US" w:eastAsia="zh-CN"/>
        </w:rPr>
        <w:t>2</w:t>
      </w:r>
      <w:r>
        <w:rPr>
          <w:rFonts w:hint="eastAsia" w:hAnsi="宋体"/>
          <w:sz w:val="32"/>
          <w:szCs w:val="32"/>
        </w:rPr>
        <w:t>分，自评得分为</w:t>
      </w:r>
      <w:r>
        <w:rPr>
          <w:rFonts w:hint="eastAsia" w:hAnsi="宋体"/>
          <w:sz w:val="32"/>
          <w:szCs w:val="32"/>
          <w:lang w:val="en-US" w:eastAsia="zh-CN"/>
        </w:rPr>
        <w:t>2</w:t>
      </w:r>
      <w:r>
        <w:rPr>
          <w:rFonts w:hint="eastAsia" w:hAnsi="宋体"/>
          <w:sz w:val="32"/>
          <w:szCs w:val="32"/>
        </w:rPr>
        <w:t>分，得分率</w:t>
      </w:r>
      <w:r>
        <w:rPr>
          <w:rFonts w:hint="eastAsia"/>
          <w:sz w:val="32"/>
          <w:szCs w:val="32"/>
        </w:rPr>
        <w:t>为</w:t>
      </w:r>
      <w:r>
        <w:rPr>
          <w:rFonts w:hint="eastAsia" w:hAnsi="宋体"/>
          <w:sz w:val="32"/>
          <w:szCs w:val="32"/>
        </w:rPr>
        <w:t>100%。</w:t>
      </w:r>
    </w:p>
    <w:p w14:paraId="75F6560F">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宋体" w:eastAsia="仿宋_GB2312" w:cs="宋体"/>
          <w:b/>
          <w:bCs/>
          <w:kern w:val="0"/>
          <w:sz w:val="32"/>
          <w:szCs w:val="32"/>
          <w:highlight w:val="none"/>
          <w:lang w:eastAsia="zh-CN"/>
        </w:rPr>
      </w:pPr>
      <w:r>
        <w:rPr>
          <w:rFonts w:hint="eastAsia" w:hAnsi="宋体" w:cs="宋体"/>
          <w:b/>
          <w:bCs/>
          <w:kern w:val="0"/>
          <w:sz w:val="32"/>
          <w:szCs w:val="32"/>
          <w:highlight w:val="none"/>
        </w:rPr>
        <w:t>党建工作开展规律性</w:t>
      </w:r>
      <w:r>
        <w:rPr>
          <w:rFonts w:hint="eastAsia" w:hAnsi="宋体" w:cs="宋体"/>
          <w:b/>
          <w:bCs/>
          <w:kern w:val="0"/>
          <w:sz w:val="32"/>
          <w:szCs w:val="32"/>
          <w:highlight w:val="none"/>
          <w:lang w:eastAsia="zh-CN"/>
        </w:rPr>
        <w:t>：</w:t>
      </w:r>
      <w:r>
        <w:rPr>
          <w:rFonts w:hint="eastAsia" w:hAnsi="宋体" w:cs="宋体"/>
          <w:b w:val="0"/>
          <w:bCs w:val="0"/>
          <w:kern w:val="0"/>
          <w:sz w:val="32"/>
          <w:szCs w:val="32"/>
          <w:highlight w:val="none"/>
          <w:lang w:val="en-US" w:eastAsia="zh-CN"/>
        </w:rPr>
        <w:t>2023年我院机关党委和五个党支部在院党组的正确领导下，坚持以习近平新时代中国特色社会主义思想为指导，深入学习贯彻党的二十大精神和习近平总书记关于党的建设的重要思想，扎实开展学习贯彻习近平新时代中国特色社会主义思想主题教育，“三抓三促”行动和“铸忠诚警魂”活动，紧紧围绕年度党建工作目标，坚持抓党建带队建促审判，坚持围绕中心、服务大局，基层党组织政治功能和组织功能显著增强，战斗堡垒作用充分发挥，党组织书记抓基层党建工作责任到位、落实有力、成效显著。</w:t>
      </w:r>
      <w:r>
        <w:rPr>
          <w:rFonts w:hint="eastAsia" w:hAnsi="宋体"/>
          <w:sz w:val="32"/>
          <w:szCs w:val="32"/>
          <w:highlight w:val="none"/>
        </w:rPr>
        <w:t>该指标分值</w:t>
      </w:r>
      <w:r>
        <w:rPr>
          <w:rFonts w:hint="eastAsia" w:hAnsi="宋体"/>
          <w:sz w:val="32"/>
          <w:szCs w:val="32"/>
          <w:highlight w:val="none"/>
          <w:lang w:val="en-US" w:eastAsia="zh-CN"/>
        </w:rPr>
        <w:t>2</w:t>
      </w:r>
      <w:r>
        <w:rPr>
          <w:rFonts w:hint="eastAsia" w:hAnsi="宋体"/>
          <w:sz w:val="32"/>
          <w:szCs w:val="32"/>
          <w:highlight w:val="none"/>
        </w:rPr>
        <w:t>分，自评得分为</w:t>
      </w:r>
      <w:r>
        <w:rPr>
          <w:rFonts w:hint="eastAsia" w:hAnsi="宋体"/>
          <w:sz w:val="32"/>
          <w:szCs w:val="32"/>
          <w:highlight w:val="none"/>
          <w:lang w:val="en-US" w:eastAsia="zh-CN"/>
        </w:rPr>
        <w:t>2</w:t>
      </w:r>
      <w:r>
        <w:rPr>
          <w:rFonts w:hint="eastAsia" w:hAnsi="宋体"/>
          <w:sz w:val="32"/>
          <w:szCs w:val="32"/>
          <w:highlight w:val="none"/>
        </w:rPr>
        <w:t>分，得分率</w:t>
      </w:r>
      <w:r>
        <w:rPr>
          <w:rFonts w:hint="eastAsia"/>
          <w:sz w:val="32"/>
          <w:szCs w:val="32"/>
          <w:highlight w:val="none"/>
        </w:rPr>
        <w:t>为</w:t>
      </w:r>
      <w:r>
        <w:rPr>
          <w:rFonts w:hint="eastAsia" w:hAnsi="宋体"/>
          <w:sz w:val="32"/>
          <w:szCs w:val="32"/>
          <w:highlight w:val="none"/>
        </w:rPr>
        <w:t>100%。</w:t>
      </w:r>
    </w:p>
    <w:p w14:paraId="638B0535">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hAnsi="宋体" w:eastAsia="仿宋_GB2312" w:cs="宋体"/>
          <w:b/>
          <w:bCs/>
          <w:kern w:val="0"/>
          <w:sz w:val="32"/>
          <w:szCs w:val="32"/>
          <w:highlight w:val="none"/>
          <w:lang w:val="en-US" w:eastAsia="zh-CN"/>
        </w:rPr>
      </w:pPr>
      <w:r>
        <w:rPr>
          <w:rFonts w:hint="eastAsia" w:hAnsi="宋体" w:cs="宋体"/>
          <w:b/>
          <w:bCs/>
          <w:kern w:val="0"/>
          <w:sz w:val="32"/>
          <w:szCs w:val="32"/>
          <w:highlight w:val="none"/>
        </w:rPr>
        <w:t>信息化管理覆盖率</w:t>
      </w:r>
      <w:r>
        <w:rPr>
          <w:rFonts w:hint="eastAsia" w:hAnsi="宋体" w:cs="宋体"/>
          <w:b/>
          <w:bCs/>
          <w:kern w:val="0"/>
          <w:sz w:val="32"/>
          <w:szCs w:val="32"/>
          <w:highlight w:val="none"/>
          <w:lang w:eastAsia="zh-CN"/>
        </w:rPr>
        <w:t>：</w:t>
      </w:r>
      <w:r>
        <w:rPr>
          <w:rFonts w:hint="eastAsia" w:hAnsi="宋体" w:cs="宋体"/>
          <w:b w:val="0"/>
          <w:bCs w:val="0"/>
          <w:kern w:val="0"/>
          <w:sz w:val="32"/>
          <w:szCs w:val="32"/>
          <w:highlight w:val="none"/>
          <w:lang w:val="en-US" w:eastAsia="zh-CN"/>
        </w:rPr>
        <w:t>我院高度重视执行信息化建设，坚持以人民为中心，打造“一网通办理、一站式服务”的综合性诉讼服务中心，“网上立案+电子送达+在线调解+远程审理”线上办案模式基本实现，“一揽子接收、全链条流转、一次性解决”的线下诉服体系运行良好，一站式建设质效指标稳居全市第一方阵。</w:t>
      </w:r>
      <w:r>
        <w:rPr>
          <w:rFonts w:hint="eastAsia" w:hAnsi="宋体"/>
          <w:sz w:val="32"/>
          <w:szCs w:val="32"/>
          <w:highlight w:val="none"/>
        </w:rPr>
        <w:t>该指标分值</w:t>
      </w:r>
      <w:r>
        <w:rPr>
          <w:rFonts w:hint="eastAsia" w:hAnsi="宋体"/>
          <w:sz w:val="32"/>
          <w:szCs w:val="32"/>
          <w:highlight w:val="none"/>
          <w:lang w:val="en-US" w:eastAsia="zh-CN"/>
        </w:rPr>
        <w:t>2</w:t>
      </w:r>
      <w:r>
        <w:rPr>
          <w:rFonts w:hint="eastAsia" w:hAnsi="宋体"/>
          <w:sz w:val="32"/>
          <w:szCs w:val="32"/>
          <w:highlight w:val="none"/>
        </w:rPr>
        <w:t>分，自评得分为</w:t>
      </w:r>
      <w:r>
        <w:rPr>
          <w:rFonts w:hint="eastAsia" w:hAnsi="宋体"/>
          <w:sz w:val="32"/>
          <w:szCs w:val="32"/>
          <w:highlight w:val="none"/>
          <w:lang w:val="en-US" w:eastAsia="zh-CN"/>
        </w:rPr>
        <w:t>2</w:t>
      </w:r>
      <w:r>
        <w:rPr>
          <w:rFonts w:hint="eastAsia" w:hAnsi="宋体"/>
          <w:sz w:val="32"/>
          <w:szCs w:val="32"/>
          <w:highlight w:val="none"/>
        </w:rPr>
        <w:t>分，得分率</w:t>
      </w:r>
      <w:r>
        <w:rPr>
          <w:rFonts w:hint="eastAsia"/>
          <w:sz w:val="32"/>
          <w:szCs w:val="32"/>
          <w:highlight w:val="none"/>
        </w:rPr>
        <w:t>为</w:t>
      </w:r>
      <w:r>
        <w:rPr>
          <w:rFonts w:hint="eastAsia" w:hAnsi="宋体"/>
          <w:sz w:val="32"/>
          <w:szCs w:val="32"/>
          <w:highlight w:val="none"/>
        </w:rPr>
        <w:t>100%。</w:t>
      </w:r>
    </w:p>
    <w:p w14:paraId="4C156963">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宋体"/>
          <w:b/>
          <w:bCs/>
          <w:sz w:val="32"/>
          <w:szCs w:val="32"/>
        </w:rPr>
      </w:pPr>
      <w:r>
        <w:rPr>
          <w:rFonts w:hint="eastAsia" w:hAnsi="宋体" w:cs="宋体"/>
          <w:b/>
          <w:bCs/>
          <w:kern w:val="0"/>
          <w:sz w:val="32"/>
          <w:szCs w:val="32"/>
        </w:rPr>
        <w:t>人员培训机制完备性：</w:t>
      </w:r>
      <w:r>
        <w:rPr>
          <w:rFonts w:hint="eastAsia" w:hAnsi="宋体"/>
          <w:sz w:val="32"/>
          <w:szCs w:val="32"/>
        </w:rPr>
        <w:t>我院高度重视人员能力的培养，在人员培训方面，严格展开培训活动，为法院的长期发展储备优秀人才，不断完善人员培训机制，强化岗位练兵活动，积极加强干警业务能力水平的提升</w:t>
      </w:r>
      <w:r>
        <w:rPr>
          <w:rFonts w:hint="eastAsia" w:hAnsi="宋体"/>
          <w:sz w:val="32"/>
          <w:szCs w:val="32"/>
          <w:lang w:eastAsia="zh-CN"/>
        </w:rPr>
        <w:t>，</w:t>
      </w:r>
      <w:r>
        <w:rPr>
          <w:rFonts w:hint="eastAsia"/>
          <w:sz w:val="32"/>
          <w:szCs w:val="32"/>
          <w:lang w:eastAsia="zh-CN"/>
        </w:rPr>
        <w:t>达到年度指标值</w:t>
      </w:r>
      <w:r>
        <w:rPr>
          <w:rFonts w:hint="eastAsia"/>
          <w:sz w:val="32"/>
          <w:szCs w:val="32"/>
        </w:rPr>
        <w:t>。</w:t>
      </w:r>
      <w:r>
        <w:rPr>
          <w:rFonts w:hint="eastAsia" w:hAnsi="宋体" w:cs="宋体"/>
          <w:kern w:val="0"/>
          <w:sz w:val="32"/>
          <w:szCs w:val="32"/>
        </w:rPr>
        <w:t>该指标分值</w:t>
      </w:r>
      <w:r>
        <w:rPr>
          <w:rFonts w:hint="eastAsia" w:hAnsi="宋体" w:cs="宋体"/>
          <w:kern w:val="0"/>
          <w:sz w:val="32"/>
          <w:szCs w:val="32"/>
          <w:lang w:val="en-US" w:eastAsia="zh-CN"/>
        </w:rPr>
        <w:t>2</w:t>
      </w:r>
      <w:r>
        <w:rPr>
          <w:rFonts w:hint="eastAsia" w:hAnsi="宋体" w:cs="宋体"/>
          <w:kern w:val="0"/>
          <w:sz w:val="32"/>
          <w:szCs w:val="32"/>
        </w:rPr>
        <w:t>分，自评得分为</w:t>
      </w:r>
      <w:r>
        <w:rPr>
          <w:rFonts w:hint="eastAsia" w:hAnsi="宋体" w:cs="宋体"/>
          <w:kern w:val="0"/>
          <w:sz w:val="32"/>
          <w:szCs w:val="32"/>
          <w:lang w:val="en-US" w:eastAsia="zh-CN"/>
        </w:rPr>
        <w:t>2</w:t>
      </w:r>
      <w:r>
        <w:rPr>
          <w:rFonts w:hint="eastAsia" w:hAnsi="宋体" w:cs="宋体"/>
          <w:kern w:val="0"/>
          <w:sz w:val="32"/>
          <w:szCs w:val="32"/>
        </w:rPr>
        <w:t>分，得分率为100%。</w:t>
      </w:r>
    </w:p>
    <w:p w14:paraId="37D91444">
      <w:pPr>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hAnsi="宋体"/>
          <w:b/>
          <w:bCs/>
          <w:sz w:val="32"/>
          <w:szCs w:val="32"/>
        </w:rPr>
        <w:t>档案管理完备性：</w:t>
      </w:r>
      <w:r>
        <w:rPr>
          <w:rFonts w:hint="eastAsia" w:hAnsi="宋体"/>
          <w:sz w:val="32"/>
          <w:szCs w:val="32"/>
        </w:rPr>
        <w:t>我院严格规范和完善各项档案管理工作，在档案收集、保管方面管理到位，有效执行，并设有档案管理的专职人员，取得了良好的成效</w:t>
      </w:r>
      <w:r>
        <w:rPr>
          <w:rFonts w:hint="eastAsia" w:hAnsi="宋体"/>
          <w:sz w:val="32"/>
          <w:szCs w:val="32"/>
          <w:lang w:eastAsia="zh-CN"/>
        </w:rPr>
        <w:t>，</w:t>
      </w:r>
      <w:r>
        <w:rPr>
          <w:rFonts w:hint="eastAsia"/>
          <w:sz w:val="32"/>
          <w:szCs w:val="32"/>
          <w:lang w:eastAsia="zh-CN"/>
        </w:rPr>
        <w:t>达到年度指标值</w:t>
      </w:r>
      <w:r>
        <w:rPr>
          <w:rFonts w:hint="eastAsia"/>
          <w:sz w:val="32"/>
          <w:szCs w:val="32"/>
        </w:rPr>
        <w:t>。</w:t>
      </w:r>
      <w:r>
        <w:rPr>
          <w:rFonts w:hint="eastAsia" w:hAnsi="宋体"/>
          <w:sz w:val="32"/>
          <w:szCs w:val="32"/>
        </w:rPr>
        <w:t>该指标分值</w:t>
      </w:r>
      <w:r>
        <w:rPr>
          <w:rFonts w:hint="eastAsia" w:hAnsi="宋体"/>
          <w:sz w:val="32"/>
          <w:szCs w:val="32"/>
          <w:lang w:val="en-US" w:eastAsia="zh-CN"/>
        </w:rPr>
        <w:t>2</w:t>
      </w:r>
      <w:r>
        <w:rPr>
          <w:rFonts w:hint="eastAsia" w:hAnsi="宋体"/>
          <w:sz w:val="32"/>
          <w:szCs w:val="32"/>
        </w:rPr>
        <w:t>分，自评得分为</w:t>
      </w:r>
      <w:r>
        <w:rPr>
          <w:rFonts w:hint="eastAsia" w:hAnsi="宋体"/>
          <w:sz w:val="32"/>
          <w:szCs w:val="32"/>
          <w:lang w:val="en-US" w:eastAsia="zh-CN"/>
        </w:rPr>
        <w:t>2</w:t>
      </w:r>
      <w:r>
        <w:rPr>
          <w:rFonts w:hint="eastAsia" w:hAnsi="宋体"/>
          <w:sz w:val="32"/>
          <w:szCs w:val="32"/>
        </w:rPr>
        <w:t>分，得分率</w:t>
      </w:r>
      <w:r>
        <w:rPr>
          <w:rFonts w:hint="eastAsia"/>
          <w:sz w:val="32"/>
          <w:szCs w:val="32"/>
        </w:rPr>
        <w:t>为</w:t>
      </w:r>
      <w:r>
        <w:rPr>
          <w:rFonts w:hint="eastAsia" w:hAnsi="宋体"/>
          <w:sz w:val="32"/>
          <w:szCs w:val="32"/>
        </w:rPr>
        <w:t>100%。</w:t>
      </w:r>
      <w:bookmarkStart w:id="52" w:name="_Toc16525"/>
      <w:bookmarkStart w:id="53" w:name="_Toc12558"/>
      <w:bookmarkStart w:id="54" w:name="_Toc40046035"/>
      <w:bookmarkStart w:id="55" w:name="_Toc3174"/>
      <w:bookmarkStart w:id="56" w:name="_Toc16731"/>
    </w:p>
    <w:p w14:paraId="3B7EDA1B">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sz w:val="32"/>
          <w:szCs w:val="32"/>
          <w:highlight w:val="none"/>
        </w:rPr>
      </w:pPr>
      <w:bookmarkStart w:id="57" w:name="_Toc4238"/>
      <w:r>
        <w:rPr>
          <w:rFonts w:hint="eastAsia"/>
          <w:sz w:val="32"/>
          <w:szCs w:val="32"/>
          <w:highlight w:val="none"/>
          <w:lang w:eastAsia="zh-CN"/>
        </w:rPr>
        <w:t>（四）</w:t>
      </w:r>
      <w:r>
        <w:rPr>
          <w:rFonts w:hint="eastAsia"/>
          <w:sz w:val="32"/>
          <w:szCs w:val="32"/>
          <w:highlight w:val="none"/>
        </w:rPr>
        <w:t>偏离绩效目标的原因及下一步改进措施</w:t>
      </w:r>
      <w:bookmarkEnd w:id="52"/>
      <w:bookmarkEnd w:id="53"/>
      <w:bookmarkEnd w:id="54"/>
      <w:bookmarkEnd w:id="55"/>
      <w:bookmarkEnd w:id="56"/>
      <w:bookmarkEnd w:id="57"/>
    </w:p>
    <w:p w14:paraId="768D4CB8">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sz w:val="32"/>
          <w:szCs w:val="32"/>
          <w:highlight w:val="none"/>
          <w:lang w:val="en-US" w:eastAsia="zh-CN"/>
        </w:rPr>
      </w:pPr>
      <w:bookmarkStart w:id="58" w:name="_Toc2045"/>
      <w:bookmarkStart w:id="59" w:name="_Toc16890"/>
      <w:bookmarkStart w:id="60" w:name="_Toc8740"/>
      <w:r>
        <w:rPr>
          <w:rFonts w:hint="eastAsia"/>
          <w:b/>
          <w:bCs/>
          <w:sz w:val="32"/>
          <w:szCs w:val="32"/>
          <w:highlight w:val="none"/>
          <w:lang w:val="en-US" w:eastAsia="zh-CN"/>
        </w:rPr>
        <w:t>1.部分指标未达到目标值</w:t>
      </w:r>
    </w:p>
    <w:p w14:paraId="5DC7FAB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eastAsia="仿宋_GB2312"/>
          <w:sz w:val="32"/>
          <w:szCs w:val="32"/>
          <w:highlight w:val="none"/>
          <w:lang w:eastAsia="zh-CN"/>
        </w:rPr>
      </w:pPr>
      <w:r>
        <w:rPr>
          <w:rFonts w:hint="eastAsia" w:hAnsi="宋体"/>
          <w:sz w:val="32"/>
          <w:szCs w:val="32"/>
          <w:highlight w:val="none"/>
        </w:rPr>
        <w:t>我院基本支出全年预算3,608.43</w:t>
      </w:r>
      <w:r>
        <w:rPr>
          <w:rFonts w:hint="eastAsia" w:hAnsi="宋体"/>
          <w:sz w:val="32"/>
          <w:szCs w:val="32"/>
          <w:highlight w:val="none"/>
          <w:lang w:val="en-US" w:eastAsia="zh-CN"/>
        </w:rPr>
        <w:t>万元，</w:t>
      </w:r>
      <w:r>
        <w:rPr>
          <w:rFonts w:hint="eastAsia" w:hAnsi="宋体"/>
          <w:sz w:val="32"/>
          <w:szCs w:val="32"/>
          <w:highlight w:val="none"/>
        </w:rPr>
        <w:t>实际支出3,109.54</w:t>
      </w:r>
      <w:r>
        <w:rPr>
          <w:rFonts w:hint="eastAsia" w:hAnsi="宋体"/>
          <w:sz w:val="32"/>
          <w:szCs w:val="32"/>
          <w:highlight w:val="none"/>
          <w:lang w:val="en-US" w:eastAsia="zh-CN"/>
        </w:rPr>
        <w:t>万</w:t>
      </w:r>
      <w:r>
        <w:rPr>
          <w:rFonts w:hint="eastAsia" w:hAnsi="宋体"/>
          <w:sz w:val="32"/>
          <w:szCs w:val="32"/>
          <w:highlight w:val="none"/>
        </w:rPr>
        <w:t>元，基本支出预算执行率为86.17%</w:t>
      </w:r>
      <w:r>
        <w:rPr>
          <w:rFonts w:hint="eastAsia" w:hAnsi="宋体"/>
          <w:sz w:val="32"/>
          <w:szCs w:val="32"/>
          <w:highlight w:val="none"/>
          <w:lang w:eastAsia="zh-CN"/>
        </w:rPr>
        <w:t>，</w:t>
      </w:r>
      <w:r>
        <w:rPr>
          <w:rFonts w:hint="eastAsia"/>
          <w:b w:val="0"/>
          <w:bCs w:val="0"/>
          <w:sz w:val="32"/>
          <w:szCs w:val="32"/>
          <w:highlight w:val="none"/>
          <w:lang w:val="en-US" w:eastAsia="zh-CN"/>
        </w:rPr>
        <w:t>下一年度我院将</w:t>
      </w:r>
      <w:r>
        <w:rPr>
          <w:rFonts w:hint="eastAsia" w:hAnsi="宋体"/>
          <w:sz w:val="32"/>
          <w:szCs w:val="32"/>
          <w:highlight w:val="none"/>
          <w:lang w:eastAsia="zh-CN"/>
        </w:rPr>
        <w:t>及时完成绩效考核及资金支付，加快资金支付进度。</w:t>
      </w:r>
    </w:p>
    <w:p w14:paraId="246CD3C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sz w:val="32"/>
          <w:szCs w:val="32"/>
          <w:highlight w:val="none"/>
          <w:lang w:eastAsia="zh-CN"/>
        </w:rPr>
      </w:pPr>
      <w:r>
        <w:rPr>
          <w:rFonts w:hint="eastAsia" w:hAnsi="宋体"/>
          <w:sz w:val="32"/>
          <w:szCs w:val="32"/>
          <w:highlight w:val="none"/>
        </w:rPr>
        <w:t>“三公经费”</w:t>
      </w:r>
      <w:r>
        <w:rPr>
          <w:rFonts w:hint="eastAsia" w:hAnsi="宋体"/>
          <w:sz w:val="32"/>
          <w:szCs w:val="32"/>
          <w:highlight w:val="none"/>
          <w:lang w:val="en-US" w:eastAsia="zh-CN"/>
        </w:rPr>
        <w:t>预算批复数52.00万元，实际支出31.63万元，</w:t>
      </w:r>
      <w:r>
        <w:rPr>
          <w:rFonts w:hint="eastAsia" w:hAnsi="宋体"/>
          <w:sz w:val="32"/>
          <w:szCs w:val="32"/>
          <w:highlight w:val="none"/>
        </w:rPr>
        <w:t>“三公经费”控制率</w:t>
      </w:r>
      <w:r>
        <w:rPr>
          <w:rFonts w:hint="eastAsia" w:hAnsi="宋体"/>
          <w:sz w:val="32"/>
          <w:szCs w:val="32"/>
          <w:highlight w:val="none"/>
          <w:lang w:val="en-US" w:eastAsia="zh-CN"/>
        </w:rPr>
        <w:t>60.82</w:t>
      </w:r>
      <w:r>
        <w:rPr>
          <w:rFonts w:hint="eastAsia" w:hAnsi="宋体"/>
          <w:sz w:val="32"/>
          <w:szCs w:val="32"/>
          <w:highlight w:val="none"/>
        </w:rPr>
        <w:t>%</w:t>
      </w:r>
      <w:r>
        <w:rPr>
          <w:rFonts w:hint="eastAsia" w:hAnsi="宋体"/>
          <w:sz w:val="32"/>
          <w:szCs w:val="32"/>
          <w:highlight w:val="none"/>
          <w:lang w:eastAsia="zh-CN"/>
        </w:rPr>
        <w:t>，</w:t>
      </w:r>
      <w:r>
        <w:rPr>
          <w:rFonts w:hint="eastAsia" w:hAnsi="宋体"/>
          <w:sz w:val="32"/>
          <w:szCs w:val="32"/>
          <w:highlight w:val="none"/>
          <w:lang w:val="en-US" w:eastAsia="zh-CN"/>
        </w:rPr>
        <w:t>因</w:t>
      </w:r>
      <w:r>
        <w:rPr>
          <w:rFonts w:hint="eastAsia" w:hAnsi="宋体"/>
          <w:sz w:val="32"/>
          <w:szCs w:val="32"/>
          <w:highlight w:val="none"/>
          <w:lang w:eastAsia="zh-CN"/>
        </w:rPr>
        <w:t>车辆</w:t>
      </w:r>
      <w:r>
        <w:rPr>
          <w:rFonts w:hint="eastAsia" w:hAnsi="宋体"/>
          <w:sz w:val="32"/>
          <w:szCs w:val="32"/>
          <w:highlight w:val="none"/>
          <w:lang w:val="en-US" w:eastAsia="zh-CN"/>
        </w:rPr>
        <w:t>采购未获批未完成采购</w:t>
      </w:r>
      <w:r>
        <w:rPr>
          <w:rFonts w:hint="eastAsia" w:hAnsi="宋体"/>
          <w:sz w:val="32"/>
          <w:szCs w:val="32"/>
          <w:highlight w:val="none"/>
          <w:lang w:eastAsia="zh-CN"/>
        </w:rPr>
        <w:t>、本着厉行节约原则公务接待无支，</w:t>
      </w:r>
      <w:r>
        <w:rPr>
          <w:rFonts w:hint="eastAsia"/>
          <w:b w:val="0"/>
          <w:bCs w:val="0"/>
          <w:sz w:val="32"/>
          <w:szCs w:val="32"/>
          <w:highlight w:val="none"/>
          <w:lang w:val="en-US" w:eastAsia="zh-CN"/>
        </w:rPr>
        <w:t>下一年度我院将</w:t>
      </w:r>
      <w:r>
        <w:rPr>
          <w:rFonts w:hint="eastAsia" w:hAnsi="宋体"/>
          <w:sz w:val="32"/>
          <w:szCs w:val="32"/>
          <w:highlight w:val="none"/>
          <w:lang w:eastAsia="zh-CN"/>
        </w:rPr>
        <w:t>持续跟进车辆采购工作，完成车辆采购。</w:t>
      </w:r>
    </w:p>
    <w:p w14:paraId="769FD4E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hAnsi="宋体"/>
          <w:sz w:val="32"/>
          <w:szCs w:val="32"/>
          <w:highlight w:val="none"/>
        </w:rPr>
        <w:t>因基础设施不符合部分设备安装、使用条件，</w:t>
      </w:r>
      <w:r>
        <w:rPr>
          <w:rFonts w:hint="eastAsia" w:hAnsi="宋体"/>
          <w:sz w:val="32"/>
          <w:szCs w:val="32"/>
          <w:highlight w:val="none"/>
          <w:lang w:val="en-US" w:eastAsia="zh-CN"/>
        </w:rPr>
        <w:t>部分</w:t>
      </w:r>
      <w:r>
        <w:rPr>
          <w:rFonts w:hint="eastAsia" w:hAnsi="宋体"/>
          <w:sz w:val="32"/>
          <w:szCs w:val="32"/>
          <w:highlight w:val="none"/>
        </w:rPr>
        <w:t>资产未采购</w:t>
      </w:r>
      <w:r>
        <w:rPr>
          <w:rFonts w:hint="eastAsia" w:hAnsi="宋体"/>
          <w:sz w:val="32"/>
          <w:szCs w:val="32"/>
          <w:highlight w:val="none"/>
          <w:lang w:eastAsia="zh-CN"/>
        </w:rPr>
        <w:t>，</w:t>
      </w:r>
      <w:r>
        <w:rPr>
          <w:rFonts w:hint="eastAsia" w:hAnsi="宋体"/>
          <w:sz w:val="32"/>
          <w:szCs w:val="32"/>
          <w:highlight w:val="none"/>
          <w:lang w:val="en-US" w:eastAsia="zh-CN"/>
        </w:rPr>
        <w:t>装备购置完成率74%，</w:t>
      </w:r>
      <w:r>
        <w:rPr>
          <w:rFonts w:hint="eastAsia"/>
          <w:b w:val="0"/>
          <w:bCs w:val="0"/>
          <w:sz w:val="32"/>
          <w:szCs w:val="32"/>
          <w:highlight w:val="none"/>
          <w:lang w:val="en-US" w:eastAsia="zh-CN"/>
        </w:rPr>
        <w:t>下一年度我院</w:t>
      </w:r>
      <w:r>
        <w:rPr>
          <w:rFonts w:hint="eastAsia" w:hAnsi="宋体"/>
          <w:sz w:val="32"/>
          <w:szCs w:val="32"/>
          <w:highlight w:val="none"/>
          <w:lang w:val="en-US" w:eastAsia="zh-CN"/>
        </w:rPr>
        <w:t>综合考虑实际条件，合理编制资产采购预算。</w:t>
      </w:r>
    </w:p>
    <w:p w14:paraId="060C5540">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b/>
          <w:bCs/>
          <w:sz w:val="32"/>
          <w:szCs w:val="32"/>
          <w:lang w:val="en-US" w:eastAsia="zh-CN"/>
        </w:rPr>
      </w:pPr>
      <w:r>
        <w:rPr>
          <w:rFonts w:hint="eastAsia"/>
          <w:b/>
          <w:bCs/>
          <w:sz w:val="32"/>
          <w:szCs w:val="32"/>
          <w:lang w:val="en-US" w:eastAsia="zh-CN"/>
        </w:rPr>
        <w:t>2.目标值设置不合理</w:t>
      </w:r>
    </w:p>
    <w:p w14:paraId="2D92DA9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sz w:val="32"/>
          <w:szCs w:val="32"/>
          <w:highlight w:val="none"/>
          <w:lang w:eastAsia="zh-CN"/>
        </w:rPr>
      </w:pPr>
      <w:r>
        <w:rPr>
          <w:rFonts w:hint="eastAsia"/>
          <w:b w:val="0"/>
          <w:bCs w:val="0"/>
          <w:sz w:val="32"/>
          <w:szCs w:val="32"/>
          <w:highlight w:val="none"/>
          <w:lang w:val="en-US" w:eastAsia="zh-CN"/>
        </w:rPr>
        <w:t>执行标的到位</w:t>
      </w:r>
      <w:r>
        <w:rPr>
          <w:rFonts w:hint="eastAsia" w:hAnsi="宋体" w:cstheme="minorBidi"/>
          <w:b w:val="0"/>
          <w:bCs w:val="0"/>
          <w:kern w:val="2"/>
          <w:sz w:val="32"/>
          <w:szCs w:val="32"/>
          <w:lang w:val="en-US" w:eastAsia="zh-CN" w:bidi="ar-SA"/>
        </w:rPr>
        <w:t>年度指标值≥10%，实际完成30.77%，</w:t>
      </w:r>
      <w:r>
        <w:rPr>
          <w:rFonts w:hint="eastAsia"/>
          <w:b w:val="0"/>
          <w:bCs w:val="0"/>
          <w:sz w:val="32"/>
          <w:szCs w:val="32"/>
          <w:highlight w:val="none"/>
          <w:lang w:val="en-US" w:eastAsia="zh-CN"/>
        </w:rPr>
        <w:t>目标值设置偏低，实际完成超出目标值130%。</w:t>
      </w:r>
      <w:r>
        <w:rPr>
          <w:rFonts w:hint="eastAsia"/>
          <w:sz w:val="32"/>
          <w:szCs w:val="32"/>
          <w:lang w:eastAsia="zh-CN"/>
        </w:rPr>
        <w:t>下一年我院将根据往年</w:t>
      </w:r>
      <w:r>
        <w:rPr>
          <w:rFonts w:hint="eastAsia"/>
          <w:sz w:val="32"/>
          <w:szCs w:val="32"/>
          <w:lang w:val="en-US" w:eastAsia="zh-CN"/>
        </w:rPr>
        <w:t>指标完成</w:t>
      </w:r>
      <w:r>
        <w:rPr>
          <w:rFonts w:hint="eastAsia"/>
          <w:sz w:val="32"/>
          <w:szCs w:val="32"/>
          <w:lang w:eastAsia="zh-CN"/>
        </w:rPr>
        <w:t>情况及本年度工作计划准确合理设置指标值</w:t>
      </w:r>
      <w:r>
        <w:rPr>
          <w:rFonts w:hint="eastAsia"/>
          <w:b w:val="0"/>
          <w:bCs w:val="0"/>
          <w:sz w:val="32"/>
          <w:szCs w:val="32"/>
          <w:highlight w:val="none"/>
          <w:lang w:eastAsia="zh-CN"/>
        </w:rPr>
        <w:t>。</w:t>
      </w:r>
    </w:p>
    <w:p w14:paraId="586F86E5">
      <w:pPr>
        <w:pStyle w:val="2"/>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sz w:val="32"/>
          <w:szCs w:val="32"/>
          <w:highlight w:val="none"/>
        </w:rPr>
      </w:pPr>
      <w:bookmarkStart w:id="61" w:name="_Toc29445"/>
      <w:r>
        <w:rPr>
          <w:rFonts w:hint="eastAsia"/>
          <w:sz w:val="32"/>
          <w:szCs w:val="32"/>
          <w:highlight w:val="none"/>
        </w:rPr>
        <w:t>四、部门预算项目支出绩效自评情况分析</w:t>
      </w:r>
      <w:bookmarkEnd w:id="58"/>
      <w:bookmarkEnd w:id="59"/>
      <w:bookmarkEnd w:id="60"/>
      <w:bookmarkEnd w:id="61"/>
    </w:p>
    <w:p w14:paraId="39CFF13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sz w:val="32"/>
          <w:szCs w:val="32"/>
          <w:highlight w:val="none"/>
        </w:rPr>
      </w:pPr>
      <w:r>
        <w:rPr>
          <w:rFonts w:hint="eastAsia" w:hAnsi="宋体"/>
          <w:sz w:val="32"/>
          <w:szCs w:val="32"/>
          <w:highlight w:val="none"/>
          <w:lang w:eastAsia="zh-CN"/>
        </w:rPr>
        <w:t>2023年度</w:t>
      </w:r>
      <w:r>
        <w:rPr>
          <w:rFonts w:hint="eastAsia" w:hAnsi="宋体"/>
          <w:sz w:val="32"/>
          <w:szCs w:val="32"/>
          <w:highlight w:val="none"/>
        </w:rPr>
        <w:t>，我院预算支出项目为2个，通过自评</w:t>
      </w:r>
      <w:r>
        <w:rPr>
          <w:rFonts w:hint="eastAsia" w:hAnsi="宋体"/>
          <w:sz w:val="32"/>
          <w:szCs w:val="32"/>
          <w:highlight w:val="none"/>
          <w:lang w:val="en-US" w:eastAsia="zh-CN"/>
        </w:rPr>
        <w:t>2个项目</w:t>
      </w:r>
      <w:r>
        <w:rPr>
          <w:rFonts w:hint="eastAsia" w:hAnsi="宋体"/>
          <w:sz w:val="32"/>
          <w:szCs w:val="32"/>
          <w:highlight w:val="none"/>
        </w:rPr>
        <w:t>结果</w:t>
      </w:r>
      <w:r>
        <w:rPr>
          <w:rFonts w:hint="eastAsia" w:hAnsi="宋体"/>
          <w:sz w:val="32"/>
          <w:szCs w:val="32"/>
          <w:highlight w:val="none"/>
          <w:lang w:val="en-US" w:eastAsia="zh-CN"/>
        </w:rPr>
        <w:t>均</w:t>
      </w:r>
      <w:r>
        <w:rPr>
          <w:rFonts w:hint="eastAsia" w:hAnsi="宋体"/>
          <w:sz w:val="32"/>
          <w:szCs w:val="32"/>
          <w:highlight w:val="none"/>
        </w:rPr>
        <w:t>为“优”</w:t>
      </w:r>
      <w:r>
        <w:rPr>
          <w:rFonts w:hint="eastAsia" w:hAnsi="宋体"/>
          <w:sz w:val="32"/>
          <w:szCs w:val="32"/>
          <w:highlight w:val="none"/>
          <w:lang w:val="en-US" w:eastAsia="zh-CN"/>
        </w:rPr>
        <w:t>。</w:t>
      </w:r>
      <w:r>
        <w:rPr>
          <w:rFonts w:hint="eastAsia" w:hAnsi="宋体"/>
          <w:sz w:val="32"/>
          <w:szCs w:val="32"/>
          <w:highlight w:val="none"/>
        </w:rPr>
        <w:t>分项目自评情况分析如下：</w:t>
      </w:r>
    </w:p>
    <w:p w14:paraId="23A56305">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eastAsia="楷体"/>
          <w:sz w:val="32"/>
          <w:szCs w:val="32"/>
          <w:highlight w:val="none"/>
          <w:lang w:val="en-US" w:eastAsia="zh-CN"/>
        </w:rPr>
      </w:pPr>
      <w:bookmarkStart w:id="62" w:name="_Toc22792"/>
      <w:bookmarkStart w:id="63" w:name="_Toc16262"/>
      <w:bookmarkStart w:id="64" w:name="_Toc4248"/>
      <w:bookmarkStart w:id="65" w:name="_Toc40046039"/>
      <w:bookmarkStart w:id="66" w:name="_Toc15358"/>
      <w:r>
        <w:rPr>
          <w:rFonts w:hint="eastAsia"/>
          <w:sz w:val="32"/>
          <w:szCs w:val="32"/>
          <w:highlight w:val="none"/>
          <w:lang w:eastAsia="zh-CN"/>
        </w:rPr>
        <w:t>（一）</w:t>
      </w:r>
      <w:bookmarkEnd w:id="62"/>
      <w:bookmarkEnd w:id="63"/>
      <w:bookmarkEnd w:id="64"/>
      <w:bookmarkEnd w:id="65"/>
      <w:r>
        <w:rPr>
          <w:rFonts w:hint="eastAsia"/>
          <w:sz w:val="32"/>
          <w:szCs w:val="32"/>
          <w:highlight w:val="none"/>
          <w:lang w:val="en-US" w:eastAsia="zh-CN"/>
        </w:rPr>
        <w:t>法庭运维费</w:t>
      </w:r>
      <w:bookmarkEnd w:id="66"/>
    </w:p>
    <w:p w14:paraId="74BCC95E">
      <w:pPr>
        <w:pageBreakBefore w:val="0"/>
        <w:widowControl w:val="0"/>
        <w:kinsoku/>
        <w:wordWrap/>
        <w:overflowPunct/>
        <w:topLinePunct w:val="0"/>
        <w:autoSpaceDE/>
        <w:autoSpaceDN/>
        <w:bidi w:val="0"/>
        <w:adjustRightInd/>
        <w:snapToGrid/>
        <w:spacing w:line="560" w:lineRule="exact"/>
        <w:ind w:firstLine="640" w:firstLineChars="200"/>
        <w:textAlignment w:val="auto"/>
        <w:rPr>
          <w:highlight w:val="none"/>
        </w:rPr>
      </w:pPr>
      <w:bookmarkStart w:id="67" w:name="_Toc40046040"/>
      <w:r>
        <w:rPr>
          <w:rFonts w:hint="eastAsia"/>
          <w:sz w:val="32"/>
          <w:szCs w:val="32"/>
          <w:highlight w:val="none"/>
        </w:rPr>
        <w:t>本次绩效自评综合评定</w:t>
      </w:r>
      <w:r>
        <w:rPr>
          <w:rFonts w:hint="eastAsia"/>
          <w:sz w:val="32"/>
          <w:szCs w:val="32"/>
          <w:highlight w:val="none"/>
          <w:lang w:eastAsia="zh-CN"/>
        </w:rPr>
        <w:t>2023年度</w:t>
      </w:r>
      <w:r>
        <w:rPr>
          <w:rFonts w:hint="eastAsia"/>
          <w:sz w:val="32"/>
          <w:szCs w:val="32"/>
          <w:highlight w:val="none"/>
          <w:lang w:val="en-US" w:eastAsia="zh-CN"/>
        </w:rPr>
        <w:t>法庭运维费</w:t>
      </w:r>
      <w:r>
        <w:rPr>
          <w:rFonts w:hint="eastAsia"/>
          <w:sz w:val="32"/>
          <w:szCs w:val="32"/>
          <w:highlight w:val="none"/>
        </w:rPr>
        <w:t>支出绩效得分为</w:t>
      </w:r>
      <w:r>
        <w:rPr>
          <w:rFonts w:hint="eastAsia"/>
          <w:sz w:val="32"/>
          <w:szCs w:val="32"/>
          <w:highlight w:val="none"/>
          <w:lang w:val="en-US" w:eastAsia="zh-CN"/>
        </w:rPr>
        <w:t>100</w:t>
      </w:r>
      <w:r>
        <w:rPr>
          <w:rFonts w:hint="eastAsia"/>
          <w:sz w:val="32"/>
          <w:szCs w:val="32"/>
          <w:highlight w:val="none"/>
        </w:rPr>
        <w:t>分，绩效等级为“优”。项目支出绩效评价包括预算执行</w:t>
      </w:r>
      <w:r>
        <w:rPr>
          <w:rFonts w:hint="eastAsia"/>
          <w:sz w:val="32"/>
          <w:szCs w:val="32"/>
          <w:highlight w:val="none"/>
          <w:lang w:val="en-US" w:eastAsia="zh-CN"/>
        </w:rPr>
        <w:t>率</w:t>
      </w:r>
      <w:r>
        <w:rPr>
          <w:rFonts w:hint="eastAsia"/>
          <w:sz w:val="32"/>
          <w:szCs w:val="32"/>
          <w:highlight w:val="none"/>
          <w:lang w:eastAsia="zh-CN"/>
        </w:rPr>
        <w:t>、</w:t>
      </w:r>
      <w:r>
        <w:rPr>
          <w:rFonts w:hint="eastAsia"/>
          <w:sz w:val="32"/>
          <w:szCs w:val="32"/>
          <w:highlight w:val="none"/>
          <w:lang w:val="en-US" w:eastAsia="zh-CN"/>
        </w:rPr>
        <w:t>成本、</w:t>
      </w:r>
      <w:r>
        <w:rPr>
          <w:rFonts w:hint="eastAsia"/>
          <w:sz w:val="32"/>
          <w:szCs w:val="32"/>
          <w:highlight w:val="none"/>
        </w:rPr>
        <w:t>产出、效益、满意度</w:t>
      </w:r>
      <w:r>
        <w:rPr>
          <w:rFonts w:hint="eastAsia"/>
          <w:sz w:val="32"/>
          <w:szCs w:val="32"/>
          <w:highlight w:val="none"/>
          <w:lang w:val="en-US" w:eastAsia="zh-CN"/>
        </w:rPr>
        <w:t>5</w:t>
      </w:r>
      <w:r>
        <w:rPr>
          <w:rFonts w:hint="eastAsia"/>
          <w:sz w:val="32"/>
          <w:szCs w:val="32"/>
          <w:highlight w:val="none"/>
        </w:rPr>
        <w:t>个一级指标，下设</w:t>
      </w:r>
      <w:r>
        <w:rPr>
          <w:rFonts w:hint="eastAsia"/>
          <w:sz w:val="32"/>
          <w:szCs w:val="32"/>
          <w:highlight w:val="none"/>
          <w:lang w:val="en-US" w:eastAsia="zh-CN"/>
        </w:rPr>
        <w:t>7</w:t>
      </w:r>
      <w:r>
        <w:rPr>
          <w:rFonts w:hint="eastAsia"/>
          <w:sz w:val="32"/>
          <w:szCs w:val="32"/>
          <w:highlight w:val="none"/>
        </w:rPr>
        <w:t>个二级指标和</w:t>
      </w:r>
      <w:r>
        <w:rPr>
          <w:rFonts w:hint="eastAsia"/>
          <w:sz w:val="32"/>
          <w:szCs w:val="32"/>
          <w:highlight w:val="none"/>
          <w:lang w:val="en-US" w:eastAsia="zh-CN"/>
        </w:rPr>
        <w:t>11</w:t>
      </w:r>
      <w:r>
        <w:rPr>
          <w:rFonts w:hint="eastAsia"/>
          <w:sz w:val="32"/>
          <w:szCs w:val="32"/>
          <w:highlight w:val="none"/>
        </w:rPr>
        <w:t>个三级指标。项目资金预算执行率</w:t>
      </w:r>
      <w:r>
        <w:rPr>
          <w:rFonts w:hint="eastAsia"/>
          <w:sz w:val="32"/>
          <w:szCs w:val="32"/>
          <w:highlight w:val="none"/>
          <w:lang w:val="en-US" w:eastAsia="zh-CN"/>
        </w:rPr>
        <w:t>100</w:t>
      </w:r>
      <w:r>
        <w:rPr>
          <w:rFonts w:hint="eastAsia"/>
          <w:sz w:val="32"/>
          <w:szCs w:val="32"/>
          <w:highlight w:val="none"/>
        </w:rPr>
        <w:t>%，一级指标得分情况详见下表：</w:t>
      </w:r>
    </w:p>
    <w:tbl>
      <w:tblPr>
        <w:tblStyle w:val="21"/>
        <w:tblW w:w="8730"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88"/>
        <w:gridCol w:w="1814"/>
        <w:gridCol w:w="1814"/>
        <w:gridCol w:w="1814"/>
      </w:tblGrid>
      <w:tr w14:paraId="31DBE6E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14:paraId="72AA8503">
            <w:pPr>
              <w:widowControl/>
              <w:wordWrap/>
              <w:autoSpaceDE w:val="0"/>
              <w:autoSpaceDN w:val="0"/>
              <w:adjustRightInd/>
              <w:snapToGrid/>
              <w:spacing w:line="240" w:lineRule="auto"/>
              <w:jc w:val="center"/>
              <w:rPr>
                <w:rFonts w:hint="eastAsia" w:ascii="仿宋" w:hAnsi="仿宋" w:eastAsia="仿宋" w:cs="仿宋"/>
                <w:b/>
                <w:color w:val="000000"/>
                <w:kern w:val="0"/>
                <w:sz w:val="24"/>
                <w:szCs w:val="24"/>
                <w:highlight w:val="none"/>
                <w:shd w:val="clear" w:color="auto" w:fill="BDD6EE"/>
              </w:rPr>
            </w:pPr>
            <w:r>
              <w:rPr>
                <w:rFonts w:hint="eastAsia" w:ascii="仿宋" w:hAnsi="仿宋" w:eastAsia="仿宋" w:cs="仿宋"/>
                <w:b/>
                <w:color w:val="000000"/>
                <w:kern w:val="0"/>
                <w:sz w:val="24"/>
                <w:szCs w:val="24"/>
                <w:highlight w:val="none"/>
                <w:shd w:val="clear" w:color="auto" w:fill="BDD6EE"/>
              </w:rPr>
              <w:t>一级指标</w:t>
            </w:r>
          </w:p>
        </w:tc>
        <w:tc>
          <w:tcPr>
            <w:tcW w:w="1814" w:type="dxa"/>
            <w:shd w:val="clear" w:color="auto" w:fill="BDD6EE"/>
            <w:vAlign w:val="center"/>
          </w:tcPr>
          <w:p w14:paraId="7108D263">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eastAsia" w:ascii="仿宋" w:hAnsi="仿宋" w:eastAsia="仿宋" w:cs="仿宋"/>
                <w:b/>
                <w:color w:val="000000"/>
                <w:kern w:val="0"/>
                <w:sz w:val="24"/>
                <w:szCs w:val="24"/>
                <w:highlight w:val="none"/>
                <w:shd w:val="clear" w:color="auto" w:fill="BDD6EE"/>
              </w:rPr>
            </w:pPr>
            <w:r>
              <w:rPr>
                <w:rFonts w:hint="eastAsia" w:ascii="仿宋" w:hAnsi="仿宋" w:eastAsia="仿宋" w:cs="仿宋"/>
                <w:b/>
                <w:color w:val="000000"/>
                <w:kern w:val="0"/>
                <w:sz w:val="24"/>
                <w:szCs w:val="24"/>
                <w:highlight w:val="none"/>
                <w:shd w:val="clear" w:color="auto" w:fill="BDD6EE"/>
              </w:rPr>
              <w:t>分值</w:t>
            </w:r>
          </w:p>
        </w:tc>
        <w:tc>
          <w:tcPr>
            <w:tcW w:w="1814" w:type="dxa"/>
            <w:shd w:val="clear" w:color="auto" w:fill="BDD6EE"/>
            <w:vAlign w:val="center"/>
          </w:tcPr>
          <w:p w14:paraId="0F0C512A">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rPr>
                <w:rFonts w:hint="eastAsia" w:ascii="仿宋" w:hAnsi="仿宋" w:eastAsia="仿宋" w:cs="仿宋"/>
                <w:b/>
                <w:color w:val="000000"/>
                <w:kern w:val="0"/>
                <w:sz w:val="24"/>
                <w:szCs w:val="24"/>
                <w:highlight w:val="none"/>
                <w:shd w:val="clear" w:color="auto" w:fill="BDD6EE"/>
              </w:rPr>
            </w:pPr>
            <w:r>
              <w:rPr>
                <w:rFonts w:hint="eastAsia" w:ascii="仿宋" w:hAnsi="仿宋" w:eastAsia="仿宋" w:cs="仿宋"/>
                <w:b/>
                <w:color w:val="000000"/>
                <w:kern w:val="0"/>
                <w:sz w:val="24"/>
                <w:szCs w:val="24"/>
                <w:highlight w:val="none"/>
                <w:shd w:val="clear" w:color="auto" w:fill="BDD6EE"/>
              </w:rPr>
              <w:t>自评得分</w:t>
            </w:r>
          </w:p>
        </w:tc>
        <w:tc>
          <w:tcPr>
            <w:tcW w:w="1814" w:type="dxa"/>
            <w:shd w:val="clear" w:color="auto" w:fill="BDD6EE"/>
            <w:vAlign w:val="center"/>
          </w:tcPr>
          <w:p w14:paraId="76F4E868">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eastAsia" w:ascii="仿宋" w:hAnsi="仿宋" w:eastAsia="仿宋" w:cs="仿宋"/>
                <w:b/>
                <w:color w:val="000000"/>
                <w:kern w:val="0"/>
                <w:sz w:val="24"/>
                <w:szCs w:val="24"/>
                <w:highlight w:val="none"/>
                <w:shd w:val="clear" w:color="auto" w:fill="BDD6EE"/>
              </w:rPr>
            </w:pPr>
            <w:r>
              <w:rPr>
                <w:rFonts w:hint="eastAsia" w:ascii="仿宋" w:hAnsi="仿宋" w:eastAsia="仿宋" w:cs="仿宋"/>
                <w:b/>
                <w:color w:val="000000"/>
                <w:kern w:val="0"/>
                <w:sz w:val="24"/>
                <w:szCs w:val="24"/>
                <w:highlight w:val="none"/>
                <w:shd w:val="clear" w:color="auto" w:fill="BDD6EE"/>
              </w:rPr>
              <w:t>得分率</w:t>
            </w:r>
          </w:p>
        </w:tc>
      </w:tr>
      <w:tr w14:paraId="30824EF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auto"/>
            <w:vAlign w:val="center"/>
          </w:tcPr>
          <w:p w14:paraId="7D6325F2">
            <w:pPr>
              <w:widowControl/>
              <w:wordWrap/>
              <w:autoSpaceDE w:val="0"/>
              <w:autoSpaceDN w:val="0"/>
              <w:adjustRightInd/>
              <w:snapToGrid/>
              <w:spacing w:line="240" w:lineRule="auto"/>
              <w:jc w:val="left"/>
              <w:rPr>
                <w:rFonts w:hint="eastAsia" w:ascii="仿宋" w:hAnsi="仿宋" w:eastAsia="仿宋" w:cs="仿宋"/>
                <w:b/>
                <w:color w:val="000000"/>
                <w:kern w:val="0"/>
                <w:sz w:val="24"/>
                <w:szCs w:val="24"/>
                <w:highlight w:val="none"/>
                <w:shd w:val="clear" w:color="auto" w:fill="BDD6EE"/>
              </w:rPr>
            </w:pPr>
            <w:r>
              <w:rPr>
                <w:rFonts w:hint="eastAsia" w:ascii="仿宋" w:hAnsi="仿宋" w:eastAsia="仿宋" w:cs="仿宋"/>
                <w:color w:val="000000"/>
                <w:kern w:val="0"/>
                <w:sz w:val="24"/>
                <w:szCs w:val="24"/>
                <w:highlight w:val="none"/>
              </w:rPr>
              <w:t>预算执行率</w:t>
            </w:r>
          </w:p>
        </w:tc>
        <w:tc>
          <w:tcPr>
            <w:tcW w:w="1814" w:type="dxa"/>
            <w:shd w:val="clear" w:color="auto" w:fill="auto"/>
            <w:vAlign w:val="center"/>
          </w:tcPr>
          <w:p w14:paraId="76C1C174">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w:t>
            </w:r>
          </w:p>
        </w:tc>
        <w:tc>
          <w:tcPr>
            <w:tcW w:w="1814" w:type="dxa"/>
            <w:shd w:val="clear" w:color="auto" w:fill="auto"/>
            <w:vAlign w:val="center"/>
          </w:tcPr>
          <w:p w14:paraId="1EDDED52">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w:t>
            </w:r>
          </w:p>
        </w:tc>
        <w:tc>
          <w:tcPr>
            <w:tcW w:w="1814" w:type="dxa"/>
            <w:shd w:val="clear" w:color="auto" w:fill="auto"/>
            <w:vAlign w:val="center"/>
          </w:tcPr>
          <w:p w14:paraId="0FDB2E62">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eastAsia" w:ascii="仿宋" w:hAnsi="仿宋" w:eastAsia="仿宋" w:cs="仿宋"/>
                <w:b/>
                <w:color w:val="000000"/>
                <w:kern w:val="0"/>
                <w:sz w:val="24"/>
                <w:szCs w:val="24"/>
                <w:highlight w:val="none"/>
                <w:shd w:val="clear" w:color="auto" w:fill="BDD6EE"/>
              </w:rPr>
            </w:pPr>
            <w:r>
              <w:rPr>
                <w:rFonts w:hint="eastAsia" w:ascii="仿宋" w:hAnsi="仿宋" w:eastAsia="仿宋" w:cs="仿宋"/>
                <w:color w:val="000000"/>
                <w:kern w:val="0"/>
                <w:sz w:val="24"/>
                <w:szCs w:val="24"/>
                <w:highlight w:val="none"/>
                <w:lang w:val="en-US" w:eastAsia="zh-CN"/>
              </w:rPr>
              <w:t>100</w:t>
            </w:r>
            <w:r>
              <w:rPr>
                <w:rFonts w:hint="eastAsia" w:ascii="仿宋" w:hAnsi="仿宋" w:eastAsia="仿宋" w:cs="仿宋"/>
                <w:color w:val="000000"/>
                <w:kern w:val="0"/>
                <w:sz w:val="24"/>
                <w:szCs w:val="24"/>
                <w:highlight w:val="none"/>
              </w:rPr>
              <w:t>%</w:t>
            </w:r>
          </w:p>
        </w:tc>
      </w:tr>
      <w:tr w14:paraId="5B8079E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auto"/>
            <w:vAlign w:val="center"/>
          </w:tcPr>
          <w:p w14:paraId="53B165A1">
            <w:pPr>
              <w:widowControl/>
              <w:wordWrap/>
              <w:autoSpaceDE w:val="0"/>
              <w:autoSpaceDN w:val="0"/>
              <w:adjustRightInd/>
              <w:snapToGrid/>
              <w:spacing w:line="24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成本指标</w:t>
            </w:r>
          </w:p>
        </w:tc>
        <w:tc>
          <w:tcPr>
            <w:tcW w:w="1814" w:type="dxa"/>
            <w:shd w:val="clear" w:color="auto" w:fill="auto"/>
            <w:vAlign w:val="center"/>
          </w:tcPr>
          <w:p w14:paraId="3B897DE7">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w:t>
            </w:r>
          </w:p>
        </w:tc>
        <w:tc>
          <w:tcPr>
            <w:tcW w:w="1814" w:type="dxa"/>
            <w:shd w:val="clear" w:color="auto" w:fill="auto"/>
            <w:vAlign w:val="center"/>
          </w:tcPr>
          <w:p w14:paraId="633CEE44">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w:t>
            </w:r>
          </w:p>
        </w:tc>
        <w:tc>
          <w:tcPr>
            <w:tcW w:w="1814" w:type="dxa"/>
            <w:shd w:val="clear" w:color="auto" w:fill="auto"/>
            <w:vAlign w:val="center"/>
          </w:tcPr>
          <w:p w14:paraId="7C8104F1">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100</w:t>
            </w:r>
            <w:r>
              <w:rPr>
                <w:rFonts w:hint="eastAsia" w:ascii="仿宋" w:hAnsi="仿宋" w:eastAsia="仿宋" w:cs="仿宋"/>
                <w:color w:val="000000"/>
                <w:kern w:val="0"/>
                <w:sz w:val="24"/>
                <w:szCs w:val="24"/>
                <w:highlight w:val="none"/>
              </w:rPr>
              <w:t>%</w:t>
            </w:r>
          </w:p>
        </w:tc>
      </w:tr>
      <w:tr w14:paraId="299F8F0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0580770F">
            <w:pPr>
              <w:widowControl/>
              <w:wordWrap/>
              <w:autoSpaceDE w:val="0"/>
              <w:autoSpaceDN w:val="0"/>
              <w:adjustRightInd/>
              <w:snapToGrid/>
              <w:spacing w:line="240" w:lineRule="auto"/>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产出</w:t>
            </w:r>
            <w:r>
              <w:rPr>
                <w:rFonts w:hint="eastAsia" w:ascii="仿宋" w:hAnsi="仿宋" w:eastAsia="仿宋" w:cs="仿宋"/>
                <w:color w:val="000000"/>
                <w:kern w:val="0"/>
                <w:sz w:val="24"/>
                <w:szCs w:val="24"/>
                <w:highlight w:val="none"/>
                <w:lang w:val="en-US" w:eastAsia="zh-CN"/>
              </w:rPr>
              <w:t>指标</w:t>
            </w:r>
          </w:p>
        </w:tc>
        <w:tc>
          <w:tcPr>
            <w:tcW w:w="1814" w:type="dxa"/>
            <w:vAlign w:val="center"/>
          </w:tcPr>
          <w:p w14:paraId="5F45AAF8">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rPr>
              <w:t>0</w:t>
            </w:r>
          </w:p>
        </w:tc>
        <w:tc>
          <w:tcPr>
            <w:tcW w:w="1814" w:type="dxa"/>
            <w:vAlign w:val="center"/>
          </w:tcPr>
          <w:p w14:paraId="502347DA">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40</w:t>
            </w:r>
          </w:p>
        </w:tc>
        <w:tc>
          <w:tcPr>
            <w:tcW w:w="1814" w:type="dxa"/>
            <w:vAlign w:val="center"/>
          </w:tcPr>
          <w:p w14:paraId="60DE91C1">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100</w:t>
            </w:r>
            <w:r>
              <w:rPr>
                <w:rFonts w:hint="eastAsia" w:ascii="仿宋" w:hAnsi="仿宋" w:eastAsia="仿宋" w:cs="仿宋"/>
                <w:color w:val="000000"/>
                <w:kern w:val="0"/>
                <w:sz w:val="24"/>
                <w:szCs w:val="24"/>
                <w:highlight w:val="none"/>
              </w:rPr>
              <w:t>%</w:t>
            </w:r>
          </w:p>
        </w:tc>
      </w:tr>
      <w:tr w14:paraId="2F7A62F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3B8D1AEE">
            <w:pPr>
              <w:widowControl/>
              <w:wordWrap/>
              <w:autoSpaceDE w:val="0"/>
              <w:autoSpaceDN w:val="0"/>
              <w:adjustRightInd/>
              <w:snapToGrid/>
              <w:spacing w:line="240" w:lineRule="auto"/>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效益</w:t>
            </w:r>
            <w:r>
              <w:rPr>
                <w:rFonts w:hint="eastAsia" w:ascii="仿宋" w:hAnsi="仿宋" w:eastAsia="仿宋" w:cs="仿宋"/>
                <w:color w:val="000000"/>
                <w:kern w:val="0"/>
                <w:sz w:val="24"/>
                <w:szCs w:val="24"/>
                <w:highlight w:val="none"/>
                <w:lang w:val="en-US" w:eastAsia="zh-CN"/>
              </w:rPr>
              <w:t>指标</w:t>
            </w:r>
          </w:p>
        </w:tc>
        <w:tc>
          <w:tcPr>
            <w:tcW w:w="1814" w:type="dxa"/>
            <w:vAlign w:val="center"/>
          </w:tcPr>
          <w:p w14:paraId="5D3C6A83">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0</w:t>
            </w:r>
          </w:p>
        </w:tc>
        <w:tc>
          <w:tcPr>
            <w:tcW w:w="1814" w:type="dxa"/>
            <w:vAlign w:val="center"/>
          </w:tcPr>
          <w:p w14:paraId="11627239">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w:t>
            </w:r>
          </w:p>
        </w:tc>
        <w:tc>
          <w:tcPr>
            <w:tcW w:w="1814" w:type="dxa"/>
            <w:vAlign w:val="center"/>
          </w:tcPr>
          <w:p w14:paraId="46E37670">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100</w:t>
            </w:r>
            <w:r>
              <w:rPr>
                <w:rFonts w:hint="eastAsia" w:ascii="仿宋" w:hAnsi="仿宋" w:eastAsia="仿宋" w:cs="仿宋"/>
                <w:color w:val="000000"/>
                <w:kern w:val="0"/>
                <w:sz w:val="24"/>
                <w:szCs w:val="24"/>
                <w:highlight w:val="none"/>
              </w:rPr>
              <w:t>%</w:t>
            </w:r>
          </w:p>
        </w:tc>
      </w:tr>
      <w:tr w14:paraId="7C614F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2667D6A4">
            <w:pPr>
              <w:widowControl/>
              <w:wordWrap/>
              <w:autoSpaceDE w:val="0"/>
              <w:autoSpaceDN w:val="0"/>
              <w:adjustRightInd/>
              <w:snapToGrid/>
              <w:spacing w:line="240" w:lineRule="auto"/>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满意度</w:t>
            </w:r>
            <w:r>
              <w:rPr>
                <w:rFonts w:hint="eastAsia" w:ascii="仿宋" w:hAnsi="仿宋" w:eastAsia="仿宋" w:cs="仿宋"/>
                <w:color w:val="000000"/>
                <w:kern w:val="0"/>
                <w:sz w:val="24"/>
                <w:szCs w:val="24"/>
                <w:highlight w:val="none"/>
                <w:lang w:val="en-US" w:eastAsia="zh-CN"/>
              </w:rPr>
              <w:t>指标</w:t>
            </w:r>
          </w:p>
        </w:tc>
        <w:tc>
          <w:tcPr>
            <w:tcW w:w="1814" w:type="dxa"/>
            <w:vAlign w:val="center"/>
          </w:tcPr>
          <w:p w14:paraId="1A5BDFA8">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w:t>
            </w:r>
          </w:p>
        </w:tc>
        <w:tc>
          <w:tcPr>
            <w:tcW w:w="1814" w:type="dxa"/>
            <w:vAlign w:val="center"/>
          </w:tcPr>
          <w:p w14:paraId="127D7B81">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w:t>
            </w:r>
          </w:p>
        </w:tc>
        <w:tc>
          <w:tcPr>
            <w:tcW w:w="1814" w:type="dxa"/>
            <w:vAlign w:val="center"/>
          </w:tcPr>
          <w:p w14:paraId="73F541EF">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w:t>
            </w:r>
          </w:p>
        </w:tc>
      </w:tr>
      <w:tr w14:paraId="70EC900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14:paraId="6482EFAB">
            <w:pPr>
              <w:widowControl/>
              <w:wordWrap/>
              <w:autoSpaceDE w:val="0"/>
              <w:autoSpaceDN w:val="0"/>
              <w:adjustRightInd/>
              <w:snapToGrid/>
              <w:spacing w:line="240" w:lineRule="auto"/>
              <w:jc w:val="center"/>
              <w:rPr>
                <w:rFonts w:hint="eastAsia" w:ascii="仿宋" w:hAnsi="仿宋" w:eastAsia="仿宋" w:cs="仿宋"/>
                <w:b/>
                <w:color w:val="000000"/>
                <w:kern w:val="0"/>
                <w:sz w:val="24"/>
                <w:szCs w:val="24"/>
                <w:highlight w:val="none"/>
                <w:shd w:val="clear" w:color="auto" w:fill="BDD6EE"/>
              </w:rPr>
            </w:pPr>
            <w:r>
              <w:rPr>
                <w:rFonts w:hint="eastAsia" w:ascii="仿宋" w:hAnsi="仿宋" w:eastAsia="仿宋" w:cs="仿宋"/>
                <w:b/>
                <w:color w:val="000000"/>
                <w:kern w:val="0"/>
                <w:sz w:val="24"/>
                <w:szCs w:val="24"/>
                <w:highlight w:val="none"/>
                <w:shd w:val="clear" w:color="auto" w:fill="BDD6EE"/>
              </w:rPr>
              <w:t>合计</w:t>
            </w:r>
          </w:p>
        </w:tc>
        <w:tc>
          <w:tcPr>
            <w:tcW w:w="1814" w:type="dxa"/>
            <w:shd w:val="clear" w:color="auto" w:fill="BDD6EE"/>
            <w:vAlign w:val="center"/>
          </w:tcPr>
          <w:p w14:paraId="63A8F2E7">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center"/>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100</w:t>
            </w:r>
          </w:p>
        </w:tc>
        <w:tc>
          <w:tcPr>
            <w:tcW w:w="1814" w:type="dxa"/>
            <w:shd w:val="clear" w:color="auto" w:fill="BDD6EE"/>
            <w:vAlign w:val="center"/>
          </w:tcPr>
          <w:p w14:paraId="0C5DDD90">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100</w:t>
            </w:r>
          </w:p>
        </w:tc>
        <w:tc>
          <w:tcPr>
            <w:tcW w:w="1814" w:type="dxa"/>
            <w:shd w:val="clear" w:color="auto" w:fill="BDD6EE"/>
            <w:vAlign w:val="center"/>
          </w:tcPr>
          <w:p w14:paraId="04E38682">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lang w:val="en-US" w:eastAsia="zh-CN"/>
              </w:rPr>
              <w:t>100</w:t>
            </w:r>
            <w:r>
              <w:rPr>
                <w:rFonts w:hint="eastAsia" w:ascii="仿宋" w:hAnsi="仿宋" w:eastAsia="仿宋" w:cs="仿宋"/>
                <w:b/>
                <w:color w:val="000000"/>
                <w:kern w:val="0"/>
                <w:sz w:val="24"/>
                <w:szCs w:val="24"/>
                <w:highlight w:val="none"/>
              </w:rPr>
              <w:t>%</w:t>
            </w:r>
          </w:p>
        </w:tc>
      </w:tr>
    </w:tbl>
    <w:p w14:paraId="1CD8975F">
      <w:pPr>
        <w:pStyle w:val="4"/>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sz w:val="32"/>
          <w:szCs w:val="32"/>
        </w:rPr>
        <w:t>1</w:t>
      </w:r>
      <w:r>
        <w:rPr>
          <w:rFonts w:hint="eastAsia"/>
          <w:sz w:val="32"/>
          <w:szCs w:val="32"/>
          <w:lang w:eastAsia="zh-CN"/>
        </w:rPr>
        <w:t>.</w:t>
      </w:r>
      <w:r>
        <w:rPr>
          <w:rFonts w:hint="eastAsia"/>
          <w:sz w:val="32"/>
          <w:szCs w:val="32"/>
        </w:rPr>
        <w:t>项目支出预算执行情况</w:t>
      </w:r>
      <w:bookmarkEnd w:id="67"/>
    </w:p>
    <w:p w14:paraId="4EB1F0F9">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sz w:val="32"/>
          <w:szCs w:val="32"/>
          <w:highlight w:val="none"/>
          <w:lang w:val="en-US" w:eastAsia="zh-CN"/>
        </w:rPr>
        <w:t>法庭运维费</w:t>
      </w:r>
      <w:r>
        <w:rPr>
          <w:rFonts w:hint="eastAsia"/>
          <w:sz w:val="32"/>
          <w:szCs w:val="32"/>
        </w:rPr>
        <w:t>年初预算数3</w:t>
      </w:r>
      <w:r>
        <w:rPr>
          <w:rFonts w:hint="eastAsia"/>
          <w:sz w:val="32"/>
          <w:szCs w:val="32"/>
          <w:lang w:val="en-US" w:eastAsia="zh-CN"/>
        </w:rPr>
        <w:t>2.00万元</w:t>
      </w:r>
      <w:r>
        <w:rPr>
          <w:rFonts w:hint="eastAsia"/>
          <w:sz w:val="32"/>
          <w:szCs w:val="32"/>
        </w:rPr>
        <w:t>、全年预算数</w:t>
      </w:r>
      <w:r>
        <w:rPr>
          <w:rFonts w:hint="eastAsia"/>
          <w:sz w:val="32"/>
          <w:szCs w:val="32"/>
          <w:lang w:val="en-US" w:eastAsia="zh-CN"/>
        </w:rPr>
        <w:t>及</w:t>
      </w:r>
      <w:r>
        <w:rPr>
          <w:rFonts w:hint="eastAsia"/>
          <w:sz w:val="32"/>
          <w:szCs w:val="32"/>
        </w:rPr>
        <w:t>全年执行数</w:t>
      </w:r>
      <w:r>
        <w:rPr>
          <w:rFonts w:hint="eastAsia"/>
          <w:sz w:val="32"/>
          <w:szCs w:val="32"/>
          <w:lang w:val="en-US" w:eastAsia="zh-CN"/>
        </w:rPr>
        <w:t>均为</w:t>
      </w:r>
      <w:r>
        <w:rPr>
          <w:rFonts w:hint="eastAsia"/>
          <w:sz w:val="32"/>
          <w:szCs w:val="32"/>
        </w:rPr>
        <w:t>3</w:t>
      </w:r>
      <w:r>
        <w:rPr>
          <w:rFonts w:hint="eastAsia"/>
          <w:sz w:val="32"/>
          <w:szCs w:val="32"/>
          <w:lang w:val="en-US" w:eastAsia="zh-CN"/>
        </w:rPr>
        <w:t>2.00万元</w:t>
      </w:r>
      <w:r>
        <w:rPr>
          <w:rFonts w:hint="eastAsia"/>
          <w:sz w:val="32"/>
          <w:szCs w:val="32"/>
          <w:highlight w:val="none"/>
        </w:rPr>
        <w:t>，预算执行率</w:t>
      </w:r>
      <w:r>
        <w:rPr>
          <w:rFonts w:hint="eastAsia"/>
          <w:sz w:val="32"/>
          <w:szCs w:val="32"/>
          <w:highlight w:val="none"/>
          <w:lang w:val="en-US" w:eastAsia="zh-CN"/>
        </w:rPr>
        <w:t>100</w:t>
      </w:r>
      <w:r>
        <w:rPr>
          <w:rFonts w:hint="eastAsia"/>
          <w:sz w:val="32"/>
          <w:szCs w:val="32"/>
          <w:highlight w:val="none"/>
        </w:rPr>
        <w:t>%，满分10分，得分</w:t>
      </w:r>
      <w:r>
        <w:rPr>
          <w:rFonts w:hint="eastAsia"/>
          <w:sz w:val="32"/>
          <w:szCs w:val="32"/>
          <w:highlight w:val="none"/>
          <w:lang w:val="en-US" w:eastAsia="zh-CN"/>
        </w:rPr>
        <w:t>10</w:t>
      </w:r>
      <w:r>
        <w:rPr>
          <w:rFonts w:hint="eastAsia"/>
          <w:sz w:val="32"/>
          <w:szCs w:val="32"/>
          <w:highlight w:val="none"/>
        </w:rPr>
        <w:t>分。</w:t>
      </w:r>
    </w:p>
    <w:p w14:paraId="13D30B5D">
      <w:pPr>
        <w:pStyle w:val="4"/>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highlight w:val="none"/>
        </w:rPr>
      </w:pPr>
      <w:bookmarkStart w:id="68" w:name="_Toc40046041"/>
      <w:r>
        <w:rPr>
          <w:rFonts w:hint="eastAsia"/>
          <w:sz w:val="32"/>
          <w:szCs w:val="32"/>
          <w:highlight w:val="none"/>
        </w:rPr>
        <w:t>2</w:t>
      </w:r>
      <w:r>
        <w:rPr>
          <w:rFonts w:hint="eastAsia"/>
          <w:sz w:val="32"/>
          <w:szCs w:val="32"/>
          <w:highlight w:val="none"/>
          <w:lang w:eastAsia="zh-CN"/>
        </w:rPr>
        <w:t>.</w:t>
      </w:r>
      <w:r>
        <w:rPr>
          <w:rFonts w:hint="eastAsia"/>
          <w:sz w:val="32"/>
          <w:szCs w:val="32"/>
          <w:highlight w:val="none"/>
        </w:rPr>
        <w:t>总体绩效目标完成情况分析</w:t>
      </w:r>
      <w:bookmarkEnd w:id="68"/>
    </w:p>
    <w:p w14:paraId="33F959D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highlight w:val="none"/>
        </w:rPr>
      </w:pPr>
      <w:bookmarkStart w:id="69" w:name="_Toc40046042"/>
      <w:r>
        <w:rPr>
          <w:rFonts w:hint="eastAsia" w:ascii="仿宋_GB2312" w:hAnsi="仿宋_GB2312" w:eastAsia="仿宋_GB2312" w:cstheme="minorBidi"/>
          <w:b w:val="0"/>
          <w:bCs w:val="0"/>
          <w:kern w:val="2"/>
          <w:sz w:val="32"/>
          <w:szCs w:val="32"/>
          <w:highlight w:val="none"/>
          <w:lang w:val="en-US" w:eastAsia="zh-CN" w:bidi="ar-SA"/>
        </w:rPr>
        <w:t>本年度通过全省法庭运行经费项目的</w:t>
      </w:r>
      <w:r>
        <w:rPr>
          <w:rFonts w:hint="eastAsia" w:cstheme="minorBidi"/>
          <w:b w:val="0"/>
          <w:bCs w:val="0"/>
          <w:kern w:val="2"/>
          <w:sz w:val="32"/>
          <w:szCs w:val="32"/>
          <w:highlight w:val="none"/>
          <w:lang w:val="en-US" w:eastAsia="zh-CN" w:bidi="ar-SA"/>
        </w:rPr>
        <w:t>实</w:t>
      </w:r>
      <w:r>
        <w:rPr>
          <w:rFonts w:hint="eastAsia" w:ascii="仿宋_GB2312" w:hAnsi="仿宋_GB2312" w:eastAsia="仿宋_GB2312" w:cstheme="minorBidi"/>
          <w:b w:val="0"/>
          <w:bCs w:val="0"/>
          <w:kern w:val="2"/>
          <w:sz w:val="32"/>
          <w:szCs w:val="32"/>
          <w:highlight w:val="none"/>
          <w:lang w:val="en-US" w:eastAsia="zh-CN" w:bidi="ar-SA"/>
        </w:rPr>
        <w:t>施为我院后勤服务提供了保障，各项设施设备运行维护及时，水电物业管理等正常运转，加大了3个法庭的管护力度，为执法办案提供了良好的办公环境</w:t>
      </w:r>
      <w:r>
        <w:rPr>
          <w:rFonts w:hint="eastAsia"/>
          <w:sz w:val="32"/>
          <w:szCs w:val="32"/>
          <w:highlight w:val="none"/>
        </w:rPr>
        <w:t>。</w:t>
      </w:r>
    </w:p>
    <w:p w14:paraId="72C380F7">
      <w:pPr>
        <w:pStyle w:val="4"/>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sz w:val="32"/>
          <w:szCs w:val="32"/>
        </w:rPr>
        <w:t>3</w:t>
      </w:r>
      <w:r>
        <w:rPr>
          <w:rFonts w:hint="eastAsia"/>
          <w:sz w:val="32"/>
          <w:szCs w:val="32"/>
          <w:lang w:eastAsia="zh-CN"/>
        </w:rPr>
        <w:t>.</w:t>
      </w:r>
      <w:r>
        <w:rPr>
          <w:rFonts w:hint="eastAsia"/>
          <w:sz w:val="32"/>
          <w:szCs w:val="32"/>
        </w:rPr>
        <w:t>各项指标完成情况分析</w:t>
      </w:r>
      <w:bookmarkEnd w:id="69"/>
    </w:p>
    <w:p w14:paraId="4C8EE89F">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仿宋_GB2312"/>
          <w:b/>
          <w:bCs/>
          <w:sz w:val="32"/>
          <w:szCs w:val="32"/>
          <w:lang w:val="en-US" w:eastAsia="zh-CN"/>
        </w:rPr>
      </w:pPr>
      <w:r>
        <w:rPr>
          <w:rFonts w:hint="eastAsia"/>
          <w:b/>
          <w:bCs/>
          <w:sz w:val="32"/>
          <w:szCs w:val="32"/>
          <w:lang w:eastAsia="zh-CN"/>
        </w:rPr>
        <w:t>（</w:t>
      </w:r>
      <w:r>
        <w:rPr>
          <w:rFonts w:hint="eastAsia"/>
          <w:b/>
          <w:bCs/>
          <w:sz w:val="32"/>
          <w:szCs w:val="32"/>
          <w:lang w:val="en-US" w:eastAsia="zh-CN"/>
        </w:rPr>
        <w:t>1）成本指标</w:t>
      </w:r>
    </w:p>
    <w:p w14:paraId="584EB2E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highlight w:val="none"/>
          <w:lang w:val="en-US" w:eastAsia="zh-CN"/>
        </w:rPr>
      </w:pPr>
      <w:r>
        <w:rPr>
          <w:rFonts w:hint="eastAsia"/>
          <w:sz w:val="32"/>
          <w:szCs w:val="32"/>
          <w:lang w:eastAsia="zh-CN"/>
        </w:rPr>
        <w:t>成本</w:t>
      </w:r>
      <w:r>
        <w:rPr>
          <w:rFonts w:hint="eastAsia"/>
          <w:sz w:val="32"/>
          <w:szCs w:val="32"/>
        </w:rPr>
        <w:t>指标下设</w:t>
      </w:r>
      <w:r>
        <w:rPr>
          <w:rFonts w:hint="eastAsia"/>
          <w:sz w:val="32"/>
          <w:szCs w:val="32"/>
          <w:lang w:val="en-US" w:eastAsia="zh-CN"/>
        </w:rPr>
        <w:t>1</w:t>
      </w:r>
      <w:r>
        <w:rPr>
          <w:rFonts w:hint="eastAsia"/>
          <w:sz w:val="32"/>
          <w:szCs w:val="32"/>
        </w:rPr>
        <w:t>个三级指标，</w:t>
      </w:r>
      <w:r>
        <w:rPr>
          <w:rFonts w:hint="eastAsia" w:hAnsi="宋体"/>
          <w:sz w:val="32"/>
          <w:szCs w:val="32"/>
        </w:rPr>
        <w:t>指标</w:t>
      </w:r>
      <w:r>
        <w:rPr>
          <w:rFonts w:hint="eastAsia" w:hAnsi="宋体"/>
          <w:sz w:val="32"/>
          <w:szCs w:val="32"/>
          <w:lang w:val="en-US" w:eastAsia="zh-CN"/>
        </w:rPr>
        <w:t>分值20</w:t>
      </w:r>
      <w:r>
        <w:rPr>
          <w:rFonts w:hint="eastAsia" w:hAnsi="宋体"/>
          <w:sz w:val="32"/>
          <w:szCs w:val="32"/>
          <w:highlight w:val="none"/>
        </w:rPr>
        <w:t>分，自评得分</w:t>
      </w:r>
      <w:r>
        <w:rPr>
          <w:rFonts w:hint="eastAsia" w:hAnsi="宋体"/>
          <w:sz w:val="32"/>
          <w:szCs w:val="32"/>
          <w:highlight w:val="none"/>
          <w:lang w:val="en-US" w:eastAsia="zh-CN"/>
        </w:rPr>
        <w:t>20</w:t>
      </w:r>
      <w:r>
        <w:rPr>
          <w:rFonts w:hint="eastAsia" w:hAnsi="宋体"/>
          <w:sz w:val="32"/>
          <w:szCs w:val="32"/>
          <w:highlight w:val="none"/>
        </w:rPr>
        <w:t>分，得分率为</w:t>
      </w:r>
      <w:r>
        <w:rPr>
          <w:rFonts w:hint="eastAsia" w:hAnsi="宋体"/>
          <w:sz w:val="32"/>
          <w:szCs w:val="32"/>
          <w:highlight w:val="none"/>
          <w:lang w:val="en-US" w:eastAsia="zh-CN"/>
        </w:rPr>
        <w:t>100</w:t>
      </w:r>
      <w:r>
        <w:rPr>
          <w:rFonts w:hint="eastAsia" w:hAnsi="宋体"/>
          <w:sz w:val="32"/>
          <w:szCs w:val="32"/>
          <w:highlight w:val="none"/>
        </w:rPr>
        <w:t>%。</w:t>
      </w:r>
    </w:p>
    <w:p w14:paraId="232EED82">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sz w:val="32"/>
          <w:szCs w:val="32"/>
        </w:rPr>
      </w:pPr>
      <w:r>
        <w:rPr>
          <w:rFonts w:hint="eastAsia" w:ascii="仿宋_GB2312" w:hAnsi="宋体" w:eastAsia="仿宋_GB2312" w:cstheme="minorBidi"/>
          <w:b/>
          <w:bCs/>
          <w:kern w:val="2"/>
          <w:sz w:val="32"/>
          <w:szCs w:val="32"/>
          <w:lang w:val="en-US" w:eastAsia="zh-CN" w:bidi="ar-SA"/>
        </w:rPr>
        <w:t>成本控制情况</w:t>
      </w:r>
      <w:r>
        <w:rPr>
          <w:rFonts w:hint="eastAsia" w:hAnsi="宋体" w:cstheme="minorBidi"/>
          <w:b/>
          <w:bCs/>
          <w:kern w:val="2"/>
          <w:sz w:val="32"/>
          <w:szCs w:val="32"/>
          <w:lang w:val="en-US" w:eastAsia="zh-CN" w:bidi="ar-SA"/>
        </w:rPr>
        <w:t>：</w:t>
      </w:r>
      <w:r>
        <w:rPr>
          <w:rFonts w:hint="eastAsia" w:hAnsi="宋体" w:cstheme="minorBidi"/>
          <w:b w:val="0"/>
          <w:bCs w:val="0"/>
          <w:kern w:val="2"/>
          <w:sz w:val="32"/>
          <w:szCs w:val="32"/>
          <w:lang w:val="en-US" w:eastAsia="zh-CN" w:bidi="ar-SA"/>
        </w:rPr>
        <w:t>我院法庭运维费</w:t>
      </w:r>
      <w:r>
        <w:rPr>
          <w:rFonts w:hint="eastAsia" w:hAnsi="宋体" w:cs="宋体"/>
          <w:kern w:val="0"/>
          <w:sz w:val="32"/>
          <w:szCs w:val="32"/>
          <w:highlight w:val="none"/>
          <w:lang w:eastAsia="zh-CN"/>
        </w:rPr>
        <w:t>成本控制在</w:t>
      </w:r>
      <w:r>
        <w:rPr>
          <w:rFonts w:hint="eastAsia" w:hAnsi="宋体" w:cs="宋体"/>
          <w:kern w:val="0"/>
          <w:sz w:val="32"/>
          <w:szCs w:val="32"/>
          <w:highlight w:val="none"/>
        </w:rPr>
        <w:t>全年预算数</w:t>
      </w:r>
      <w:r>
        <w:rPr>
          <w:rFonts w:hint="eastAsia" w:hAnsi="宋体" w:cs="宋体"/>
          <w:kern w:val="0"/>
          <w:sz w:val="32"/>
          <w:szCs w:val="32"/>
          <w:highlight w:val="none"/>
          <w:lang w:eastAsia="zh-CN"/>
        </w:rPr>
        <w:t>以内</w:t>
      </w:r>
      <w:r>
        <w:rPr>
          <w:rFonts w:hint="eastAsia" w:hAnsi="宋体" w:cs="宋体"/>
          <w:kern w:val="0"/>
          <w:sz w:val="32"/>
          <w:szCs w:val="32"/>
          <w:highlight w:val="none"/>
        </w:rPr>
        <w:t>，</w:t>
      </w:r>
      <w:r>
        <w:rPr>
          <w:rFonts w:hint="eastAsia" w:hAnsi="宋体" w:cs="宋体"/>
          <w:kern w:val="0"/>
          <w:sz w:val="32"/>
          <w:szCs w:val="32"/>
        </w:rPr>
        <w:t>符合年度指标值的要求。</w:t>
      </w:r>
      <w:r>
        <w:rPr>
          <w:rFonts w:hint="eastAsia" w:ascii="仿宋_GB2312" w:hAnsi="宋体" w:eastAsia="仿宋_GB2312" w:cstheme="minorBidi"/>
          <w:kern w:val="2"/>
          <w:sz w:val="32"/>
          <w:szCs w:val="32"/>
          <w:highlight w:val="none"/>
          <w:lang w:val="en-US" w:eastAsia="zh-CN" w:bidi="ar-SA"/>
        </w:rPr>
        <w:t>该指标分值</w:t>
      </w:r>
      <w:r>
        <w:rPr>
          <w:rFonts w:hint="eastAsia" w:hAnsi="宋体" w:cstheme="minorBidi"/>
          <w:kern w:val="2"/>
          <w:sz w:val="32"/>
          <w:szCs w:val="32"/>
          <w:highlight w:val="none"/>
          <w:lang w:val="en-US" w:eastAsia="zh-CN" w:bidi="ar-SA"/>
        </w:rPr>
        <w:t>20</w:t>
      </w:r>
      <w:r>
        <w:rPr>
          <w:rFonts w:hint="eastAsia" w:ascii="仿宋_GB2312" w:hAnsi="宋体" w:eastAsia="仿宋_GB2312" w:cstheme="minorBidi"/>
          <w:kern w:val="2"/>
          <w:sz w:val="32"/>
          <w:szCs w:val="32"/>
          <w:highlight w:val="none"/>
          <w:lang w:val="en-US" w:eastAsia="zh-CN" w:bidi="ar-SA"/>
        </w:rPr>
        <w:t>分，自评得分为</w:t>
      </w:r>
      <w:r>
        <w:rPr>
          <w:rFonts w:hint="eastAsia" w:hAnsi="宋体" w:cstheme="minorBidi"/>
          <w:kern w:val="2"/>
          <w:sz w:val="32"/>
          <w:szCs w:val="32"/>
          <w:highlight w:val="none"/>
          <w:lang w:val="en-US" w:eastAsia="zh-CN" w:bidi="ar-SA"/>
        </w:rPr>
        <w:t>20</w:t>
      </w:r>
      <w:r>
        <w:rPr>
          <w:rFonts w:hint="eastAsia" w:ascii="仿宋_GB2312" w:hAnsi="宋体" w:eastAsia="仿宋_GB2312" w:cstheme="minorBidi"/>
          <w:kern w:val="2"/>
          <w:sz w:val="32"/>
          <w:szCs w:val="32"/>
          <w:highlight w:val="none"/>
          <w:lang w:val="en-US" w:eastAsia="zh-CN" w:bidi="ar-SA"/>
        </w:rPr>
        <w:t>分，得分率为</w:t>
      </w:r>
      <w:r>
        <w:rPr>
          <w:rFonts w:hint="eastAsia" w:hAnsi="宋体" w:cstheme="minorBidi"/>
          <w:kern w:val="2"/>
          <w:sz w:val="32"/>
          <w:szCs w:val="32"/>
          <w:highlight w:val="none"/>
          <w:lang w:val="en-US" w:eastAsia="zh-CN" w:bidi="ar-SA"/>
        </w:rPr>
        <w:t>100</w:t>
      </w:r>
      <w:r>
        <w:rPr>
          <w:rFonts w:hint="eastAsia" w:ascii="仿宋_GB2312" w:hAnsi="宋体" w:eastAsia="仿宋_GB2312" w:cstheme="minorBidi"/>
          <w:kern w:val="2"/>
          <w:sz w:val="32"/>
          <w:szCs w:val="32"/>
          <w:highlight w:val="none"/>
          <w:lang w:val="en-US" w:eastAsia="zh-CN" w:bidi="ar-SA"/>
        </w:rPr>
        <w:t>%。</w:t>
      </w:r>
    </w:p>
    <w:p w14:paraId="26B5DD0D">
      <w:pPr>
        <w:pageBreakBefore w:val="0"/>
        <w:widowControl w:val="0"/>
        <w:kinsoku/>
        <w:wordWrap/>
        <w:overflowPunct/>
        <w:topLinePunct w:val="0"/>
        <w:autoSpaceDE/>
        <w:autoSpaceDN/>
        <w:bidi w:val="0"/>
        <w:adjustRightInd/>
        <w:snapToGrid/>
        <w:spacing w:line="560" w:lineRule="exact"/>
        <w:ind w:firstLine="643" w:firstLineChars="200"/>
        <w:textAlignment w:val="auto"/>
        <w:rPr>
          <w:b/>
          <w:bCs/>
          <w:sz w:val="32"/>
          <w:szCs w:val="32"/>
        </w:rPr>
      </w:pPr>
      <w:r>
        <w:rPr>
          <w:rFonts w:hint="eastAsia"/>
          <w:b/>
          <w:bCs/>
          <w:sz w:val="32"/>
          <w:szCs w:val="32"/>
        </w:rPr>
        <w:t>（</w:t>
      </w:r>
      <w:r>
        <w:rPr>
          <w:rFonts w:hint="eastAsia"/>
          <w:b/>
          <w:bCs/>
          <w:sz w:val="32"/>
          <w:szCs w:val="32"/>
          <w:lang w:val="en-US" w:eastAsia="zh-CN"/>
        </w:rPr>
        <w:t>2</w:t>
      </w:r>
      <w:r>
        <w:rPr>
          <w:rFonts w:hint="eastAsia"/>
          <w:b/>
          <w:bCs/>
          <w:sz w:val="32"/>
          <w:szCs w:val="32"/>
        </w:rPr>
        <w:t>）产出指标</w:t>
      </w:r>
    </w:p>
    <w:p w14:paraId="271B3EF9">
      <w:pPr>
        <w:pageBreakBefore w:val="0"/>
        <w:widowControl w:val="0"/>
        <w:kinsoku/>
        <w:wordWrap/>
        <w:overflowPunct/>
        <w:topLinePunct w:val="0"/>
        <w:autoSpaceDE/>
        <w:autoSpaceDN/>
        <w:bidi w:val="0"/>
        <w:adjustRightInd/>
        <w:snapToGrid/>
        <w:spacing w:line="560" w:lineRule="exact"/>
        <w:ind w:firstLine="640" w:firstLineChars="200"/>
        <w:textAlignment w:val="auto"/>
        <w:rPr>
          <w:rFonts w:cs="仿宋_GB2312"/>
          <w:sz w:val="32"/>
          <w:szCs w:val="32"/>
        </w:rPr>
      </w:pPr>
      <w:r>
        <w:rPr>
          <w:rFonts w:hint="eastAsia"/>
          <w:sz w:val="32"/>
          <w:szCs w:val="32"/>
        </w:rPr>
        <w:t>产出指标下设数量</w:t>
      </w:r>
      <w:r>
        <w:rPr>
          <w:rFonts w:hint="eastAsia"/>
          <w:sz w:val="32"/>
          <w:szCs w:val="32"/>
          <w:lang w:eastAsia="zh-CN"/>
        </w:rPr>
        <w:t>、</w:t>
      </w:r>
      <w:r>
        <w:rPr>
          <w:rFonts w:hint="eastAsia"/>
          <w:sz w:val="32"/>
          <w:szCs w:val="32"/>
        </w:rPr>
        <w:t>质量</w:t>
      </w:r>
      <w:r>
        <w:rPr>
          <w:rFonts w:hint="eastAsia"/>
          <w:sz w:val="32"/>
          <w:szCs w:val="32"/>
          <w:lang w:val="en-US" w:eastAsia="zh-CN"/>
        </w:rPr>
        <w:t>和</w:t>
      </w:r>
      <w:r>
        <w:rPr>
          <w:rFonts w:hint="eastAsia"/>
          <w:sz w:val="32"/>
          <w:szCs w:val="32"/>
          <w:lang w:eastAsia="zh-CN"/>
        </w:rPr>
        <w:t>时效</w:t>
      </w:r>
      <w:r>
        <w:rPr>
          <w:rFonts w:hint="eastAsia"/>
          <w:sz w:val="32"/>
          <w:szCs w:val="32"/>
          <w:lang w:val="en-US" w:eastAsia="zh-CN"/>
        </w:rPr>
        <w:t>3</w:t>
      </w:r>
      <w:r>
        <w:rPr>
          <w:rFonts w:hint="eastAsia"/>
          <w:sz w:val="32"/>
          <w:szCs w:val="32"/>
        </w:rPr>
        <w:t>个二级指标。</w:t>
      </w:r>
      <w:r>
        <w:rPr>
          <w:rFonts w:hint="eastAsia"/>
          <w:sz w:val="32"/>
          <w:szCs w:val="32"/>
          <w:lang w:val="en-US" w:eastAsia="zh-CN"/>
        </w:rPr>
        <w:t>指标</w:t>
      </w:r>
      <w:r>
        <w:rPr>
          <w:rFonts w:hint="eastAsia"/>
          <w:sz w:val="32"/>
          <w:szCs w:val="32"/>
        </w:rPr>
        <w:t>分值</w:t>
      </w:r>
      <w:r>
        <w:rPr>
          <w:rFonts w:hint="eastAsia"/>
          <w:sz w:val="32"/>
          <w:szCs w:val="32"/>
          <w:lang w:val="en-US" w:eastAsia="zh-CN"/>
        </w:rPr>
        <w:t>4</w:t>
      </w:r>
      <w:r>
        <w:rPr>
          <w:rFonts w:hint="eastAsia"/>
          <w:sz w:val="32"/>
          <w:szCs w:val="32"/>
        </w:rPr>
        <w:t>0分，</w:t>
      </w:r>
      <w:r>
        <w:rPr>
          <w:rFonts w:hint="eastAsia"/>
          <w:sz w:val="32"/>
          <w:szCs w:val="32"/>
          <w:lang w:val="en-US" w:eastAsia="zh-CN"/>
        </w:rPr>
        <w:t>自评</w:t>
      </w:r>
      <w:r>
        <w:rPr>
          <w:rFonts w:hint="eastAsia"/>
          <w:sz w:val="32"/>
          <w:szCs w:val="32"/>
        </w:rPr>
        <w:t>得分</w:t>
      </w:r>
      <w:r>
        <w:rPr>
          <w:rFonts w:hint="eastAsia"/>
          <w:sz w:val="32"/>
          <w:szCs w:val="32"/>
          <w:lang w:val="en-US" w:eastAsia="zh-CN"/>
        </w:rPr>
        <w:t>40</w:t>
      </w:r>
      <w:r>
        <w:rPr>
          <w:rFonts w:hint="eastAsia"/>
          <w:sz w:val="32"/>
          <w:szCs w:val="32"/>
        </w:rPr>
        <w:t>分，得分率为</w:t>
      </w:r>
      <w:r>
        <w:rPr>
          <w:rFonts w:hint="eastAsia"/>
          <w:sz w:val="32"/>
          <w:szCs w:val="32"/>
          <w:lang w:val="en-US" w:eastAsia="zh-CN"/>
        </w:rPr>
        <w:t>100</w:t>
      </w:r>
      <w:r>
        <w:rPr>
          <w:rFonts w:hint="eastAsia"/>
          <w:sz w:val="32"/>
          <w:szCs w:val="32"/>
        </w:rPr>
        <w:t>%</w:t>
      </w:r>
      <w:r>
        <w:rPr>
          <w:rFonts w:hint="eastAsia" w:cs="仿宋_GB2312"/>
          <w:sz w:val="32"/>
          <w:szCs w:val="32"/>
        </w:rPr>
        <w:t>。</w:t>
      </w:r>
    </w:p>
    <w:p w14:paraId="3C7AB000">
      <w:pPr>
        <w:pageBreakBefore w:val="0"/>
        <w:widowControl w:val="0"/>
        <w:kinsoku/>
        <w:wordWrap/>
        <w:overflowPunct/>
        <w:topLinePunct w:val="0"/>
        <w:autoSpaceDE/>
        <w:autoSpaceDN/>
        <w:bidi w:val="0"/>
        <w:adjustRightInd/>
        <w:snapToGrid/>
        <w:spacing w:line="560" w:lineRule="exact"/>
        <w:ind w:firstLine="643" w:firstLineChars="200"/>
        <w:textAlignment w:val="auto"/>
        <w:rPr>
          <w:rFonts w:cs="仿宋_GB2312"/>
          <w:sz w:val="32"/>
          <w:szCs w:val="32"/>
        </w:rPr>
      </w:pPr>
      <w:r>
        <w:rPr>
          <w:rFonts w:hint="eastAsia"/>
          <w:b/>
          <w:bCs/>
          <w:sz w:val="32"/>
          <w:szCs w:val="32"/>
        </w:rPr>
        <w:t>①数量指标</w:t>
      </w:r>
    </w:p>
    <w:p w14:paraId="0AB4E2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sz w:val="32"/>
          <w:szCs w:val="32"/>
        </w:rPr>
      </w:pPr>
      <w:r>
        <w:rPr>
          <w:rFonts w:hint="eastAsia"/>
          <w:sz w:val="32"/>
          <w:szCs w:val="32"/>
        </w:rPr>
        <w:t>数量指标下设</w:t>
      </w:r>
      <w:r>
        <w:rPr>
          <w:rFonts w:hint="eastAsia"/>
          <w:sz w:val="32"/>
          <w:szCs w:val="32"/>
          <w:lang w:val="en-US" w:eastAsia="zh-CN"/>
        </w:rPr>
        <w:t>3</w:t>
      </w:r>
      <w:r>
        <w:rPr>
          <w:rFonts w:hint="eastAsia"/>
          <w:sz w:val="32"/>
          <w:szCs w:val="32"/>
        </w:rPr>
        <w:t>个三级指标，</w:t>
      </w:r>
      <w:r>
        <w:rPr>
          <w:rFonts w:hint="eastAsia" w:hAnsi="宋体"/>
          <w:sz w:val="32"/>
          <w:szCs w:val="32"/>
        </w:rPr>
        <w:t>指标权重合计</w:t>
      </w:r>
      <w:r>
        <w:rPr>
          <w:rFonts w:hint="eastAsia" w:hAnsi="宋体"/>
          <w:sz w:val="32"/>
          <w:szCs w:val="32"/>
          <w:lang w:val="en-US" w:eastAsia="zh-CN"/>
        </w:rPr>
        <w:t>17.16</w:t>
      </w:r>
      <w:r>
        <w:rPr>
          <w:rFonts w:hint="eastAsia" w:hAnsi="宋体"/>
          <w:sz w:val="32"/>
          <w:szCs w:val="32"/>
        </w:rPr>
        <w:t>分，自评得分</w:t>
      </w:r>
      <w:r>
        <w:rPr>
          <w:rFonts w:hint="eastAsia" w:hAnsi="宋体"/>
          <w:sz w:val="32"/>
          <w:szCs w:val="32"/>
          <w:lang w:val="en-US" w:eastAsia="zh-CN"/>
        </w:rPr>
        <w:t>17.16</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3BC4F546">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eastAsia" w:hAnsi="宋体"/>
          <w:sz w:val="32"/>
          <w:szCs w:val="32"/>
        </w:rPr>
      </w:pPr>
      <w:r>
        <w:rPr>
          <w:rFonts w:hint="eastAsia" w:hAnsi="宋体" w:cstheme="minorBidi"/>
          <w:b/>
          <w:bCs/>
          <w:kern w:val="2"/>
          <w:sz w:val="32"/>
          <w:szCs w:val="32"/>
          <w:lang w:val="en-US" w:eastAsia="zh-CN" w:bidi="ar-SA"/>
        </w:rPr>
        <w:t>保障法庭个数：</w:t>
      </w:r>
      <w:r>
        <w:rPr>
          <w:rFonts w:hint="eastAsia" w:hAnsi="宋体" w:cstheme="minorBidi"/>
          <w:b w:val="0"/>
          <w:bCs w:val="0"/>
          <w:kern w:val="2"/>
          <w:sz w:val="32"/>
          <w:szCs w:val="32"/>
          <w:lang w:val="en-US" w:eastAsia="zh-CN" w:bidi="ar-SA"/>
        </w:rPr>
        <w:t>我院保障法庭个数</w:t>
      </w:r>
      <w:r>
        <w:rPr>
          <w:rFonts w:hint="eastAsia" w:hAnsi="宋体"/>
          <w:b w:val="0"/>
          <w:bCs w:val="0"/>
          <w:sz w:val="32"/>
          <w:szCs w:val="32"/>
          <w:lang w:val="en-US" w:eastAsia="zh-CN"/>
        </w:rPr>
        <w:t>年度</w:t>
      </w:r>
      <w:r>
        <w:rPr>
          <w:rFonts w:hint="eastAsia" w:hAnsi="宋体"/>
          <w:sz w:val="32"/>
          <w:szCs w:val="32"/>
          <w:lang w:val="en-US" w:eastAsia="zh-CN"/>
        </w:rPr>
        <w:t>指标值3个，实际保障3个派出法庭正常运维，</w:t>
      </w:r>
      <w:r>
        <w:rPr>
          <w:rFonts w:hint="eastAsia"/>
          <w:sz w:val="32"/>
          <w:szCs w:val="32"/>
          <w:lang w:eastAsia="zh-CN"/>
        </w:rPr>
        <w:t>达到年度指标值</w:t>
      </w:r>
      <w:r>
        <w:rPr>
          <w:rFonts w:hint="eastAsia"/>
          <w:sz w:val="32"/>
          <w:szCs w:val="32"/>
        </w:rPr>
        <w:t>。</w:t>
      </w:r>
      <w:r>
        <w:rPr>
          <w:rFonts w:hint="eastAsia" w:hAnsi="宋体"/>
          <w:sz w:val="32"/>
          <w:szCs w:val="32"/>
        </w:rPr>
        <w:t>指标</w:t>
      </w:r>
      <w:r>
        <w:rPr>
          <w:rFonts w:hint="eastAsia" w:hAnsi="宋体"/>
          <w:sz w:val="32"/>
          <w:szCs w:val="32"/>
          <w:lang w:val="en-US" w:eastAsia="zh-CN"/>
        </w:rPr>
        <w:t>分值5.74分，自评得分5.74分，</w:t>
      </w:r>
      <w:r>
        <w:rPr>
          <w:rFonts w:hint="eastAsia" w:hAnsi="宋体"/>
          <w:sz w:val="32"/>
          <w:szCs w:val="32"/>
        </w:rPr>
        <w:t>得分率为</w:t>
      </w:r>
      <w:r>
        <w:rPr>
          <w:rFonts w:hint="eastAsia" w:hAnsi="宋体"/>
          <w:sz w:val="32"/>
          <w:szCs w:val="32"/>
          <w:lang w:val="en-US" w:eastAsia="zh-CN"/>
        </w:rPr>
        <w:t>100</w:t>
      </w:r>
      <w:r>
        <w:rPr>
          <w:rFonts w:hint="eastAsia" w:hAnsi="宋体"/>
          <w:sz w:val="32"/>
          <w:szCs w:val="32"/>
        </w:rPr>
        <w:t>%。</w:t>
      </w:r>
    </w:p>
    <w:p w14:paraId="04C212EA">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eastAsia" w:hAnsi="宋体"/>
          <w:sz w:val="32"/>
          <w:szCs w:val="32"/>
        </w:rPr>
      </w:pPr>
      <w:r>
        <w:rPr>
          <w:rFonts w:hint="eastAsia" w:hAnsi="宋体" w:cstheme="minorBidi"/>
          <w:b/>
          <w:bCs/>
          <w:kern w:val="2"/>
          <w:sz w:val="32"/>
          <w:szCs w:val="32"/>
          <w:lang w:val="en-US" w:eastAsia="zh-CN" w:bidi="ar-SA"/>
        </w:rPr>
        <w:t>维修维护工作完成率：</w:t>
      </w:r>
      <w:r>
        <w:rPr>
          <w:rFonts w:hint="eastAsia" w:hAnsi="宋体" w:cstheme="minorBidi"/>
          <w:b w:val="0"/>
          <w:bCs w:val="0"/>
          <w:kern w:val="2"/>
          <w:sz w:val="32"/>
          <w:szCs w:val="32"/>
          <w:lang w:val="en-US" w:eastAsia="zh-CN" w:bidi="ar-SA"/>
        </w:rPr>
        <w:t>我院派出法庭开展日常维修维护工作完成率为</w:t>
      </w:r>
      <w:r>
        <w:rPr>
          <w:rFonts w:hint="eastAsia" w:hAnsi="宋体"/>
          <w:sz w:val="32"/>
          <w:szCs w:val="32"/>
          <w:lang w:val="en-US" w:eastAsia="zh-CN"/>
        </w:rPr>
        <w:t>100%，</w:t>
      </w:r>
      <w:r>
        <w:rPr>
          <w:rFonts w:hint="eastAsia"/>
          <w:sz w:val="32"/>
          <w:szCs w:val="32"/>
          <w:lang w:eastAsia="zh-CN"/>
        </w:rPr>
        <w:t>达到年度指标值</w:t>
      </w:r>
      <w:r>
        <w:rPr>
          <w:rFonts w:hint="eastAsia"/>
          <w:sz w:val="32"/>
          <w:szCs w:val="32"/>
        </w:rPr>
        <w:t>。</w:t>
      </w:r>
      <w:r>
        <w:rPr>
          <w:rFonts w:hint="eastAsia" w:hAnsi="宋体"/>
          <w:sz w:val="32"/>
          <w:szCs w:val="32"/>
          <w:lang w:val="en-US" w:eastAsia="zh-CN"/>
        </w:rPr>
        <w:t>该</w:t>
      </w:r>
      <w:r>
        <w:rPr>
          <w:rFonts w:hint="eastAsia" w:hAnsi="宋体"/>
          <w:sz w:val="32"/>
          <w:szCs w:val="32"/>
        </w:rPr>
        <w:t>指标</w:t>
      </w:r>
      <w:r>
        <w:rPr>
          <w:rFonts w:hint="eastAsia" w:hAnsi="宋体"/>
          <w:sz w:val="32"/>
          <w:szCs w:val="32"/>
          <w:lang w:val="en-US" w:eastAsia="zh-CN"/>
        </w:rPr>
        <w:t>分值5.71分，自评得分5.71分，</w:t>
      </w:r>
      <w:r>
        <w:rPr>
          <w:rFonts w:hint="eastAsia" w:hAnsi="宋体"/>
          <w:sz w:val="32"/>
          <w:szCs w:val="32"/>
        </w:rPr>
        <w:t>得分率为</w:t>
      </w:r>
      <w:r>
        <w:rPr>
          <w:rFonts w:hint="eastAsia" w:hAnsi="宋体"/>
          <w:sz w:val="32"/>
          <w:szCs w:val="32"/>
          <w:lang w:val="en-US" w:eastAsia="zh-CN"/>
        </w:rPr>
        <w:t>100</w:t>
      </w:r>
      <w:r>
        <w:rPr>
          <w:rFonts w:hint="eastAsia" w:hAnsi="宋体"/>
          <w:sz w:val="32"/>
          <w:szCs w:val="32"/>
        </w:rPr>
        <w:t>%。</w:t>
      </w:r>
    </w:p>
    <w:p w14:paraId="7FAF6F5C">
      <w:pPr>
        <w:pStyle w:val="20"/>
        <w:keepNext w:val="0"/>
        <w:keepLines w:val="0"/>
        <w:pageBreakBefore w:val="0"/>
        <w:widowControl w:val="0"/>
        <w:kinsoku/>
        <w:wordWrap/>
        <w:overflowPunct/>
        <w:topLinePunct w:val="0"/>
        <w:autoSpaceDE/>
        <w:autoSpaceDN/>
        <w:bidi w:val="0"/>
        <w:adjustRightInd/>
        <w:snapToGrid/>
        <w:spacing w:before="0" w:beforeAutospacing="0" w:line="560" w:lineRule="exact"/>
        <w:ind w:firstLine="643" w:firstLineChars="200"/>
        <w:textAlignment w:val="auto"/>
        <w:rPr>
          <w:rFonts w:hint="eastAsia" w:hAnsi="宋体" w:cstheme="minorBidi"/>
          <w:b/>
          <w:bCs/>
          <w:kern w:val="2"/>
          <w:sz w:val="32"/>
          <w:szCs w:val="32"/>
          <w:lang w:val="en-US" w:eastAsia="zh-CN" w:bidi="ar-SA"/>
        </w:rPr>
      </w:pPr>
      <w:r>
        <w:rPr>
          <w:rFonts w:hint="eastAsia" w:hAnsi="宋体" w:cstheme="minorBidi"/>
          <w:b/>
          <w:bCs/>
          <w:kern w:val="2"/>
          <w:sz w:val="32"/>
          <w:szCs w:val="32"/>
          <w:lang w:val="en-US" w:eastAsia="zh-CN" w:bidi="ar-SA"/>
        </w:rPr>
        <w:t>物业服务保障工作完成率：</w:t>
      </w:r>
      <w:r>
        <w:rPr>
          <w:rFonts w:hint="eastAsia" w:hAnsi="宋体" w:cstheme="minorBidi"/>
          <w:b w:val="0"/>
          <w:bCs w:val="0"/>
          <w:kern w:val="2"/>
          <w:sz w:val="32"/>
          <w:szCs w:val="32"/>
          <w:lang w:val="en-US" w:eastAsia="zh-CN" w:bidi="ar-SA"/>
        </w:rPr>
        <w:t>我院物业服务常规性开展，保障派出法庭正常运转，物业服务保障工作完成率</w:t>
      </w:r>
      <w:r>
        <w:rPr>
          <w:rFonts w:hint="eastAsia" w:hAnsi="宋体"/>
          <w:sz w:val="32"/>
          <w:szCs w:val="32"/>
          <w:lang w:val="en-US" w:eastAsia="zh-CN"/>
        </w:rPr>
        <w:t>100%，</w:t>
      </w:r>
      <w:r>
        <w:rPr>
          <w:rFonts w:hint="eastAsia"/>
          <w:sz w:val="32"/>
          <w:szCs w:val="32"/>
          <w:lang w:eastAsia="zh-CN"/>
        </w:rPr>
        <w:t>达到年度指标值</w:t>
      </w:r>
      <w:r>
        <w:rPr>
          <w:rFonts w:hint="eastAsia"/>
          <w:sz w:val="32"/>
          <w:szCs w:val="32"/>
        </w:rPr>
        <w:t>。</w:t>
      </w:r>
      <w:r>
        <w:rPr>
          <w:rFonts w:hint="eastAsia" w:hAnsi="宋体"/>
          <w:sz w:val="32"/>
          <w:szCs w:val="32"/>
          <w:lang w:val="en-US" w:eastAsia="zh-CN"/>
        </w:rPr>
        <w:t>该</w:t>
      </w:r>
      <w:r>
        <w:rPr>
          <w:rFonts w:hint="eastAsia" w:hAnsi="宋体"/>
          <w:sz w:val="32"/>
          <w:szCs w:val="32"/>
        </w:rPr>
        <w:t>指标</w:t>
      </w:r>
      <w:r>
        <w:rPr>
          <w:rFonts w:hint="eastAsia" w:hAnsi="宋体"/>
          <w:sz w:val="32"/>
          <w:szCs w:val="32"/>
          <w:lang w:val="en-US" w:eastAsia="zh-CN"/>
        </w:rPr>
        <w:t>分值5.71分，自评得分5.71分，</w:t>
      </w:r>
      <w:r>
        <w:rPr>
          <w:rFonts w:hint="eastAsia" w:hAnsi="宋体"/>
          <w:sz w:val="32"/>
          <w:szCs w:val="32"/>
        </w:rPr>
        <w:t>得分率为</w:t>
      </w:r>
      <w:r>
        <w:rPr>
          <w:rFonts w:hint="eastAsia" w:hAnsi="宋体"/>
          <w:sz w:val="32"/>
          <w:szCs w:val="32"/>
          <w:lang w:val="en-US" w:eastAsia="zh-CN"/>
        </w:rPr>
        <w:t>100</w:t>
      </w:r>
      <w:r>
        <w:rPr>
          <w:rFonts w:hint="eastAsia" w:hAnsi="宋体"/>
          <w:sz w:val="32"/>
          <w:szCs w:val="32"/>
        </w:rPr>
        <w:t>%。</w:t>
      </w:r>
    </w:p>
    <w:p w14:paraId="404C905A">
      <w:pPr>
        <w:pStyle w:val="18"/>
        <w:pageBreakBefore w:val="0"/>
        <w:widowControl w:val="0"/>
        <w:kinsoku/>
        <w:wordWrap/>
        <w:overflowPunct/>
        <w:topLinePunct w:val="0"/>
        <w:autoSpaceDE/>
        <w:autoSpaceDN/>
        <w:bidi w:val="0"/>
        <w:adjustRightInd/>
        <w:snapToGrid/>
        <w:spacing w:line="560" w:lineRule="exact"/>
        <w:ind w:firstLine="643" w:firstLineChars="200"/>
        <w:textAlignment w:val="auto"/>
        <w:rPr>
          <w:rFonts w:hAnsi="宋体"/>
          <w:b/>
          <w:bCs/>
          <w:sz w:val="32"/>
          <w:szCs w:val="32"/>
        </w:rPr>
      </w:pPr>
      <w:r>
        <w:rPr>
          <w:rFonts w:hint="eastAsia" w:ascii="仿宋_GB2312" w:hAnsi="仿宋_GB2312" w:eastAsia="仿宋_GB2312" w:cstheme="minorBidi"/>
          <w:b/>
          <w:bCs/>
          <w:kern w:val="2"/>
          <w:sz w:val="32"/>
          <w:szCs w:val="32"/>
          <w:lang w:val="en-US" w:eastAsia="zh-CN" w:bidi="ar-SA"/>
        </w:rPr>
        <w:t>②</w:t>
      </w:r>
      <w:r>
        <w:rPr>
          <w:rFonts w:hint="eastAsia" w:ascii="Calibri" w:hAnsi="Calibri" w:cs="Calibri"/>
          <w:b/>
          <w:bCs/>
          <w:sz w:val="32"/>
          <w:szCs w:val="32"/>
        </w:rPr>
        <w:t>质量</w:t>
      </w:r>
      <w:r>
        <w:rPr>
          <w:rFonts w:hint="eastAsia" w:hAnsi="宋体"/>
          <w:b/>
          <w:bCs/>
          <w:sz w:val="32"/>
          <w:szCs w:val="32"/>
        </w:rPr>
        <w:t>指标</w:t>
      </w:r>
    </w:p>
    <w:p w14:paraId="0E9A000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sz w:val="32"/>
          <w:szCs w:val="32"/>
        </w:rPr>
      </w:pPr>
      <w:r>
        <w:rPr>
          <w:rFonts w:hint="eastAsia"/>
          <w:sz w:val="32"/>
          <w:szCs w:val="32"/>
        </w:rPr>
        <w:t>质量指标下设</w:t>
      </w:r>
      <w:r>
        <w:rPr>
          <w:rFonts w:hint="eastAsia"/>
          <w:sz w:val="32"/>
          <w:szCs w:val="32"/>
          <w:lang w:val="en-US" w:eastAsia="zh-CN"/>
        </w:rPr>
        <w:t>2</w:t>
      </w:r>
      <w:r>
        <w:rPr>
          <w:rFonts w:hint="eastAsia"/>
          <w:sz w:val="32"/>
          <w:szCs w:val="32"/>
        </w:rPr>
        <w:t>个三级指标，</w:t>
      </w:r>
      <w:r>
        <w:rPr>
          <w:rFonts w:hint="eastAsia" w:hAnsi="宋体"/>
          <w:sz w:val="32"/>
          <w:szCs w:val="32"/>
        </w:rPr>
        <w:t>指标</w:t>
      </w:r>
      <w:r>
        <w:rPr>
          <w:rFonts w:hint="eastAsia" w:hAnsi="宋体"/>
          <w:sz w:val="32"/>
          <w:szCs w:val="32"/>
          <w:lang w:val="en-US" w:eastAsia="zh-CN"/>
        </w:rPr>
        <w:t>分值11.42</w:t>
      </w:r>
      <w:r>
        <w:rPr>
          <w:rFonts w:hint="eastAsia" w:hAnsi="宋体"/>
          <w:sz w:val="32"/>
          <w:szCs w:val="32"/>
        </w:rPr>
        <w:t>分，自评得分</w:t>
      </w:r>
      <w:r>
        <w:rPr>
          <w:rFonts w:hint="eastAsia" w:hAnsi="宋体"/>
          <w:sz w:val="32"/>
          <w:szCs w:val="32"/>
          <w:lang w:val="en-US" w:eastAsia="zh-CN"/>
        </w:rPr>
        <w:t>11.42</w:t>
      </w:r>
      <w:r>
        <w:rPr>
          <w:rFonts w:hint="eastAsia" w:hAnsi="宋体"/>
          <w:sz w:val="32"/>
          <w:szCs w:val="32"/>
        </w:rPr>
        <w:t>分，得分率为100%。</w:t>
      </w:r>
    </w:p>
    <w:p w14:paraId="6B056377">
      <w:pPr>
        <w:pStyle w:val="8"/>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宋体"/>
          <w:sz w:val="32"/>
          <w:szCs w:val="32"/>
        </w:rPr>
      </w:pPr>
      <w:r>
        <w:rPr>
          <w:rFonts w:hint="eastAsia" w:hAnsi="宋体" w:cstheme="minorBidi"/>
          <w:b/>
          <w:bCs/>
          <w:kern w:val="2"/>
          <w:sz w:val="32"/>
          <w:szCs w:val="32"/>
          <w:lang w:val="en-US" w:eastAsia="zh-CN" w:bidi="ar-SA"/>
        </w:rPr>
        <w:t>维修维护工作验收合格率</w:t>
      </w:r>
      <w:r>
        <w:rPr>
          <w:rFonts w:hint="eastAsia" w:ascii="仿宋_GB2312" w:hAnsi="宋体" w:eastAsia="仿宋_GB2312" w:cstheme="minorBidi"/>
          <w:b/>
          <w:bCs/>
          <w:kern w:val="2"/>
          <w:sz w:val="32"/>
          <w:szCs w:val="32"/>
          <w:lang w:val="en-US" w:eastAsia="zh-CN" w:bidi="ar-SA"/>
        </w:rPr>
        <w:t>：</w:t>
      </w:r>
      <w:r>
        <w:rPr>
          <w:rFonts w:hint="eastAsia" w:hAnsi="宋体" w:cstheme="minorBidi"/>
          <w:b w:val="0"/>
          <w:bCs w:val="0"/>
          <w:kern w:val="2"/>
          <w:sz w:val="32"/>
          <w:szCs w:val="32"/>
          <w:lang w:val="en-US" w:eastAsia="zh-CN" w:bidi="ar-SA"/>
        </w:rPr>
        <w:t>我院派出法庭开展日常维修维护工作，各项维修维护工作均验收合格</w:t>
      </w:r>
      <w:r>
        <w:rPr>
          <w:rFonts w:hint="eastAsia" w:hAnsi="宋体"/>
          <w:sz w:val="32"/>
          <w:szCs w:val="32"/>
          <w:lang w:val="en-US" w:eastAsia="zh-CN"/>
        </w:rPr>
        <w:t>，</w:t>
      </w:r>
      <w:r>
        <w:rPr>
          <w:rFonts w:hint="eastAsia"/>
          <w:sz w:val="32"/>
          <w:szCs w:val="32"/>
          <w:lang w:eastAsia="zh-CN"/>
        </w:rPr>
        <w:t>达到年度指标值</w:t>
      </w:r>
      <w:r>
        <w:rPr>
          <w:rFonts w:hint="eastAsia"/>
          <w:sz w:val="32"/>
          <w:szCs w:val="32"/>
        </w:rPr>
        <w:t>。</w:t>
      </w:r>
      <w:r>
        <w:rPr>
          <w:rFonts w:hint="eastAsia" w:hAnsi="宋体"/>
          <w:sz w:val="32"/>
          <w:szCs w:val="32"/>
          <w:lang w:val="en-US" w:eastAsia="zh-CN"/>
        </w:rPr>
        <w:t>该</w:t>
      </w:r>
      <w:r>
        <w:rPr>
          <w:rFonts w:hint="eastAsia" w:hAnsi="宋体"/>
          <w:sz w:val="32"/>
          <w:szCs w:val="32"/>
        </w:rPr>
        <w:t>指标</w:t>
      </w:r>
      <w:r>
        <w:rPr>
          <w:rFonts w:hint="eastAsia" w:hAnsi="宋体"/>
          <w:sz w:val="32"/>
          <w:szCs w:val="32"/>
          <w:lang w:val="en-US" w:eastAsia="zh-CN"/>
        </w:rPr>
        <w:t>分值5.71分，自评得分5.71分，</w:t>
      </w:r>
      <w:r>
        <w:rPr>
          <w:rFonts w:hint="eastAsia" w:hAnsi="宋体"/>
          <w:sz w:val="32"/>
          <w:szCs w:val="32"/>
        </w:rPr>
        <w:t>得分率为</w:t>
      </w:r>
      <w:r>
        <w:rPr>
          <w:rFonts w:hint="eastAsia" w:hAnsi="宋体"/>
          <w:sz w:val="32"/>
          <w:szCs w:val="32"/>
          <w:lang w:val="en-US" w:eastAsia="zh-CN"/>
        </w:rPr>
        <w:t>100</w:t>
      </w:r>
      <w:r>
        <w:rPr>
          <w:rFonts w:hint="eastAsia" w:hAnsi="宋体"/>
          <w:sz w:val="32"/>
          <w:szCs w:val="32"/>
        </w:rPr>
        <w:t>%。</w:t>
      </w:r>
    </w:p>
    <w:p w14:paraId="7EE68FA2">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宋体"/>
          <w:sz w:val="32"/>
          <w:szCs w:val="32"/>
        </w:rPr>
      </w:pPr>
      <w:r>
        <w:rPr>
          <w:rFonts w:hint="eastAsia" w:hAnsi="宋体" w:cstheme="minorBidi"/>
          <w:b/>
          <w:bCs/>
          <w:kern w:val="2"/>
          <w:sz w:val="32"/>
          <w:szCs w:val="32"/>
          <w:lang w:val="en-US" w:eastAsia="zh-CN" w:bidi="ar-SA"/>
        </w:rPr>
        <w:t>物业服务保障工作验收合格率</w:t>
      </w:r>
      <w:r>
        <w:rPr>
          <w:rFonts w:hint="eastAsia" w:ascii="仿宋_GB2312" w:hAnsi="宋体" w:eastAsia="仿宋_GB2312" w:cstheme="minorBidi"/>
          <w:b/>
          <w:bCs/>
          <w:kern w:val="2"/>
          <w:sz w:val="32"/>
          <w:szCs w:val="32"/>
          <w:lang w:val="en-US" w:eastAsia="zh-CN" w:bidi="ar-SA"/>
        </w:rPr>
        <w:t>：</w:t>
      </w:r>
      <w:r>
        <w:rPr>
          <w:rFonts w:hint="eastAsia" w:hAnsi="宋体" w:cstheme="minorBidi"/>
          <w:b w:val="0"/>
          <w:bCs w:val="0"/>
          <w:kern w:val="2"/>
          <w:sz w:val="32"/>
          <w:szCs w:val="32"/>
          <w:lang w:val="en-US" w:eastAsia="zh-CN" w:bidi="ar-SA"/>
        </w:rPr>
        <w:t>我院物业服务常规性开展，保障派出法庭正常运转，物业服务保障工作验收合格率</w:t>
      </w:r>
      <w:r>
        <w:rPr>
          <w:rFonts w:hint="eastAsia" w:hAnsi="宋体"/>
          <w:sz w:val="32"/>
          <w:szCs w:val="32"/>
          <w:lang w:val="en-US" w:eastAsia="zh-CN"/>
        </w:rPr>
        <w:t>100%，</w:t>
      </w:r>
      <w:r>
        <w:rPr>
          <w:rFonts w:hint="eastAsia"/>
          <w:sz w:val="32"/>
          <w:szCs w:val="32"/>
          <w:lang w:eastAsia="zh-CN"/>
        </w:rPr>
        <w:t>达到年度指标值</w:t>
      </w:r>
      <w:r>
        <w:rPr>
          <w:rFonts w:hint="eastAsia"/>
          <w:sz w:val="32"/>
          <w:szCs w:val="32"/>
        </w:rPr>
        <w:t>。</w:t>
      </w:r>
      <w:r>
        <w:rPr>
          <w:rFonts w:hint="eastAsia" w:hAnsi="宋体"/>
          <w:sz w:val="32"/>
          <w:szCs w:val="32"/>
          <w:lang w:val="en-US" w:eastAsia="zh-CN"/>
        </w:rPr>
        <w:t>该</w:t>
      </w:r>
      <w:r>
        <w:rPr>
          <w:rFonts w:hint="eastAsia" w:hAnsi="宋体"/>
          <w:sz w:val="32"/>
          <w:szCs w:val="32"/>
        </w:rPr>
        <w:t>指标</w:t>
      </w:r>
      <w:r>
        <w:rPr>
          <w:rFonts w:hint="eastAsia" w:hAnsi="宋体"/>
          <w:sz w:val="32"/>
          <w:szCs w:val="32"/>
          <w:lang w:val="en-US" w:eastAsia="zh-CN"/>
        </w:rPr>
        <w:t>分值5.71分，自评得分5.71分，</w:t>
      </w:r>
      <w:r>
        <w:rPr>
          <w:rFonts w:hint="eastAsia" w:hAnsi="宋体"/>
          <w:sz w:val="32"/>
          <w:szCs w:val="32"/>
        </w:rPr>
        <w:t>得分率为</w:t>
      </w:r>
      <w:r>
        <w:rPr>
          <w:rFonts w:hint="eastAsia" w:hAnsi="宋体"/>
          <w:sz w:val="32"/>
          <w:szCs w:val="32"/>
          <w:lang w:val="en-US" w:eastAsia="zh-CN"/>
        </w:rPr>
        <w:t>100</w:t>
      </w:r>
      <w:r>
        <w:rPr>
          <w:rFonts w:hint="eastAsia" w:hAnsi="宋体"/>
          <w:sz w:val="32"/>
          <w:szCs w:val="32"/>
        </w:rPr>
        <w:t>%。</w:t>
      </w:r>
    </w:p>
    <w:p w14:paraId="58D4C9C2">
      <w:pPr>
        <w:pStyle w:val="8"/>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alibri" w:hAnsi="Calibri" w:eastAsia="仿宋_GB2312" w:cs="Calibri"/>
          <w:b/>
          <w:bCs/>
          <w:kern w:val="2"/>
          <w:sz w:val="32"/>
          <w:szCs w:val="32"/>
          <w:lang w:val="en-US" w:eastAsia="zh-CN" w:bidi="ar-SA"/>
        </w:rPr>
      </w:pPr>
      <w:r>
        <w:rPr>
          <w:rFonts w:hint="eastAsia" w:ascii="Calibri" w:hAnsi="Calibri" w:eastAsia="仿宋_GB2312" w:cs="Calibri"/>
          <w:b/>
          <w:bCs/>
          <w:kern w:val="2"/>
          <w:sz w:val="32"/>
          <w:szCs w:val="32"/>
          <w:lang w:val="en-US" w:eastAsia="zh-CN" w:bidi="ar-SA"/>
        </w:rPr>
        <w:t>③时效指标</w:t>
      </w:r>
    </w:p>
    <w:p w14:paraId="5D40BBE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eastAsia="zh-CN"/>
        </w:rPr>
        <w:t>时效</w:t>
      </w:r>
      <w:r>
        <w:rPr>
          <w:rFonts w:hint="eastAsia"/>
          <w:sz w:val="32"/>
          <w:szCs w:val="32"/>
        </w:rPr>
        <w:t>指标下设</w:t>
      </w:r>
      <w:r>
        <w:rPr>
          <w:rFonts w:hint="eastAsia"/>
          <w:sz w:val="32"/>
          <w:szCs w:val="32"/>
          <w:lang w:val="en-US" w:eastAsia="zh-CN"/>
        </w:rPr>
        <w:t>2</w:t>
      </w:r>
      <w:r>
        <w:rPr>
          <w:rFonts w:hint="eastAsia"/>
          <w:sz w:val="32"/>
          <w:szCs w:val="32"/>
        </w:rPr>
        <w:t>个三级指标，</w:t>
      </w:r>
      <w:r>
        <w:rPr>
          <w:rFonts w:hint="eastAsia" w:hAnsi="宋体"/>
          <w:sz w:val="32"/>
          <w:szCs w:val="32"/>
        </w:rPr>
        <w:t>指标</w:t>
      </w:r>
      <w:r>
        <w:rPr>
          <w:rFonts w:hint="eastAsia" w:hAnsi="宋体"/>
          <w:sz w:val="32"/>
          <w:szCs w:val="32"/>
          <w:lang w:val="en-US" w:eastAsia="zh-CN"/>
        </w:rPr>
        <w:t>分值11.42</w:t>
      </w:r>
      <w:r>
        <w:rPr>
          <w:rFonts w:hint="eastAsia" w:hAnsi="宋体"/>
          <w:sz w:val="32"/>
          <w:szCs w:val="32"/>
        </w:rPr>
        <w:t>分，自评得</w:t>
      </w:r>
      <w:r>
        <w:rPr>
          <w:rFonts w:hint="eastAsia" w:hAnsi="宋体"/>
          <w:sz w:val="32"/>
          <w:szCs w:val="32"/>
          <w:highlight w:val="none"/>
        </w:rPr>
        <w:t>分</w:t>
      </w:r>
      <w:r>
        <w:rPr>
          <w:rFonts w:hint="eastAsia" w:hAnsi="宋体"/>
          <w:sz w:val="32"/>
          <w:szCs w:val="32"/>
          <w:lang w:val="en-US" w:eastAsia="zh-CN"/>
        </w:rPr>
        <w:t>11.42</w:t>
      </w:r>
      <w:r>
        <w:rPr>
          <w:rFonts w:hint="eastAsia" w:hAnsi="宋体"/>
          <w:sz w:val="32"/>
          <w:szCs w:val="32"/>
        </w:rPr>
        <w:t>分，得分率</w:t>
      </w:r>
      <w:r>
        <w:rPr>
          <w:rFonts w:hint="eastAsia" w:hAnsi="宋体"/>
          <w:sz w:val="32"/>
          <w:szCs w:val="32"/>
          <w:highlight w:val="none"/>
        </w:rPr>
        <w:t>为</w:t>
      </w:r>
      <w:r>
        <w:rPr>
          <w:rFonts w:hint="eastAsia" w:hAnsi="宋体"/>
          <w:sz w:val="32"/>
          <w:szCs w:val="32"/>
          <w:highlight w:val="none"/>
          <w:lang w:val="en-US" w:eastAsia="zh-CN"/>
        </w:rPr>
        <w:t>100</w:t>
      </w:r>
      <w:r>
        <w:rPr>
          <w:rFonts w:hint="eastAsia" w:hAnsi="宋体"/>
          <w:sz w:val="32"/>
          <w:szCs w:val="32"/>
          <w:highlight w:val="none"/>
        </w:rPr>
        <w:t>%。</w:t>
      </w:r>
    </w:p>
    <w:p w14:paraId="182060DD">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宋体"/>
          <w:b/>
          <w:bCs/>
          <w:sz w:val="32"/>
          <w:szCs w:val="32"/>
          <w:lang w:val="en-US" w:eastAsia="zh-CN"/>
        </w:rPr>
      </w:pPr>
      <w:r>
        <w:rPr>
          <w:rFonts w:hint="eastAsia" w:hAnsi="宋体" w:cstheme="minorBidi"/>
          <w:b/>
          <w:bCs/>
          <w:kern w:val="2"/>
          <w:sz w:val="32"/>
          <w:szCs w:val="32"/>
          <w:lang w:val="en-US" w:eastAsia="zh-CN" w:bidi="ar-SA"/>
        </w:rPr>
        <w:t>维修维护工作开展及时性</w:t>
      </w:r>
      <w:r>
        <w:rPr>
          <w:rFonts w:hint="eastAsia" w:hAnsi="宋体"/>
          <w:b/>
          <w:bCs/>
          <w:sz w:val="32"/>
          <w:szCs w:val="32"/>
          <w:lang w:val="en-US" w:eastAsia="zh-CN"/>
        </w:rPr>
        <w:t>：</w:t>
      </w:r>
      <w:r>
        <w:rPr>
          <w:rFonts w:hint="eastAsia" w:hAnsi="宋体" w:cstheme="minorBidi"/>
          <w:b w:val="0"/>
          <w:bCs w:val="0"/>
          <w:kern w:val="2"/>
          <w:sz w:val="32"/>
          <w:szCs w:val="32"/>
          <w:lang w:val="en-US" w:eastAsia="zh-CN" w:bidi="ar-SA"/>
        </w:rPr>
        <w:t>我院派出法庭开展日常维修维护工作及时，</w:t>
      </w:r>
      <w:r>
        <w:rPr>
          <w:rFonts w:hint="eastAsia"/>
          <w:sz w:val="32"/>
          <w:szCs w:val="32"/>
          <w:lang w:eastAsia="zh-CN"/>
        </w:rPr>
        <w:t>达到年度指标值</w:t>
      </w:r>
      <w:r>
        <w:rPr>
          <w:rFonts w:hint="eastAsia"/>
          <w:sz w:val="32"/>
          <w:szCs w:val="32"/>
        </w:rPr>
        <w:t>。</w:t>
      </w:r>
      <w:r>
        <w:rPr>
          <w:rFonts w:hint="eastAsia" w:hAnsi="宋体"/>
          <w:sz w:val="32"/>
          <w:szCs w:val="32"/>
          <w:lang w:val="en-US" w:eastAsia="zh-CN"/>
        </w:rPr>
        <w:t>该</w:t>
      </w:r>
      <w:r>
        <w:rPr>
          <w:rFonts w:hint="eastAsia" w:hAnsi="宋体"/>
          <w:sz w:val="32"/>
          <w:szCs w:val="32"/>
        </w:rPr>
        <w:t>指标</w:t>
      </w:r>
      <w:r>
        <w:rPr>
          <w:rFonts w:hint="eastAsia" w:hAnsi="宋体"/>
          <w:sz w:val="32"/>
          <w:szCs w:val="32"/>
          <w:lang w:val="en-US" w:eastAsia="zh-CN"/>
        </w:rPr>
        <w:t>分值5.71分，自评得分5.71分，</w:t>
      </w:r>
      <w:r>
        <w:rPr>
          <w:rFonts w:hint="eastAsia" w:hAnsi="宋体"/>
          <w:sz w:val="32"/>
          <w:szCs w:val="32"/>
        </w:rPr>
        <w:t>得分率为</w:t>
      </w:r>
      <w:r>
        <w:rPr>
          <w:rFonts w:hint="eastAsia" w:hAnsi="宋体"/>
          <w:sz w:val="32"/>
          <w:szCs w:val="32"/>
          <w:lang w:val="en-US" w:eastAsia="zh-CN"/>
        </w:rPr>
        <w:t>100</w:t>
      </w:r>
      <w:r>
        <w:rPr>
          <w:rFonts w:hint="eastAsia" w:hAnsi="宋体"/>
          <w:sz w:val="32"/>
          <w:szCs w:val="32"/>
        </w:rPr>
        <w:t>%</w:t>
      </w:r>
      <w:r>
        <w:rPr>
          <w:rFonts w:hint="eastAsia" w:hAnsi="宋体"/>
          <w:sz w:val="32"/>
          <w:szCs w:val="32"/>
          <w:lang w:eastAsia="zh-CN"/>
        </w:rPr>
        <w:t>。</w:t>
      </w:r>
    </w:p>
    <w:p w14:paraId="370AB29A">
      <w:pPr>
        <w:pStyle w:val="8"/>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theme="minorBidi"/>
          <w:kern w:val="2"/>
          <w:sz w:val="32"/>
          <w:szCs w:val="32"/>
          <w:highlight w:val="none"/>
          <w:lang w:val="en-US" w:eastAsia="zh-CN" w:bidi="ar-SA"/>
        </w:rPr>
      </w:pPr>
      <w:r>
        <w:rPr>
          <w:rFonts w:hint="eastAsia" w:ascii="Calibri" w:hAnsi="Calibri" w:eastAsia="仿宋_GB2312" w:cs="Calibri"/>
          <w:b/>
          <w:bCs/>
          <w:kern w:val="2"/>
          <w:sz w:val="32"/>
          <w:szCs w:val="32"/>
          <w:lang w:val="en-US" w:eastAsia="zh-CN" w:bidi="ar-SA"/>
        </w:rPr>
        <w:t>物业服务保障工作开展及时性</w:t>
      </w:r>
      <w:r>
        <w:rPr>
          <w:rFonts w:hint="eastAsia" w:ascii="Calibri" w:hAnsi="Calibri" w:cs="Calibri"/>
          <w:b/>
          <w:bCs/>
          <w:kern w:val="2"/>
          <w:sz w:val="32"/>
          <w:szCs w:val="32"/>
          <w:lang w:val="en-US" w:eastAsia="zh-CN" w:bidi="ar-SA"/>
        </w:rPr>
        <w:t>：</w:t>
      </w:r>
      <w:r>
        <w:rPr>
          <w:rFonts w:hint="eastAsia" w:hAnsi="宋体" w:cstheme="minorBidi"/>
          <w:b w:val="0"/>
          <w:bCs w:val="0"/>
          <w:kern w:val="2"/>
          <w:sz w:val="32"/>
          <w:szCs w:val="32"/>
          <w:lang w:val="en-US" w:eastAsia="zh-CN" w:bidi="ar-SA"/>
        </w:rPr>
        <w:t>我院物业服务常规性开展，</w:t>
      </w:r>
      <w:r>
        <w:rPr>
          <w:rFonts w:hint="eastAsia"/>
          <w:sz w:val="32"/>
          <w:szCs w:val="32"/>
          <w:lang w:eastAsia="zh-CN"/>
        </w:rPr>
        <w:t>达到年度指标值</w:t>
      </w:r>
      <w:r>
        <w:rPr>
          <w:rFonts w:hint="eastAsia"/>
          <w:sz w:val="32"/>
          <w:szCs w:val="32"/>
        </w:rPr>
        <w:t>。</w:t>
      </w:r>
      <w:r>
        <w:rPr>
          <w:rFonts w:hint="eastAsia" w:hAnsi="宋体"/>
          <w:sz w:val="32"/>
          <w:szCs w:val="32"/>
          <w:lang w:val="en-US" w:eastAsia="zh-CN"/>
        </w:rPr>
        <w:t>该</w:t>
      </w:r>
      <w:r>
        <w:rPr>
          <w:rFonts w:hint="eastAsia" w:hAnsi="宋体"/>
          <w:sz w:val="32"/>
          <w:szCs w:val="32"/>
        </w:rPr>
        <w:t>指标</w:t>
      </w:r>
      <w:r>
        <w:rPr>
          <w:rFonts w:hint="eastAsia" w:hAnsi="宋体"/>
          <w:sz w:val="32"/>
          <w:szCs w:val="32"/>
          <w:lang w:val="en-US" w:eastAsia="zh-CN"/>
        </w:rPr>
        <w:t>分值5.71分，自评得分5.71分，</w:t>
      </w:r>
      <w:r>
        <w:rPr>
          <w:rFonts w:hint="eastAsia" w:hAnsi="宋体"/>
          <w:sz w:val="32"/>
          <w:szCs w:val="32"/>
        </w:rPr>
        <w:t>得分率为</w:t>
      </w:r>
      <w:r>
        <w:rPr>
          <w:rFonts w:hint="eastAsia" w:hAnsi="宋体"/>
          <w:sz w:val="32"/>
          <w:szCs w:val="32"/>
          <w:lang w:val="en-US" w:eastAsia="zh-CN"/>
        </w:rPr>
        <w:t>100</w:t>
      </w:r>
      <w:r>
        <w:rPr>
          <w:rFonts w:hint="eastAsia" w:hAnsi="宋体"/>
          <w:sz w:val="32"/>
          <w:szCs w:val="32"/>
        </w:rPr>
        <w:t>%</w:t>
      </w:r>
      <w:r>
        <w:rPr>
          <w:rFonts w:hint="eastAsia" w:hAnsi="宋体"/>
          <w:sz w:val="32"/>
          <w:szCs w:val="32"/>
          <w:lang w:eastAsia="zh-CN"/>
        </w:rPr>
        <w:t>。</w:t>
      </w:r>
    </w:p>
    <w:p w14:paraId="2742C51A">
      <w:pPr>
        <w:pageBreakBefore w:val="0"/>
        <w:widowControl w:val="0"/>
        <w:kinsoku/>
        <w:wordWrap/>
        <w:overflowPunct/>
        <w:topLinePunct w:val="0"/>
        <w:autoSpaceDE/>
        <w:autoSpaceDN/>
        <w:bidi w:val="0"/>
        <w:adjustRightInd/>
        <w:snapToGrid/>
        <w:spacing w:line="560" w:lineRule="exact"/>
        <w:ind w:firstLine="643" w:firstLineChars="200"/>
        <w:textAlignment w:val="auto"/>
        <w:rPr>
          <w:b/>
          <w:bCs/>
          <w:sz w:val="32"/>
          <w:szCs w:val="32"/>
          <w:highlight w:val="none"/>
        </w:rPr>
      </w:pPr>
      <w:r>
        <w:rPr>
          <w:rFonts w:hint="eastAsia"/>
          <w:b/>
          <w:bCs/>
          <w:sz w:val="32"/>
          <w:szCs w:val="32"/>
          <w:highlight w:val="none"/>
        </w:rPr>
        <w:t>（2）效益指标</w:t>
      </w:r>
    </w:p>
    <w:p w14:paraId="3E1A52A7">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sz w:val="32"/>
          <w:szCs w:val="32"/>
          <w:highlight w:val="none"/>
        </w:rPr>
        <w:t>本项目效益指标主要考虑</w:t>
      </w:r>
      <w:r>
        <w:rPr>
          <w:rFonts w:hint="eastAsia"/>
          <w:sz w:val="32"/>
          <w:szCs w:val="32"/>
          <w:highlight w:val="none"/>
          <w:lang w:val="en-US" w:eastAsia="zh-CN"/>
        </w:rPr>
        <w:t>经济效益和</w:t>
      </w:r>
      <w:r>
        <w:rPr>
          <w:rFonts w:hint="eastAsia"/>
          <w:sz w:val="32"/>
          <w:szCs w:val="32"/>
          <w:highlight w:val="none"/>
        </w:rPr>
        <w:t>社会效益。</w:t>
      </w:r>
      <w:r>
        <w:rPr>
          <w:rFonts w:hint="eastAsia"/>
          <w:sz w:val="32"/>
          <w:szCs w:val="32"/>
          <w:highlight w:val="none"/>
          <w:lang w:val="en-US" w:eastAsia="zh-CN"/>
        </w:rPr>
        <w:t>指标</w:t>
      </w:r>
      <w:r>
        <w:rPr>
          <w:rFonts w:hint="eastAsia"/>
          <w:sz w:val="32"/>
          <w:szCs w:val="32"/>
          <w:highlight w:val="none"/>
        </w:rPr>
        <w:t>分值</w:t>
      </w:r>
      <w:r>
        <w:rPr>
          <w:rFonts w:hint="eastAsia"/>
          <w:sz w:val="32"/>
          <w:szCs w:val="32"/>
          <w:highlight w:val="none"/>
          <w:lang w:val="en-US" w:eastAsia="zh-CN"/>
        </w:rPr>
        <w:t>2</w:t>
      </w:r>
      <w:r>
        <w:rPr>
          <w:rFonts w:hint="eastAsia"/>
          <w:sz w:val="32"/>
          <w:szCs w:val="32"/>
          <w:highlight w:val="none"/>
        </w:rPr>
        <w:t>0分，得分</w:t>
      </w:r>
      <w:r>
        <w:rPr>
          <w:rFonts w:hint="eastAsia"/>
          <w:sz w:val="32"/>
          <w:szCs w:val="32"/>
          <w:highlight w:val="none"/>
          <w:lang w:val="en-US" w:eastAsia="zh-CN"/>
        </w:rPr>
        <w:t>2</w:t>
      </w:r>
      <w:r>
        <w:rPr>
          <w:rFonts w:hint="eastAsia"/>
          <w:sz w:val="32"/>
          <w:szCs w:val="32"/>
          <w:highlight w:val="none"/>
        </w:rPr>
        <w:t>0分，得分率</w:t>
      </w:r>
      <w:r>
        <w:rPr>
          <w:rFonts w:hint="eastAsia"/>
          <w:sz w:val="32"/>
          <w:szCs w:val="32"/>
        </w:rPr>
        <w:t>为</w:t>
      </w:r>
      <w:r>
        <w:rPr>
          <w:rFonts w:hint="eastAsia"/>
          <w:sz w:val="32"/>
          <w:szCs w:val="32"/>
          <w:highlight w:val="none"/>
        </w:rPr>
        <w:t>100%。</w:t>
      </w:r>
    </w:p>
    <w:p w14:paraId="58180304">
      <w:pPr>
        <w:pageBreakBefore w:val="0"/>
        <w:widowControl w:val="0"/>
        <w:kinsoku/>
        <w:wordWrap/>
        <w:overflowPunct/>
        <w:topLinePunct w:val="0"/>
        <w:autoSpaceDE/>
        <w:autoSpaceDN/>
        <w:bidi w:val="0"/>
        <w:adjustRightInd/>
        <w:snapToGrid/>
        <w:spacing w:line="560" w:lineRule="exact"/>
        <w:ind w:firstLine="643" w:firstLineChars="200"/>
        <w:textAlignment w:val="auto"/>
        <w:rPr>
          <w:b/>
          <w:bCs/>
          <w:sz w:val="32"/>
          <w:szCs w:val="32"/>
        </w:rPr>
      </w:pPr>
      <w:r>
        <w:rPr>
          <w:rFonts w:hint="eastAsia"/>
          <w:b/>
          <w:bCs/>
          <w:sz w:val="32"/>
          <w:szCs w:val="32"/>
        </w:rPr>
        <w:t>①</w:t>
      </w:r>
      <w:r>
        <w:rPr>
          <w:rFonts w:hint="eastAsia"/>
          <w:b/>
          <w:bCs/>
          <w:sz w:val="32"/>
          <w:szCs w:val="32"/>
          <w:lang w:val="en-US" w:eastAsia="zh-CN"/>
        </w:rPr>
        <w:t>经济</w:t>
      </w:r>
      <w:r>
        <w:rPr>
          <w:rFonts w:hint="eastAsia"/>
          <w:b/>
          <w:bCs/>
          <w:sz w:val="32"/>
          <w:szCs w:val="32"/>
        </w:rPr>
        <w:t>效益指标</w:t>
      </w:r>
    </w:p>
    <w:p w14:paraId="2B871A89">
      <w:pPr>
        <w:pageBreakBefore w:val="0"/>
        <w:widowControl w:val="0"/>
        <w:tabs>
          <w:tab w:val="left" w:pos="1406"/>
        </w:tabs>
        <w:kinsoku/>
        <w:wordWrap/>
        <w:overflowPunct/>
        <w:topLinePunct w:val="0"/>
        <w:autoSpaceDE/>
        <w:autoSpaceDN/>
        <w:bidi w:val="0"/>
        <w:adjustRightInd/>
        <w:snapToGrid/>
        <w:spacing w:line="560" w:lineRule="exact"/>
        <w:ind w:firstLine="643" w:firstLineChars="200"/>
        <w:textAlignment w:val="auto"/>
        <w:rPr>
          <w:rFonts w:hint="eastAsia"/>
          <w:sz w:val="32"/>
          <w:szCs w:val="32"/>
          <w:lang w:val="en-US" w:eastAsia="zh-CN"/>
        </w:rPr>
      </w:pPr>
      <w:r>
        <w:rPr>
          <w:rFonts w:hint="eastAsia"/>
          <w:b/>
          <w:bCs/>
          <w:sz w:val="32"/>
          <w:szCs w:val="32"/>
          <w:lang w:val="en-US" w:eastAsia="zh-CN"/>
        </w:rPr>
        <w:t>后期管护机制健全性：</w:t>
      </w:r>
      <w:r>
        <w:rPr>
          <w:rFonts w:hint="eastAsia"/>
          <w:b w:val="0"/>
          <w:bCs w:val="0"/>
          <w:sz w:val="32"/>
          <w:szCs w:val="32"/>
          <w:lang w:val="en-US" w:eastAsia="zh-CN"/>
        </w:rPr>
        <w:t>我院后期管护机制健全，为后期管护考核提供制度依</w:t>
      </w:r>
      <w:r>
        <w:rPr>
          <w:rFonts w:hint="eastAsia"/>
          <w:b w:val="0"/>
          <w:bCs w:val="0"/>
          <w:sz w:val="32"/>
          <w:szCs w:val="32"/>
          <w:highlight w:val="none"/>
          <w:lang w:val="en-US" w:eastAsia="zh-CN"/>
        </w:rPr>
        <w:t>据，有效降低运维成本。</w:t>
      </w:r>
      <w:r>
        <w:rPr>
          <w:rFonts w:hint="eastAsia" w:ascii="仿宋_GB2312" w:hAnsi="宋体" w:eastAsia="仿宋_GB2312" w:cstheme="minorBidi"/>
          <w:b w:val="0"/>
          <w:bCs w:val="0"/>
          <w:kern w:val="2"/>
          <w:sz w:val="32"/>
          <w:szCs w:val="32"/>
          <w:lang w:val="en-US" w:eastAsia="zh-CN" w:bidi="ar-SA"/>
        </w:rPr>
        <w:t>该指标分</w:t>
      </w:r>
      <w:r>
        <w:rPr>
          <w:rFonts w:hint="eastAsia" w:ascii="仿宋_GB2312" w:hAnsi="宋体" w:eastAsia="仿宋_GB2312" w:cstheme="minorBidi"/>
          <w:b w:val="0"/>
          <w:bCs w:val="0"/>
          <w:kern w:val="2"/>
          <w:sz w:val="32"/>
          <w:szCs w:val="32"/>
          <w:highlight w:val="none"/>
          <w:lang w:val="en-US" w:eastAsia="zh-CN" w:bidi="ar-SA"/>
        </w:rPr>
        <w:t>值</w:t>
      </w:r>
      <w:r>
        <w:rPr>
          <w:rFonts w:hint="eastAsia" w:hAnsi="宋体" w:cstheme="minorBidi"/>
          <w:b w:val="0"/>
          <w:bCs w:val="0"/>
          <w:kern w:val="2"/>
          <w:sz w:val="32"/>
          <w:szCs w:val="32"/>
          <w:highlight w:val="none"/>
          <w:lang w:val="en-US" w:eastAsia="zh-CN" w:bidi="ar-SA"/>
        </w:rPr>
        <w:t>10</w:t>
      </w:r>
      <w:r>
        <w:rPr>
          <w:rFonts w:hint="eastAsia" w:ascii="仿宋_GB2312" w:hAnsi="宋体" w:eastAsia="仿宋_GB2312" w:cstheme="minorBidi"/>
          <w:b w:val="0"/>
          <w:bCs w:val="0"/>
          <w:kern w:val="2"/>
          <w:sz w:val="32"/>
          <w:szCs w:val="32"/>
          <w:highlight w:val="none"/>
          <w:lang w:val="en-US" w:eastAsia="zh-CN" w:bidi="ar-SA"/>
        </w:rPr>
        <w:t>分，自评得分为</w:t>
      </w:r>
      <w:r>
        <w:rPr>
          <w:rFonts w:hint="eastAsia" w:hAnsi="宋体" w:cstheme="minorBidi"/>
          <w:b w:val="0"/>
          <w:bCs w:val="0"/>
          <w:kern w:val="2"/>
          <w:sz w:val="32"/>
          <w:szCs w:val="32"/>
          <w:highlight w:val="none"/>
          <w:lang w:val="en-US" w:eastAsia="zh-CN" w:bidi="ar-SA"/>
        </w:rPr>
        <w:t>10</w:t>
      </w:r>
      <w:r>
        <w:rPr>
          <w:rFonts w:hint="eastAsia" w:ascii="仿宋_GB2312" w:hAnsi="宋体" w:eastAsia="仿宋_GB2312" w:cstheme="minorBidi"/>
          <w:b w:val="0"/>
          <w:bCs w:val="0"/>
          <w:kern w:val="2"/>
          <w:sz w:val="32"/>
          <w:szCs w:val="32"/>
          <w:highlight w:val="none"/>
          <w:lang w:val="en-US" w:eastAsia="zh-CN" w:bidi="ar-SA"/>
        </w:rPr>
        <w:t>分，得分率</w:t>
      </w:r>
      <w:r>
        <w:rPr>
          <w:rFonts w:hint="eastAsia" w:ascii="仿宋_GB2312" w:hAnsi="宋体" w:eastAsia="仿宋_GB2312" w:cstheme="minorBidi"/>
          <w:kern w:val="2"/>
          <w:sz w:val="32"/>
          <w:szCs w:val="32"/>
          <w:highlight w:val="none"/>
          <w:lang w:val="en-US" w:eastAsia="zh-CN" w:bidi="ar-SA"/>
        </w:rPr>
        <w:t>为</w:t>
      </w:r>
      <w:r>
        <w:rPr>
          <w:rFonts w:hint="eastAsia" w:hAnsi="宋体" w:cstheme="minorBidi"/>
          <w:kern w:val="2"/>
          <w:sz w:val="32"/>
          <w:szCs w:val="32"/>
          <w:highlight w:val="none"/>
          <w:lang w:val="en-US" w:eastAsia="zh-CN" w:bidi="ar-SA"/>
        </w:rPr>
        <w:t>100</w:t>
      </w:r>
      <w:r>
        <w:rPr>
          <w:rFonts w:hint="eastAsia" w:ascii="仿宋_GB2312" w:hAnsi="宋体" w:eastAsia="仿宋_GB2312" w:cstheme="minorBidi"/>
          <w:kern w:val="2"/>
          <w:sz w:val="32"/>
          <w:szCs w:val="32"/>
          <w:highlight w:val="none"/>
          <w:lang w:val="en-US" w:eastAsia="zh-CN" w:bidi="ar-SA"/>
        </w:rPr>
        <w:t>%。</w:t>
      </w:r>
    </w:p>
    <w:p w14:paraId="4ABAA553">
      <w:pPr>
        <w:pageBreakBefore w:val="0"/>
        <w:widowControl w:val="0"/>
        <w:kinsoku/>
        <w:wordWrap/>
        <w:overflowPunct/>
        <w:topLinePunct w:val="0"/>
        <w:autoSpaceDE/>
        <w:autoSpaceDN/>
        <w:bidi w:val="0"/>
        <w:adjustRightInd/>
        <w:snapToGrid/>
        <w:spacing w:line="560" w:lineRule="exact"/>
        <w:ind w:firstLine="643" w:firstLineChars="200"/>
        <w:textAlignment w:val="auto"/>
        <w:rPr>
          <w:b/>
          <w:bCs/>
          <w:sz w:val="32"/>
          <w:szCs w:val="32"/>
        </w:rPr>
      </w:pPr>
      <w:r>
        <w:rPr>
          <w:rFonts w:hint="eastAsia"/>
          <w:b/>
          <w:bCs/>
          <w:sz w:val="32"/>
          <w:szCs w:val="32"/>
          <w:lang w:val="en-US" w:eastAsia="zh-CN"/>
        </w:rPr>
        <w:t>②</w:t>
      </w:r>
      <w:r>
        <w:rPr>
          <w:rFonts w:hint="eastAsia"/>
          <w:b/>
          <w:bCs/>
          <w:sz w:val="32"/>
          <w:szCs w:val="32"/>
        </w:rPr>
        <w:t>社会效益指标</w:t>
      </w:r>
    </w:p>
    <w:p w14:paraId="787FACC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sz w:val="32"/>
          <w:szCs w:val="32"/>
          <w:highlight w:val="none"/>
        </w:rPr>
      </w:pPr>
      <w:r>
        <w:rPr>
          <w:rFonts w:hint="eastAsia"/>
          <w:sz w:val="32"/>
          <w:szCs w:val="32"/>
        </w:rPr>
        <w:t>社会效益指标下设</w:t>
      </w:r>
      <w:r>
        <w:rPr>
          <w:rFonts w:hint="eastAsia"/>
          <w:sz w:val="32"/>
          <w:szCs w:val="32"/>
          <w:lang w:val="en-US" w:eastAsia="zh-CN"/>
        </w:rPr>
        <w:t>1</w:t>
      </w:r>
      <w:r>
        <w:rPr>
          <w:rFonts w:hint="eastAsia"/>
          <w:sz w:val="32"/>
          <w:szCs w:val="32"/>
        </w:rPr>
        <w:t>个三级指标，</w:t>
      </w:r>
      <w:r>
        <w:rPr>
          <w:rFonts w:hint="eastAsia" w:hAnsi="宋体"/>
          <w:sz w:val="32"/>
          <w:szCs w:val="32"/>
        </w:rPr>
        <w:t>指标</w:t>
      </w:r>
      <w:r>
        <w:rPr>
          <w:rFonts w:hint="eastAsia" w:hAnsi="宋体"/>
          <w:sz w:val="32"/>
          <w:szCs w:val="32"/>
          <w:lang w:val="en-US" w:eastAsia="zh-CN"/>
        </w:rPr>
        <w:t>分值10</w:t>
      </w:r>
      <w:r>
        <w:rPr>
          <w:rFonts w:hint="eastAsia" w:hAnsi="宋体"/>
          <w:sz w:val="32"/>
          <w:szCs w:val="32"/>
        </w:rPr>
        <w:t>分，自评得分</w:t>
      </w:r>
      <w:r>
        <w:rPr>
          <w:rFonts w:hint="eastAsia" w:hAnsi="宋体"/>
          <w:sz w:val="32"/>
          <w:szCs w:val="32"/>
          <w:lang w:val="en-US" w:eastAsia="zh-CN"/>
        </w:rPr>
        <w:t>10</w:t>
      </w:r>
      <w:r>
        <w:rPr>
          <w:rFonts w:hint="eastAsia" w:hAnsi="宋体"/>
          <w:sz w:val="32"/>
          <w:szCs w:val="32"/>
        </w:rPr>
        <w:t>分，得分率为10</w:t>
      </w:r>
      <w:r>
        <w:rPr>
          <w:rFonts w:hAnsi="宋体"/>
          <w:sz w:val="32"/>
          <w:szCs w:val="32"/>
        </w:rPr>
        <w:t>0</w:t>
      </w:r>
      <w:r>
        <w:rPr>
          <w:rFonts w:hint="eastAsia" w:hAnsi="宋体"/>
          <w:sz w:val="32"/>
          <w:szCs w:val="32"/>
        </w:rPr>
        <w:t>%。</w:t>
      </w:r>
    </w:p>
    <w:p w14:paraId="34F78C81">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theme="minorBidi"/>
          <w:kern w:val="2"/>
          <w:sz w:val="32"/>
          <w:szCs w:val="32"/>
          <w:highlight w:val="none"/>
          <w:lang w:val="en-US" w:eastAsia="zh-CN" w:bidi="ar-SA"/>
        </w:rPr>
      </w:pPr>
      <w:r>
        <w:rPr>
          <w:rFonts w:hint="eastAsia"/>
          <w:b/>
          <w:bCs/>
          <w:sz w:val="32"/>
          <w:szCs w:val="32"/>
          <w:highlight w:val="none"/>
          <w:lang w:val="en-US" w:eastAsia="zh-CN"/>
        </w:rPr>
        <w:t>有效保障审判服务：</w:t>
      </w:r>
      <w:r>
        <w:rPr>
          <w:rFonts w:hint="eastAsia"/>
          <w:b w:val="0"/>
          <w:bCs w:val="0"/>
          <w:sz w:val="32"/>
          <w:szCs w:val="32"/>
          <w:highlight w:val="none"/>
          <w:lang w:val="en-US" w:eastAsia="zh-CN"/>
        </w:rPr>
        <w:t>我院保障3个基层法庭的</w:t>
      </w:r>
      <w:r>
        <w:rPr>
          <w:rFonts w:hint="eastAsia" w:ascii="仿宋_GB2312" w:hAnsi="宋体" w:eastAsia="仿宋_GB2312" w:cstheme="minorBidi"/>
          <w:kern w:val="2"/>
          <w:sz w:val="32"/>
          <w:szCs w:val="32"/>
          <w:highlight w:val="none"/>
          <w:lang w:val="en-US" w:eastAsia="zh-CN" w:bidi="ar-SA"/>
        </w:rPr>
        <w:t>正常运行</w:t>
      </w:r>
      <w:r>
        <w:rPr>
          <w:rFonts w:hint="eastAsia"/>
          <w:b w:val="0"/>
          <w:bCs w:val="0"/>
          <w:sz w:val="32"/>
          <w:szCs w:val="32"/>
          <w:highlight w:val="none"/>
          <w:lang w:val="en-US" w:eastAsia="zh-CN"/>
        </w:rPr>
        <w:t>，后</w:t>
      </w:r>
      <w:r>
        <w:rPr>
          <w:rFonts w:hint="eastAsia" w:ascii="仿宋_GB2312" w:hAnsi="宋体" w:eastAsia="仿宋_GB2312" w:cstheme="minorBidi"/>
          <w:b w:val="0"/>
          <w:bCs w:val="0"/>
          <w:kern w:val="2"/>
          <w:sz w:val="32"/>
          <w:szCs w:val="32"/>
          <w:highlight w:val="none"/>
          <w:lang w:val="en-US" w:eastAsia="zh-CN" w:bidi="ar-SA"/>
        </w:rPr>
        <w:t>勤保</w:t>
      </w:r>
      <w:r>
        <w:rPr>
          <w:rFonts w:hint="eastAsia" w:ascii="仿宋_GB2312" w:hAnsi="宋体" w:eastAsia="仿宋_GB2312" w:cstheme="minorBidi"/>
          <w:kern w:val="2"/>
          <w:sz w:val="32"/>
          <w:szCs w:val="32"/>
          <w:highlight w:val="none"/>
          <w:lang w:val="en-US" w:eastAsia="zh-CN" w:bidi="ar-SA"/>
        </w:rPr>
        <w:t>障能力得到提升，水电暖运行通畅，日常维修维护及时，有效保障审判服务</w:t>
      </w:r>
      <w:r>
        <w:rPr>
          <w:rFonts w:hint="eastAsia" w:hAnsi="宋体" w:cstheme="minorBidi"/>
          <w:kern w:val="2"/>
          <w:sz w:val="32"/>
          <w:szCs w:val="32"/>
          <w:highlight w:val="none"/>
          <w:lang w:val="en-US" w:eastAsia="zh-CN" w:bidi="ar-SA"/>
        </w:rPr>
        <w:t>。</w:t>
      </w:r>
      <w:r>
        <w:rPr>
          <w:rFonts w:hint="eastAsia" w:ascii="仿宋_GB2312" w:hAnsi="宋体" w:eastAsia="仿宋_GB2312" w:cstheme="minorBidi"/>
          <w:kern w:val="2"/>
          <w:sz w:val="32"/>
          <w:szCs w:val="32"/>
          <w:highlight w:val="none"/>
          <w:lang w:val="en-US" w:eastAsia="zh-CN" w:bidi="ar-SA"/>
        </w:rPr>
        <w:t>该指标分值</w:t>
      </w:r>
      <w:r>
        <w:rPr>
          <w:rFonts w:hint="eastAsia" w:hAnsi="宋体" w:cstheme="minorBidi"/>
          <w:kern w:val="2"/>
          <w:sz w:val="32"/>
          <w:szCs w:val="32"/>
          <w:highlight w:val="none"/>
          <w:lang w:val="en-US" w:eastAsia="zh-CN" w:bidi="ar-SA"/>
        </w:rPr>
        <w:t>10</w:t>
      </w:r>
      <w:r>
        <w:rPr>
          <w:rFonts w:hint="eastAsia" w:ascii="仿宋_GB2312" w:hAnsi="宋体" w:eastAsia="仿宋_GB2312" w:cstheme="minorBidi"/>
          <w:kern w:val="2"/>
          <w:sz w:val="32"/>
          <w:szCs w:val="32"/>
          <w:highlight w:val="none"/>
          <w:lang w:val="en-US" w:eastAsia="zh-CN" w:bidi="ar-SA"/>
        </w:rPr>
        <w:t>分，自评得分为</w:t>
      </w:r>
      <w:r>
        <w:rPr>
          <w:rFonts w:hint="eastAsia" w:hAnsi="宋体" w:cstheme="minorBidi"/>
          <w:kern w:val="2"/>
          <w:sz w:val="32"/>
          <w:szCs w:val="32"/>
          <w:highlight w:val="none"/>
          <w:lang w:val="en-US" w:eastAsia="zh-CN" w:bidi="ar-SA"/>
        </w:rPr>
        <w:t>10</w:t>
      </w:r>
      <w:r>
        <w:rPr>
          <w:rFonts w:hint="eastAsia" w:ascii="仿宋_GB2312" w:hAnsi="宋体" w:eastAsia="仿宋_GB2312" w:cstheme="minorBidi"/>
          <w:kern w:val="2"/>
          <w:sz w:val="32"/>
          <w:szCs w:val="32"/>
          <w:highlight w:val="none"/>
          <w:lang w:val="en-US" w:eastAsia="zh-CN" w:bidi="ar-SA"/>
        </w:rPr>
        <w:t>分，得分率为</w:t>
      </w:r>
      <w:r>
        <w:rPr>
          <w:rFonts w:hint="eastAsia" w:hAnsi="宋体" w:cstheme="minorBidi"/>
          <w:kern w:val="2"/>
          <w:sz w:val="32"/>
          <w:szCs w:val="32"/>
          <w:highlight w:val="none"/>
          <w:lang w:val="en-US" w:eastAsia="zh-CN" w:bidi="ar-SA"/>
        </w:rPr>
        <w:t>100</w:t>
      </w:r>
      <w:r>
        <w:rPr>
          <w:rFonts w:hint="eastAsia" w:ascii="仿宋_GB2312" w:hAnsi="宋体" w:eastAsia="仿宋_GB2312" w:cstheme="minorBidi"/>
          <w:kern w:val="2"/>
          <w:sz w:val="32"/>
          <w:szCs w:val="32"/>
          <w:highlight w:val="none"/>
          <w:lang w:val="en-US" w:eastAsia="zh-CN" w:bidi="ar-SA"/>
        </w:rPr>
        <w:t>%。</w:t>
      </w:r>
    </w:p>
    <w:p w14:paraId="064F3CD8">
      <w:pPr>
        <w:pageBreakBefore w:val="0"/>
        <w:widowControl w:val="0"/>
        <w:numPr>
          <w:ilvl w:val="255"/>
          <w:numId w:val="0"/>
        </w:numPr>
        <w:kinsoku/>
        <w:wordWrap/>
        <w:overflowPunct/>
        <w:topLinePunct w:val="0"/>
        <w:autoSpaceDE/>
        <w:autoSpaceDN/>
        <w:bidi w:val="0"/>
        <w:adjustRightInd/>
        <w:snapToGrid/>
        <w:spacing w:line="560" w:lineRule="exact"/>
        <w:ind w:firstLine="643" w:firstLineChars="200"/>
        <w:textAlignment w:val="auto"/>
        <w:rPr>
          <w:b/>
          <w:bCs/>
          <w:sz w:val="32"/>
          <w:szCs w:val="32"/>
        </w:rPr>
      </w:pPr>
      <w:r>
        <w:rPr>
          <w:rFonts w:hint="eastAsia"/>
          <w:b/>
          <w:bCs/>
          <w:sz w:val="32"/>
          <w:szCs w:val="32"/>
        </w:rPr>
        <w:t>（3）满意度指标</w:t>
      </w:r>
    </w:p>
    <w:p w14:paraId="6286CD4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sz w:val="32"/>
          <w:szCs w:val="32"/>
        </w:rPr>
      </w:pPr>
      <w:r>
        <w:rPr>
          <w:rFonts w:hint="eastAsia" w:hAnsi="宋体"/>
          <w:sz w:val="32"/>
          <w:szCs w:val="32"/>
        </w:rPr>
        <w:t>服务对象满意度主要考察法</w:t>
      </w:r>
      <w:r>
        <w:rPr>
          <w:rFonts w:hint="eastAsia" w:hAnsi="宋体"/>
          <w:sz w:val="32"/>
          <w:szCs w:val="32"/>
          <w:lang w:val="en-US" w:eastAsia="zh-CN"/>
        </w:rPr>
        <w:t>院</w:t>
      </w:r>
      <w:r>
        <w:rPr>
          <w:rFonts w:hint="eastAsia" w:hAnsi="宋体"/>
          <w:sz w:val="32"/>
          <w:szCs w:val="32"/>
        </w:rPr>
        <w:t>工作人员满意度，</w:t>
      </w:r>
      <w:r>
        <w:rPr>
          <w:rFonts w:hint="eastAsia" w:hAnsi="宋体"/>
          <w:sz w:val="32"/>
          <w:szCs w:val="32"/>
          <w:lang w:val="en-US" w:eastAsia="zh-CN"/>
        </w:rPr>
        <w:t>该</w:t>
      </w:r>
      <w:r>
        <w:rPr>
          <w:rFonts w:hint="eastAsia" w:hAnsi="宋体"/>
          <w:sz w:val="32"/>
          <w:szCs w:val="32"/>
        </w:rPr>
        <w:t>指标分值合计10分，自评得分10分，得分率为100%。</w:t>
      </w:r>
    </w:p>
    <w:p w14:paraId="6163DD75">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宋体" w:eastAsia="仿宋_GB2312"/>
          <w:sz w:val="32"/>
          <w:szCs w:val="32"/>
          <w:highlight w:val="none"/>
          <w:lang w:eastAsia="zh-CN"/>
        </w:rPr>
      </w:pPr>
      <w:r>
        <w:rPr>
          <w:rFonts w:hint="eastAsia"/>
          <w:b/>
          <w:bCs/>
          <w:sz w:val="32"/>
          <w:szCs w:val="32"/>
          <w:lang w:val="en-US" w:eastAsia="zh-CN"/>
        </w:rPr>
        <w:t>法院工作人员满意度</w:t>
      </w:r>
      <w:r>
        <w:rPr>
          <w:rFonts w:hint="eastAsia"/>
          <w:b/>
          <w:bCs/>
          <w:sz w:val="32"/>
          <w:szCs w:val="32"/>
        </w:rPr>
        <w:t>：</w:t>
      </w:r>
      <w:bookmarkStart w:id="70" w:name="_Toc40046043"/>
      <w:r>
        <w:rPr>
          <w:rFonts w:hint="eastAsia"/>
          <w:sz w:val="32"/>
          <w:szCs w:val="32"/>
        </w:rPr>
        <w:t>通过该项目的实施，提升了后勤保障能力，改善了办公环境，提高了工作人员满意度，法院工作人员满意度</w:t>
      </w:r>
      <w:r>
        <w:rPr>
          <w:rFonts w:hint="eastAsia"/>
          <w:sz w:val="32"/>
          <w:szCs w:val="32"/>
          <w:lang w:val="en-US" w:eastAsia="zh-CN"/>
        </w:rPr>
        <w:t>达到</w:t>
      </w:r>
      <w:r>
        <w:rPr>
          <w:rFonts w:hint="eastAsia"/>
          <w:sz w:val="32"/>
          <w:szCs w:val="32"/>
        </w:rPr>
        <w:t>9</w:t>
      </w:r>
      <w:r>
        <w:rPr>
          <w:rFonts w:hint="eastAsia"/>
          <w:sz w:val="32"/>
          <w:szCs w:val="32"/>
          <w:lang w:val="en-US" w:eastAsia="zh-CN"/>
        </w:rPr>
        <w:t>2</w:t>
      </w:r>
      <w:r>
        <w:rPr>
          <w:rFonts w:hint="eastAsia"/>
          <w:sz w:val="32"/>
          <w:szCs w:val="32"/>
        </w:rPr>
        <w:t>%</w:t>
      </w:r>
      <w:r>
        <w:rPr>
          <w:rFonts w:hint="eastAsia"/>
          <w:sz w:val="32"/>
          <w:szCs w:val="32"/>
          <w:lang w:eastAsia="zh-CN"/>
        </w:rPr>
        <w:t>，达到年度指标值</w:t>
      </w:r>
      <w:r>
        <w:rPr>
          <w:rFonts w:hint="eastAsia"/>
          <w:sz w:val="32"/>
          <w:szCs w:val="32"/>
        </w:rPr>
        <w:t>。</w:t>
      </w:r>
      <w:r>
        <w:rPr>
          <w:sz w:val="32"/>
          <w:szCs w:val="32"/>
        </w:rPr>
        <w:t>该指标分值</w:t>
      </w:r>
      <w:r>
        <w:rPr>
          <w:rFonts w:hint="eastAsia"/>
          <w:sz w:val="32"/>
          <w:szCs w:val="32"/>
        </w:rPr>
        <w:t>10</w:t>
      </w:r>
      <w:r>
        <w:rPr>
          <w:sz w:val="32"/>
          <w:szCs w:val="32"/>
        </w:rPr>
        <w:t>分，自评得分为</w:t>
      </w:r>
      <w:r>
        <w:rPr>
          <w:rFonts w:hint="eastAsia"/>
          <w:sz w:val="32"/>
          <w:szCs w:val="32"/>
        </w:rPr>
        <w:t>10</w:t>
      </w:r>
      <w:r>
        <w:rPr>
          <w:sz w:val="32"/>
          <w:szCs w:val="32"/>
        </w:rPr>
        <w:t>分，得分率100%</w:t>
      </w:r>
      <w:r>
        <w:rPr>
          <w:rFonts w:hint="eastAsia"/>
          <w:sz w:val="32"/>
          <w:szCs w:val="32"/>
          <w:lang w:eastAsia="zh-CN"/>
        </w:rPr>
        <w:t>。</w:t>
      </w:r>
    </w:p>
    <w:p w14:paraId="67690173">
      <w:pPr>
        <w:pStyle w:val="4"/>
        <w:keepNext/>
        <w:keepLines/>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sz w:val="32"/>
          <w:szCs w:val="32"/>
          <w:lang w:val="en-US" w:eastAsia="zh-CN"/>
        </w:rPr>
        <w:t>3.</w:t>
      </w:r>
      <w:r>
        <w:rPr>
          <w:rFonts w:hint="eastAsia"/>
          <w:sz w:val="32"/>
          <w:szCs w:val="32"/>
        </w:rPr>
        <w:t>偏离绩效目标的原因及下一步改进措施</w:t>
      </w:r>
      <w:bookmarkEnd w:id="70"/>
    </w:p>
    <w:p w14:paraId="0A608239">
      <w:pPr>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bookmarkStart w:id="71" w:name="_Toc40046044"/>
      <w:bookmarkStart w:id="72" w:name="_Toc6037"/>
      <w:bookmarkStart w:id="73" w:name="_Toc28429"/>
      <w:bookmarkStart w:id="74" w:name="_Toc7812"/>
      <w:bookmarkStart w:id="75" w:name="_Toc513"/>
      <w:r>
        <w:rPr>
          <w:rFonts w:hint="eastAsia" w:ascii="仿宋_GB2312" w:hAnsi="仿宋_GB2312" w:eastAsia="仿宋_GB2312" w:cs="仿宋_GB2312"/>
          <w:b w:val="0"/>
          <w:bCs w:val="0"/>
          <w:sz w:val="32"/>
          <w:szCs w:val="32"/>
          <w:lang w:val="en-US" w:eastAsia="zh-CN"/>
        </w:rPr>
        <w:t>无</w:t>
      </w:r>
      <w:r>
        <w:rPr>
          <w:rFonts w:hint="eastAsia" w:cs="仿宋_GB2312"/>
          <w:b w:val="0"/>
          <w:bCs w:val="0"/>
          <w:sz w:val="32"/>
          <w:szCs w:val="32"/>
          <w:lang w:val="en-US" w:eastAsia="zh-CN"/>
        </w:rPr>
        <w:t>。</w:t>
      </w:r>
    </w:p>
    <w:p w14:paraId="0CDDEF43">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sz w:val="32"/>
          <w:szCs w:val="32"/>
        </w:rPr>
      </w:pPr>
      <w:bookmarkStart w:id="76" w:name="_Toc10728"/>
      <w:r>
        <w:rPr>
          <w:rFonts w:hint="eastAsia"/>
          <w:sz w:val="32"/>
          <w:szCs w:val="32"/>
        </w:rPr>
        <w:t>（二）</w:t>
      </w:r>
      <w:bookmarkEnd w:id="71"/>
      <w:bookmarkEnd w:id="72"/>
      <w:r>
        <w:rPr>
          <w:rFonts w:hint="eastAsia"/>
          <w:sz w:val="32"/>
          <w:szCs w:val="32"/>
        </w:rPr>
        <w:t>全省法院业务费</w:t>
      </w:r>
      <w:bookmarkEnd w:id="73"/>
      <w:bookmarkEnd w:id="74"/>
      <w:bookmarkEnd w:id="75"/>
      <w:bookmarkEnd w:id="76"/>
    </w:p>
    <w:p w14:paraId="79BF0C8A">
      <w:pPr>
        <w:pageBreakBefore w:val="0"/>
        <w:widowControl w:val="0"/>
        <w:kinsoku/>
        <w:wordWrap/>
        <w:overflowPunct/>
        <w:topLinePunct w:val="0"/>
        <w:autoSpaceDE/>
        <w:autoSpaceDN/>
        <w:bidi w:val="0"/>
        <w:adjustRightInd/>
        <w:snapToGrid/>
        <w:spacing w:line="560" w:lineRule="exact"/>
        <w:ind w:firstLine="640" w:firstLineChars="200"/>
        <w:textAlignment w:val="auto"/>
        <w:rPr>
          <w:highlight w:val="none"/>
        </w:rPr>
      </w:pPr>
      <w:bookmarkStart w:id="77" w:name="_Toc1889"/>
      <w:bookmarkStart w:id="78" w:name="_Toc22570"/>
      <w:bookmarkStart w:id="79" w:name="_Toc40046064"/>
      <w:bookmarkStart w:id="80" w:name="_Toc3777"/>
      <w:bookmarkStart w:id="81" w:name="_Toc18806"/>
      <w:bookmarkStart w:id="82" w:name="_Toc40046065"/>
      <w:bookmarkStart w:id="83" w:name="_Toc7144"/>
      <w:r>
        <w:rPr>
          <w:rFonts w:hint="eastAsia"/>
          <w:sz w:val="32"/>
          <w:szCs w:val="32"/>
          <w:highlight w:val="none"/>
        </w:rPr>
        <w:t>本次绩效自评综合评定</w:t>
      </w:r>
      <w:r>
        <w:rPr>
          <w:rFonts w:hint="eastAsia"/>
          <w:sz w:val="32"/>
          <w:szCs w:val="32"/>
          <w:highlight w:val="none"/>
          <w:lang w:eastAsia="zh-CN"/>
        </w:rPr>
        <w:t>2023年度</w:t>
      </w:r>
      <w:r>
        <w:rPr>
          <w:rFonts w:hint="eastAsia"/>
          <w:sz w:val="32"/>
          <w:szCs w:val="32"/>
          <w:highlight w:val="none"/>
        </w:rPr>
        <w:t>全省法院</w:t>
      </w:r>
      <w:r>
        <w:rPr>
          <w:rFonts w:hint="eastAsia"/>
          <w:sz w:val="32"/>
          <w:szCs w:val="32"/>
          <w:highlight w:val="none"/>
          <w:lang w:val="en-US" w:eastAsia="zh-CN"/>
        </w:rPr>
        <w:t>业务费</w:t>
      </w:r>
      <w:r>
        <w:rPr>
          <w:rFonts w:hint="eastAsia"/>
          <w:sz w:val="32"/>
          <w:szCs w:val="32"/>
          <w:highlight w:val="none"/>
        </w:rPr>
        <w:t>项目支出绩效得分为</w:t>
      </w:r>
      <w:r>
        <w:rPr>
          <w:rFonts w:hint="eastAsia"/>
          <w:sz w:val="32"/>
          <w:szCs w:val="32"/>
          <w:highlight w:val="none"/>
          <w:lang w:val="en-US" w:eastAsia="zh-CN"/>
        </w:rPr>
        <w:t>99.05</w:t>
      </w:r>
      <w:r>
        <w:rPr>
          <w:rFonts w:hint="eastAsia"/>
          <w:sz w:val="32"/>
          <w:szCs w:val="32"/>
          <w:highlight w:val="none"/>
        </w:rPr>
        <w:t>分，绩效等级为“</w:t>
      </w:r>
      <w:r>
        <w:rPr>
          <w:rFonts w:hint="eastAsia"/>
          <w:sz w:val="32"/>
          <w:szCs w:val="32"/>
          <w:highlight w:val="none"/>
          <w:lang w:val="en-US" w:eastAsia="zh-CN"/>
        </w:rPr>
        <w:t>优</w:t>
      </w:r>
      <w:r>
        <w:rPr>
          <w:rFonts w:hint="eastAsia"/>
          <w:sz w:val="32"/>
          <w:szCs w:val="32"/>
          <w:highlight w:val="none"/>
        </w:rPr>
        <w:t>”。项目支出绩效评价包括预算执行率</w:t>
      </w:r>
      <w:r>
        <w:rPr>
          <w:rFonts w:hint="eastAsia"/>
          <w:sz w:val="32"/>
          <w:szCs w:val="32"/>
          <w:highlight w:val="none"/>
          <w:lang w:eastAsia="zh-CN"/>
        </w:rPr>
        <w:t>、</w:t>
      </w:r>
      <w:r>
        <w:rPr>
          <w:rFonts w:hint="eastAsia"/>
          <w:sz w:val="32"/>
          <w:szCs w:val="32"/>
          <w:highlight w:val="none"/>
          <w:lang w:val="en-US" w:eastAsia="zh-CN"/>
        </w:rPr>
        <w:t>成本、</w:t>
      </w:r>
      <w:r>
        <w:rPr>
          <w:rFonts w:hint="eastAsia"/>
          <w:sz w:val="32"/>
          <w:szCs w:val="32"/>
          <w:highlight w:val="none"/>
        </w:rPr>
        <w:t>产出、效益、满意度</w:t>
      </w:r>
      <w:r>
        <w:rPr>
          <w:rFonts w:hint="eastAsia"/>
          <w:sz w:val="32"/>
          <w:szCs w:val="32"/>
          <w:highlight w:val="none"/>
          <w:lang w:val="en-US" w:eastAsia="zh-CN"/>
        </w:rPr>
        <w:t>5</w:t>
      </w:r>
      <w:r>
        <w:rPr>
          <w:rFonts w:hint="eastAsia"/>
          <w:sz w:val="32"/>
          <w:szCs w:val="32"/>
          <w:highlight w:val="none"/>
        </w:rPr>
        <w:t>个一级指标，下设</w:t>
      </w:r>
      <w:r>
        <w:rPr>
          <w:rFonts w:hint="eastAsia"/>
          <w:sz w:val="32"/>
          <w:szCs w:val="32"/>
          <w:highlight w:val="none"/>
          <w:lang w:val="en-US" w:eastAsia="zh-CN"/>
        </w:rPr>
        <w:t>7</w:t>
      </w:r>
      <w:r>
        <w:rPr>
          <w:rFonts w:hint="eastAsia"/>
          <w:sz w:val="32"/>
          <w:szCs w:val="32"/>
          <w:highlight w:val="none"/>
        </w:rPr>
        <w:t>个二级指标和</w:t>
      </w:r>
      <w:r>
        <w:rPr>
          <w:rFonts w:hint="eastAsia"/>
          <w:sz w:val="32"/>
          <w:szCs w:val="32"/>
          <w:highlight w:val="none"/>
          <w:lang w:val="en-US" w:eastAsia="zh-CN"/>
        </w:rPr>
        <w:t>16</w:t>
      </w:r>
      <w:r>
        <w:rPr>
          <w:rFonts w:hint="eastAsia"/>
          <w:sz w:val="32"/>
          <w:szCs w:val="32"/>
          <w:highlight w:val="none"/>
        </w:rPr>
        <w:t>个三级指标。项目资金预算执行率</w:t>
      </w:r>
      <w:r>
        <w:rPr>
          <w:rFonts w:hint="eastAsia"/>
          <w:sz w:val="32"/>
          <w:szCs w:val="32"/>
          <w:highlight w:val="none"/>
          <w:lang w:val="en-US" w:eastAsia="zh-CN"/>
        </w:rPr>
        <w:t>100</w:t>
      </w:r>
      <w:r>
        <w:rPr>
          <w:rFonts w:hint="eastAsia"/>
          <w:sz w:val="32"/>
          <w:szCs w:val="32"/>
          <w:highlight w:val="none"/>
        </w:rPr>
        <w:t>%，一级指标得分情况详见下表：</w:t>
      </w:r>
    </w:p>
    <w:tbl>
      <w:tblPr>
        <w:tblStyle w:val="21"/>
        <w:tblW w:w="871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77"/>
        <w:gridCol w:w="1814"/>
        <w:gridCol w:w="1814"/>
        <w:gridCol w:w="1814"/>
      </w:tblGrid>
      <w:tr w14:paraId="592899E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77" w:type="dxa"/>
            <w:shd w:val="clear" w:color="auto" w:fill="BDD6EE"/>
            <w:vAlign w:val="center"/>
          </w:tcPr>
          <w:p w14:paraId="72702559">
            <w:pPr>
              <w:keepNext w:val="0"/>
              <w:keepLines w:val="0"/>
              <w:widowControl/>
              <w:suppressLineNumbers w:val="0"/>
              <w:ind w:firstLine="482" w:firstLineChars="200"/>
              <w:jc w:val="center"/>
              <w:textAlignment w:val="center"/>
              <w:rPr>
                <w:rFonts w:hint="eastAsia" w:ascii="仿宋" w:hAnsi="仿宋" w:eastAsia="仿宋" w:cs="仿宋"/>
                <w:b/>
                <w:color w:val="000000"/>
                <w:kern w:val="0"/>
                <w:sz w:val="24"/>
                <w:szCs w:val="24"/>
                <w:highlight w:val="none"/>
                <w:shd w:val="clear" w:color="auto" w:fill="BDD6EE"/>
              </w:rPr>
            </w:pPr>
            <w:r>
              <w:rPr>
                <w:rFonts w:hint="eastAsia" w:ascii="仿宋" w:hAnsi="仿宋" w:eastAsia="仿宋" w:cs="仿宋"/>
                <w:b/>
                <w:bCs/>
                <w:i w:val="0"/>
                <w:iCs w:val="0"/>
                <w:color w:val="000000"/>
                <w:kern w:val="0"/>
                <w:sz w:val="24"/>
                <w:szCs w:val="24"/>
                <w:u w:val="none"/>
                <w:lang w:val="en-US" w:eastAsia="zh-CN" w:bidi="ar"/>
              </w:rPr>
              <w:t>一级指标</w:t>
            </w:r>
          </w:p>
        </w:tc>
        <w:tc>
          <w:tcPr>
            <w:tcW w:w="1814" w:type="dxa"/>
            <w:shd w:val="clear" w:color="auto" w:fill="BDD6EE"/>
            <w:vAlign w:val="center"/>
          </w:tcPr>
          <w:p w14:paraId="56AC02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000000"/>
                <w:kern w:val="0"/>
                <w:sz w:val="24"/>
                <w:szCs w:val="24"/>
                <w:highlight w:val="none"/>
                <w:shd w:val="clear" w:color="auto" w:fill="BDD6EE"/>
              </w:rPr>
            </w:pPr>
            <w:r>
              <w:rPr>
                <w:rFonts w:hint="eastAsia" w:ascii="仿宋" w:hAnsi="仿宋" w:eastAsia="仿宋" w:cs="仿宋"/>
                <w:b/>
                <w:bCs/>
                <w:i w:val="0"/>
                <w:iCs w:val="0"/>
                <w:color w:val="000000"/>
                <w:kern w:val="0"/>
                <w:sz w:val="24"/>
                <w:szCs w:val="24"/>
                <w:u w:val="none"/>
                <w:lang w:val="en-US" w:eastAsia="zh-CN" w:bidi="ar"/>
              </w:rPr>
              <w:t>分值</w:t>
            </w:r>
          </w:p>
        </w:tc>
        <w:tc>
          <w:tcPr>
            <w:tcW w:w="1814" w:type="dxa"/>
            <w:shd w:val="clear" w:color="auto" w:fill="BDD6EE"/>
            <w:vAlign w:val="center"/>
          </w:tcPr>
          <w:p w14:paraId="6789482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000000"/>
                <w:kern w:val="0"/>
                <w:sz w:val="24"/>
                <w:szCs w:val="24"/>
                <w:highlight w:val="none"/>
                <w:shd w:val="clear" w:color="auto" w:fill="BDD6EE"/>
              </w:rPr>
            </w:pPr>
            <w:r>
              <w:rPr>
                <w:rFonts w:hint="eastAsia" w:ascii="仿宋" w:hAnsi="仿宋" w:eastAsia="仿宋" w:cs="仿宋"/>
                <w:b/>
                <w:bCs/>
                <w:i w:val="0"/>
                <w:iCs w:val="0"/>
                <w:color w:val="000000"/>
                <w:kern w:val="0"/>
                <w:sz w:val="24"/>
                <w:szCs w:val="24"/>
                <w:u w:val="none"/>
                <w:lang w:val="en-US" w:eastAsia="zh-CN" w:bidi="ar"/>
              </w:rPr>
              <w:t>自评得分</w:t>
            </w:r>
          </w:p>
        </w:tc>
        <w:tc>
          <w:tcPr>
            <w:tcW w:w="1814" w:type="dxa"/>
            <w:shd w:val="clear" w:color="auto" w:fill="BDD6EE"/>
            <w:vAlign w:val="center"/>
          </w:tcPr>
          <w:p w14:paraId="6C08EC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000000"/>
                <w:kern w:val="0"/>
                <w:sz w:val="24"/>
                <w:szCs w:val="24"/>
                <w:highlight w:val="none"/>
                <w:shd w:val="clear" w:color="auto" w:fill="BDD6EE"/>
              </w:rPr>
            </w:pPr>
            <w:r>
              <w:rPr>
                <w:rFonts w:hint="eastAsia" w:ascii="仿宋" w:hAnsi="仿宋" w:eastAsia="仿宋" w:cs="仿宋"/>
                <w:b/>
                <w:bCs/>
                <w:i w:val="0"/>
                <w:iCs w:val="0"/>
                <w:color w:val="000000"/>
                <w:kern w:val="0"/>
                <w:sz w:val="24"/>
                <w:szCs w:val="24"/>
                <w:u w:val="none"/>
                <w:lang w:val="en-US" w:eastAsia="zh-CN" w:bidi="ar"/>
              </w:rPr>
              <w:t>得分率</w:t>
            </w:r>
          </w:p>
        </w:tc>
      </w:tr>
      <w:tr w14:paraId="4D98B3B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77" w:type="dxa"/>
            <w:shd w:val="clear" w:color="auto" w:fill="auto"/>
            <w:vAlign w:val="center"/>
          </w:tcPr>
          <w:p w14:paraId="4D2FA57F">
            <w:pPr>
              <w:widowControl/>
              <w:wordWrap/>
              <w:autoSpaceDE w:val="0"/>
              <w:autoSpaceDN w:val="0"/>
              <w:adjustRightInd/>
              <w:snapToGrid/>
              <w:spacing w:line="240" w:lineRule="auto"/>
              <w:ind w:firstLine="480" w:firstLineChars="200"/>
              <w:jc w:val="left"/>
              <w:rPr>
                <w:rFonts w:hint="eastAsia" w:ascii="仿宋" w:hAnsi="仿宋" w:eastAsia="仿宋" w:cs="仿宋"/>
                <w:b/>
                <w:color w:val="000000"/>
                <w:kern w:val="0"/>
                <w:sz w:val="24"/>
                <w:szCs w:val="24"/>
                <w:highlight w:val="none"/>
                <w:shd w:val="clear" w:color="auto" w:fill="BDD6EE"/>
                <w:lang w:val="en-US" w:eastAsia="zh-CN" w:bidi="ar-SA"/>
              </w:rPr>
            </w:pPr>
            <w:r>
              <w:rPr>
                <w:rFonts w:hint="eastAsia" w:ascii="仿宋" w:hAnsi="仿宋" w:eastAsia="仿宋" w:cs="仿宋"/>
                <w:color w:val="000000"/>
                <w:kern w:val="0"/>
                <w:sz w:val="24"/>
                <w:szCs w:val="24"/>
                <w:highlight w:val="none"/>
              </w:rPr>
              <w:t>预算执行率</w:t>
            </w:r>
          </w:p>
        </w:tc>
        <w:tc>
          <w:tcPr>
            <w:tcW w:w="1814" w:type="dxa"/>
            <w:shd w:val="clear" w:color="auto" w:fill="auto"/>
            <w:vAlign w:val="center"/>
          </w:tcPr>
          <w:p w14:paraId="7C4C85D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814" w:type="dxa"/>
            <w:shd w:val="clear" w:color="auto" w:fill="auto"/>
            <w:vAlign w:val="center"/>
          </w:tcPr>
          <w:p w14:paraId="0D7A7B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10</w:t>
            </w:r>
          </w:p>
        </w:tc>
        <w:tc>
          <w:tcPr>
            <w:tcW w:w="1814" w:type="dxa"/>
            <w:shd w:val="clear" w:color="auto" w:fill="auto"/>
            <w:vAlign w:val="center"/>
          </w:tcPr>
          <w:p w14:paraId="3C9317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r>
      <w:tr w14:paraId="3E8EE0F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77" w:type="dxa"/>
            <w:shd w:val="clear" w:color="auto" w:fill="auto"/>
            <w:vAlign w:val="center"/>
          </w:tcPr>
          <w:p w14:paraId="7FF0D308">
            <w:pPr>
              <w:widowControl/>
              <w:wordWrap/>
              <w:autoSpaceDE w:val="0"/>
              <w:autoSpaceDN w:val="0"/>
              <w:adjustRightInd/>
              <w:snapToGrid/>
              <w:spacing w:line="240" w:lineRule="auto"/>
              <w:ind w:firstLine="480" w:firstLineChars="200"/>
              <w:jc w:val="left"/>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成本指标</w:t>
            </w:r>
          </w:p>
        </w:tc>
        <w:tc>
          <w:tcPr>
            <w:tcW w:w="1814" w:type="dxa"/>
            <w:shd w:val="clear" w:color="auto" w:fill="auto"/>
            <w:vAlign w:val="center"/>
          </w:tcPr>
          <w:p w14:paraId="09BC6DB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814" w:type="dxa"/>
            <w:shd w:val="clear" w:color="auto" w:fill="auto"/>
            <w:vAlign w:val="center"/>
          </w:tcPr>
          <w:p w14:paraId="78ACBA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20</w:t>
            </w:r>
          </w:p>
        </w:tc>
        <w:tc>
          <w:tcPr>
            <w:tcW w:w="1814" w:type="dxa"/>
            <w:shd w:val="clear" w:color="auto" w:fill="auto"/>
            <w:vAlign w:val="center"/>
          </w:tcPr>
          <w:p w14:paraId="73D516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r>
      <w:tr w14:paraId="78FBB23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77" w:type="dxa"/>
            <w:vAlign w:val="center"/>
          </w:tcPr>
          <w:p w14:paraId="13A5EAA8">
            <w:pPr>
              <w:keepNext w:val="0"/>
              <w:keepLines w:val="0"/>
              <w:widowControl/>
              <w:suppressLineNumbers w:val="0"/>
              <w:ind w:firstLine="480" w:firstLineChars="200"/>
              <w:jc w:val="left"/>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产出指标</w:t>
            </w:r>
          </w:p>
        </w:tc>
        <w:tc>
          <w:tcPr>
            <w:tcW w:w="1814" w:type="dxa"/>
            <w:vAlign w:val="center"/>
          </w:tcPr>
          <w:p w14:paraId="3A01CEA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1814" w:type="dxa"/>
            <w:vAlign w:val="center"/>
          </w:tcPr>
          <w:p w14:paraId="1CAAC1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1814" w:type="dxa"/>
            <w:vAlign w:val="center"/>
          </w:tcPr>
          <w:p w14:paraId="170F06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r>
      <w:tr w14:paraId="1FC0641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77" w:type="dxa"/>
            <w:vAlign w:val="center"/>
          </w:tcPr>
          <w:p w14:paraId="36DFC9E2">
            <w:pPr>
              <w:keepNext w:val="0"/>
              <w:keepLines w:val="0"/>
              <w:widowControl/>
              <w:suppressLineNumbers w:val="0"/>
              <w:ind w:firstLine="480" w:firstLineChars="200"/>
              <w:jc w:val="left"/>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效益指标</w:t>
            </w:r>
          </w:p>
        </w:tc>
        <w:tc>
          <w:tcPr>
            <w:tcW w:w="1814" w:type="dxa"/>
            <w:vAlign w:val="center"/>
          </w:tcPr>
          <w:p w14:paraId="52BDEE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20</w:t>
            </w:r>
          </w:p>
        </w:tc>
        <w:tc>
          <w:tcPr>
            <w:tcW w:w="1814" w:type="dxa"/>
            <w:vAlign w:val="center"/>
          </w:tcPr>
          <w:p w14:paraId="00E988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19.05</w:t>
            </w:r>
          </w:p>
        </w:tc>
        <w:tc>
          <w:tcPr>
            <w:tcW w:w="1814" w:type="dxa"/>
            <w:vAlign w:val="center"/>
          </w:tcPr>
          <w:p w14:paraId="29F630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95.25%</w:t>
            </w:r>
          </w:p>
        </w:tc>
      </w:tr>
      <w:tr w14:paraId="65135FC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77" w:type="dxa"/>
            <w:vAlign w:val="center"/>
          </w:tcPr>
          <w:p w14:paraId="45B3AFCA">
            <w:pPr>
              <w:keepNext w:val="0"/>
              <w:keepLines w:val="0"/>
              <w:widowControl/>
              <w:suppressLineNumbers w:val="0"/>
              <w:ind w:firstLine="480" w:firstLineChars="200"/>
              <w:jc w:val="left"/>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满意度指标</w:t>
            </w:r>
          </w:p>
        </w:tc>
        <w:tc>
          <w:tcPr>
            <w:tcW w:w="1814" w:type="dxa"/>
            <w:vAlign w:val="center"/>
          </w:tcPr>
          <w:p w14:paraId="37A9B9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10</w:t>
            </w:r>
          </w:p>
        </w:tc>
        <w:tc>
          <w:tcPr>
            <w:tcW w:w="1814" w:type="dxa"/>
            <w:vAlign w:val="center"/>
          </w:tcPr>
          <w:p w14:paraId="5DA0207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10</w:t>
            </w:r>
          </w:p>
        </w:tc>
        <w:tc>
          <w:tcPr>
            <w:tcW w:w="1814" w:type="dxa"/>
            <w:vAlign w:val="center"/>
          </w:tcPr>
          <w:p w14:paraId="2C1694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100%</w:t>
            </w:r>
          </w:p>
        </w:tc>
      </w:tr>
      <w:tr w14:paraId="52C4225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08" w:hRule="atLeast"/>
        </w:trPr>
        <w:tc>
          <w:tcPr>
            <w:tcW w:w="3277" w:type="dxa"/>
            <w:shd w:val="clear" w:color="auto" w:fill="BDD6EE"/>
            <w:vAlign w:val="center"/>
          </w:tcPr>
          <w:p w14:paraId="22203B42">
            <w:pPr>
              <w:keepNext w:val="0"/>
              <w:keepLines w:val="0"/>
              <w:widowControl/>
              <w:suppressLineNumbers w:val="0"/>
              <w:ind w:firstLine="482" w:firstLineChars="200"/>
              <w:jc w:val="center"/>
              <w:textAlignment w:val="center"/>
              <w:rPr>
                <w:rFonts w:hint="eastAsia" w:ascii="仿宋" w:hAnsi="仿宋" w:eastAsia="仿宋" w:cs="仿宋"/>
                <w:b/>
                <w:color w:val="000000"/>
                <w:kern w:val="0"/>
                <w:sz w:val="24"/>
                <w:szCs w:val="24"/>
                <w:highlight w:val="none"/>
                <w:shd w:val="clear" w:color="auto" w:fill="BDD6EE"/>
              </w:rPr>
            </w:pPr>
            <w:r>
              <w:rPr>
                <w:rFonts w:hint="eastAsia" w:ascii="仿宋" w:hAnsi="仿宋" w:eastAsia="仿宋" w:cs="仿宋"/>
                <w:b/>
                <w:bCs/>
                <w:i w:val="0"/>
                <w:iCs w:val="0"/>
                <w:color w:val="000000"/>
                <w:kern w:val="0"/>
                <w:sz w:val="24"/>
                <w:szCs w:val="24"/>
                <w:u w:val="none"/>
                <w:lang w:val="en-US" w:eastAsia="zh-CN" w:bidi="ar"/>
              </w:rPr>
              <w:t>合计</w:t>
            </w:r>
          </w:p>
        </w:tc>
        <w:tc>
          <w:tcPr>
            <w:tcW w:w="1814" w:type="dxa"/>
            <w:shd w:val="clear" w:color="auto" w:fill="BDD6EE"/>
            <w:vAlign w:val="center"/>
          </w:tcPr>
          <w:p w14:paraId="449447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b/>
                <w:color w:val="000000"/>
                <w:kern w:val="0"/>
                <w:sz w:val="24"/>
                <w:szCs w:val="24"/>
                <w:highlight w:val="none"/>
                <w:lang w:val="en-US"/>
              </w:rPr>
            </w:pPr>
            <w:r>
              <w:rPr>
                <w:rFonts w:hint="eastAsia" w:ascii="仿宋" w:hAnsi="仿宋" w:eastAsia="仿宋" w:cs="仿宋"/>
                <w:b/>
                <w:bCs/>
                <w:i w:val="0"/>
                <w:iCs w:val="0"/>
                <w:color w:val="000000"/>
                <w:kern w:val="0"/>
                <w:sz w:val="24"/>
                <w:szCs w:val="24"/>
                <w:u w:val="none"/>
                <w:lang w:val="en-US" w:eastAsia="zh-CN" w:bidi="ar"/>
              </w:rPr>
              <w:t>100</w:t>
            </w:r>
          </w:p>
        </w:tc>
        <w:tc>
          <w:tcPr>
            <w:tcW w:w="1814" w:type="dxa"/>
            <w:shd w:val="clear" w:color="auto" w:fill="BDD6EE"/>
            <w:vAlign w:val="center"/>
          </w:tcPr>
          <w:p w14:paraId="67C583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99.05</w:t>
            </w:r>
          </w:p>
        </w:tc>
        <w:tc>
          <w:tcPr>
            <w:tcW w:w="1814" w:type="dxa"/>
            <w:shd w:val="clear" w:color="auto" w:fill="BDD6EE"/>
            <w:vAlign w:val="center"/>
          </w:tcPr>
          <w:p w14:paraId="0E0245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lang w:val="en-US" w:eastAsia="zh-CN"/>
              </w:rPr>
              <w:t>99.05</w:t>
            </w:r>
            <w:r>
              <w:rPr>
                <w:rFonts w:hint="eastAsia" w:ascii="仿宋" w:hAnsi="仿宋" w:eastAsia="仿宋" w:cs="仿宋"/>
                <w:b/>
                <w:bCs/>
                <w:i w:val="0"/>
                <w:iCs w:val="0"/>
                <w:color w:val="000000"/>
                <w:kern w:val="0"/>
                <w:sz w:val="24"/>
                <w:szCs w:val="24"/>
                <w:u w:val="none"/>
                <w:lang w:val="en-US" w:eastAsia="zh-CN" w:bidi="ar"/>
              </w:rPr>
              <w:t>%</w:t>
            </w:r>
          </w:p>
        </w:tc>
      </w:tr>
    </w:tbl>
    <w:p w14:paraId="2F988AD1">
      <w:pPr>
        <w:pStyle w:val="4"/>
        <w:pageBreakBefore w:val="0"/>
        <w:widowControl w:val="0"/>
        <w:kinsoku/>
        <w:wordWrap/>
        <w:overflowPunct/>
        <w:topLinePunct w:val="0"/>
        <w:autoSpaceDE/>
        <w:autoSpaceDN/>
        <w:bidi w:val="0"/>
        <w:adjustRightInd/>
        <w:snapToGrid/>
        <w:spacing w:line="560" w:lineRule="exact"/>
        <w:ind w:firstLine="562"/>
        <w:textAlignment w:val="auto"/>
        <w:rPr>
          <w:sz w:val="32"/>
          <w:szCs w:val="32"/>
        </w:rPr>
      </w:pPr>
      <w:r>
        <w:rPr>
          <w:rFonts w:hint="eastAsia"/>
          <w:sz w:val="32"/>
          <w:szCs w:val="32"/>
        </w:rPr>
        <w:t>1</w:t>
      </w:r>
      <w:r>
        <w:rPr>
          <w:rFonts w:hint="eastAsia"/>
          <w:sz w:val="32"/>
          <w:szCs w:val="32"/>
          <w:lang w:eastAsia="zh-CN"/>
        </w:rPr>
        <w:t>.</w:t>
      </w:r>
      <w:r>
        <w:rPr>
          <w:rFonts w:hint="eastAsia"/>
          <w:sz w:val="32"/>
          <w:szCs w:val="32"/>
        </w:rPr>
        <w:t>项目支出预算执行情况</w:t>
      </w:r>
    </w:p>
    <w:p w14:paraId="17F7C91F">
      <w:pPr>
        <w:pageBreakBefore w:val="0"/>
        <w:widowControl w:val="0"/>
        <w:kinsoku/>
        <w:wordWrap/>
        <w:overflowPunct/>
        <w:topLinePunct w:val="0"/>
        <w:autoSpaceDE/>
        <w:autoSpaceDN/>
        <w:bidi w:val="0"/>
        <w:adjustRightInd/>
        <w:snapToGrid/>
        <w:spacing w:line="560" w:lineRule="exact"/>
        <w:ind w:firstLine="560"/>
        <w:textAlignment w:val="auto"/>
        <w:rPr>
          <w:sz w:val="32"/>
          <w:szCs w:val="24"/>
        </w:rPr>
      </w:pPr>
      <w:r>
        <w:rPr>
          <w:rFonts w:hint="eastAsia"/>
          <w:sz w:val="32"/>
          <w:szCs w:val="24"/>
          <w:highlight w:val="none"/>
        </w:rPr>
        <w:t>全省法院</w:t>
      </w:r>
      <w:r>
        <w:rPr>
          <w:rFonts w:hint="eastAsia"/>
          <w:sz w:val="32"/>
          <w:szCs w:val="24"/>
          <w:lang w:eastAsia="zh-CN"/>
        </w:rPr>
        <w:t>业务费</w:t>
      </w:r>
      <w:r>
        <w:rPr>
          <w:rFonts w:hint="eastAsia"/>
          <w:sz w:val="32"/>
          <w:szCs w:val="32"/>
        </w:rPr>
        <w:t>项目年初预算数1</w:t>
      </w:r>
      <w:r>
        <w:rPr>
          <w:rFonts w:hint="eastAsia"/>
          <w:sz w:val="32"/>
          <w:szCs w:val="32"/>
          <w:lang w:val="en-US" w:eastAsia="zh-CN"/>
        </w:rPr>
        <w:t>18</w:t>
      </w:r>
      <w:r>
        <w:rPr>
          <w:rFonts w:hint="eastAsia"/>
          <w:sz w:val="32"/>
          <w:szCs w:val="32"/>
        </w:rPr>
        <w:t>.</w:t>
      </w:r>
      <w:r>
        <w:rPr>
          <w:rFonts w:hint="eastAsia"/>
          <w:sz w:val="32"/>
          <w:szCs w:val="32"/>
          <w:lang w:val="en-US" w:eastAsia="zh-CN"/>
        </w:rPr>
        <w:t>00万元</w:t>
      </w:r>
      <w:r>
        <w:rPr>
          <w:rFonts w:hint="eastAsia"/>
          <w:sz w:val="32"/>
          <w:szCs w:val="32"/>
          <w:lang w:eastAsia="zh-CN"/>
        </w:rPr>
        <w:t>，</w:t>
      </w:r>
      <w:r>
        <w:rPr>
          <w:rFonts w:hint="eastAsia"/>
          <w:sz w:val="32"/>
          <w:szCs w:val="32"/>
        </w:rPr>
        <w:t>全年预算数</w:t>
      </w:r>
      <w:r>
        <w:rPr>
          <w:rFonts w:hint="eastAsia"/>
          <w:sz w:val="32"/>
          <w:szCs w:val="32"/>
          <w:lang w:val="en-US" w:eastAsia="zh-CN"/>
        </w:rPr>
        <w:t>为170.59万元，</w:t>
      </w:r>
      <w:r>
        <w:rPr>
          <w:rFonts w:hint="eastAsia"/>
          <w:sz w:val="32"/>
          <w:szCs w:val="32"/>
        </w:rPr>
        <w:t>全年执行数为</w:t>
      </w:r>
      <w:r>
        <w:rPr>
          <w:rFonts w:hint="eastAsia"/>
          <w:sz w:val="32"/>
          <w:szCs w:val="32"/>
          <w:lang w:val="en-US" w:eastAsia="zh-CN"/>
        </w:rPr>
        <w:t>170.59</w:t>
      </w:r>
      <w:r>
        <w:rPr>
          <w:rFonts w:hint="eastAsia"/>
          <w:sz w:val="32"/>
          <w:szCs w:val="32"/>
        </w:rPr>
        <w:t>万元，预算执行率</w:t>
      </w:r>
      <w:r>
        <w:rPr>
          <w:rFonts w:hint="eastAsia"/>
          <w:sz w:val="32"/>
          <w:szCs w:val="32"/>
          <w:lang w:val="en-US" w:eastAsia="zh-CN"/>
        </w:rPr>
        <w:t>100</w:t>
      </w:r>
      <w:r>
        <w:rPr>
          <w:rFonts w:hint="eastAsia"/>
          <w:sz w:val="32"/>
          <w:szCs w:val="32"/>
        </w:rPr>
        <w:t>%，满分10分，得分</w:t>
      </w:r>
      <w:r>
        <w:rPr>
          <w:rFonts w:hint="eastAsia"/>
          <w:sz w:val="32"/>
          <w:szCs w:val="32"/>
          <w:lang w:val="en-US" w:eastAsia="zh-CN"/>
        </w:rPr>
        <w:t>10</w:t>
      </w:r>
      <w:r>
        <w:rPr>
          <w:rFonts w:hint="eastAsia"/>
          <w:sz w:val="32"/>
          <w:szCs w:val="32"/>
        </w:rPr>
        <w:t>分。</w:t>
      </w:r>
    </w:p>
    <w:p w14:paraId="4F6B13E1">
      <w:pPr>
        <w:pStyle w:val="4"/>
        <w:pageBreakBefore w:val="0"/>
        <w:widowControl w:val="0"/>
        <w:kinsoku/>
        <w:wordWrap/>
        <w:overflowPunct/>
        <w:topLinePunct w:val="0"/>
        <w:autoSpaceDE/>
        <w:autoSpaceDN/>
        <w:bidi w:val="0"/>
        <w:adjustRightInd/>
        <w:snapToGrid/>
        <w:spacing w:line="560" w:lineRule="exact"/>
        <w:ind w:firstLine="562"/>
        <w:textAlignment w:val="auto"/>
        <w:rPr>
          <w:sz w:val="32"/>
          <w:szCs w:val="32"/>
        </w:rPr>
      </w:pPr>
      <w:r>
        <w:rPr>
          <w:rFonts w:hint="eastAsia"/>
          <w:sz w:val="32"/>
          <w:szCs w:val="32"/>
        </w:rPr>
        <w:t>2</w:t>
      </w:r>
      <w:r>
        <w:rPr>
          <w:rFonts w:hint="eastAsia"/>
          <w:sz w:val="32"/>
          <w:szCs w:val="32"/>
          <w:lang w:eastAsia="zh-CN"/>
        </w:rPr>
        <w:t>.</w:t>
      </w:r>
      <w:r>
        <w:rPr>
          <w:rFonts w:hint="eastAsia"/>
          <w:sz w:val="32"/>
          <w:szCs w:val="32"/>
        </w:rPr>
        <w:t>总体绩效目标完成情况分析</w:t>
      </w:r>
    </w:p>
    <w:p w14:paraId="01ED6A7B">
      <w:pPr>
        <w:pageBreakBefore w:val="0"/>
        <w:widowControl w:val="0"/>
        <w:kinsoku/>
        <w:wordWrap/>
        <w:overflowPunct/>
        <w:topLinePunct w:val="0"/>
        <w:autoSpaceDE/>
        <w:autoSpaceDN/>
        <w:bidi w:val="0"/>
        <w:adjustRightInd/>
        <w:snapToGrid/>
        <w:spacing w:line="560" w:lineRule="exact"/>
        <w:ind w:firstLine="560"/>
        <w:textAlignment w:val="auto"/>
        <w:rPr>
          <w:rFonts w:hint="eastAsia"/>
          <w:sz w:val="32"/>
          <w:szCs w:val="24"/>
          <w:highlight w:val="none"/>
          <w:lang w:eastAsia="zh-CN"/>
        </w:rPr>
      </w:pPr>
      <w:r>
        <w:rPr>
          <w:rFonts w:hint="eastAsia" w:ascii="仿宋_GB2312" w:hAnsi="仿宋_GB2312" w:eastAsia="仿宋_GB2312" w:cstheme="minorBidi"/>
          <w:b w:val="0"/>
          <w:bCs w:val="0"/>
          <w:kern w:val="2"/>
          <w:sz w:val="32"/>
          <w:szCs w:val="32"/>
          <w:highlight w:val="none"/>
          <w:lang w:val="en-US" w:eastAsia="zh-CN" w:bidi="ar-SA"/>
        </w:rPr>
        <w:t>本年度通过全省法院业务费项目的</w:t>
      </w:r>
      <w:r>
        <w:rPr>
          <w:rFonts w:hint="eastAsia" w:cstheme="minorBidi"/>
          <w:b w:val="0"/>
          <w:bCs w:val="0"/>
          <w:kern w:val="2"/>
          <w:sz w:val="32"/>
          <w:szCs w:val="32"/>
          <w:highlight w:val="none"/>
          <w:lang w:val="en-US" w:eastAsia="zh-CN" w:bidi="ar-SA"/>
        </w:rPr>
        <w:t>实</w:t>
      </w:r>
      <w:r>
        <w:rPr>
          <w:rFonts w:hint="eastAsia" w:ascii="仿宋_GB2312" w:hAnsi="仿宋_GB2312" w:eastAsia="仿宋_GB2312" w:cstheme="minorBidi"/>
          <w:b w:val="0"/>
          <w:bCs w:val="0"/>
          <w:kern w:val="2"/>
          <w:sz w:val="32"/>
          <w:szCs w:val="32"/>
          <w:highlight w:val="none"/>
          <w:lang w:val="en-US" w:eastAsia="zh-CN" w:bidi="ar-SA"/>
        </w:rPr>
        <w:t>施，不断完善了我院审批机制，刑事案件审结率达到100%，民商事案件审结率达到97%，执行案件审结率达到95%，法定审限内结案率达到100%。</w:t>
      </w:r>
    </w:p>
    <w:p w14:paraId="2BE827D2">
      <w:pPr>
        <w:pStyle w:val="4"/>
        <w:pageBreakBefore w:val="0"/>
        <w:widowControl w:val="0"/>
        <w:kinsoku/>
        <w:wordWrap/>
        <w:overflowPunct/>
        <w:topLinePunct w:val="0"/>
        <w:autoSpaceDE/>
        <w:autoSpaceDN/>
        <w:bidi w:val="0"/>
        <w:adjustRightInd/>
        <w:snapToGrid/>
        <w:spacing w:line="560" w:lineRule="exact"/>
        <w:textAlignment w:val="auto"/>
        <w:rPr>
          <w:rFonts w:hint="eastAsia"/>
          <w:sz w:val="32"/>
          <w:szCs w:val="36"/>
        </w:rPr>
      </w:pPr>
      <w:r>
        <w:rPr>
          <w:rFonts w:hint="eastAsia"/>
          <w:sz w:val="32"/>
          <w:szCs w:val="36"/>
        </w:rPr>
        <w:t>3</w:t>
      </w:r>
      <w:r>
        <w:rPr>
          <w:rFonts w:hint="eastAsia"/>
          <w:sz w:val="32"/>
          <w:szCs w:val="36"/>
          <w:lang w:eastAsia="zh-CN"/>
        </w:rPr>
        <w:t>.</w:t>
      </w:r>
      <w:r>
        <w:rPr>
          <w:rFonts w:hint="eastAsia"/>
          <w:sz w:val="32"/>
          <w:szCs w:val="36"/>
        </w:rPr>
        <w:t>各项指标完成情况分析</w:t>
      </w:r>
    </w:p>
    <w:p w14:paraId="2793E742">
      <w:pPr>
        <w:pageBreakBefore w:val="0"/>
        <w:widowControl w:val="0"/>
        <w:kinsoku/>
        <w:wordWrap/>
        <w:overflowPunct/>
        <w:topLinePunct w:val="0"/>
        <w:autoSpaceDE/>
        <w:autoSpaceDN/>
        <w:bidi w:val="0"/>
        <w:adjustRightInd/>
        <w:snapToGrid/>
        <w:spacing w:line="560" w:lineRule="exact"/>
        <w:textAlignment w:val="auto"/>
        <w:rPr>
          <w:rFonts w:hint="default" w:eastAsia="仿宋_GB2312"/>
          <w:sz w:val="32"/>
          <w:szCs w:val="24"/>
          <w:lang w:val="en-US" w:eastAsia="zh-CN"/>
        </w:rPr>
      </w:pPr>
      <w:r>
        <w:rPr>
          <w:rFonts w:hint="eastAsia"/>
          <w:sz w:val="32"/>
          <w:szCs w:val="24"/>
          <w:lang w:eastAsia="zh-CN"/>
        </w:rPr>
        <w:t>（</w:t>
      </w:r>
      <w:r>
        <w:rPr>
          <w:rFonts w:hint="eastAsia"/>
          <w:sz w:val="32"/>
          <w:szCs w:val="24"/>
          <w:lang w:val="en-US" w:eastAsia="zh-CN"/>
        </w:rPr>
        <w:t>1</w:t>
      </w:r>
      <w:r>
        <w:rPr>
          <w:rFonts w:hint="eastAsia"/>
          <w:sz w:val="32"/>
          <w:szCs w:val="24"/>
          <w:lang w:eastAsia="zh-CN"/>
        </w:rPr>
        <w:t>）</w:t>
      </w:r>
      <w:r>
        <w:rPr>
          <w:rFonts w:hint="eastAsia"/>
          <w:sz w:val="32"/>
          <w:szCs w:val="24"/>
          <w:lang w:val="en-US" w:eastAsia="zh-CN"/>
        </w:rPr>
        <w:t>成本指标</w:t>
      </w:r>
    </w:p>
    <w:p w14:paraId="2D198A02">
      <w:pPr>
        <w:pageBreakBefore w:val="0"/>
        <w:widowControl w:val="0"/>
        <w:kinsoku/>
        <w:wordWrap/>
        <w:overflowPunct/>
        <w:topLinePunct w:val="0"/>
        <w:autoSpaceDE/>
        <w:autoSpaceDN/>
        <w:bidi w:val="0"/>
        <w:adjustRightInd/>
        <w:snapToGrid/>
        <w:spacing w:line="560" w:lineRule="exact"/>
        <w:textAlignment w:val="auto"/>
        <w:rPr>
          <w:rFonts w:hint="eastAsia"/>
          <w:sz w:val="32"/>
          <w:szCs w:val="24"/>
          <w:lang w:val="en-US" w:eastAsia="zh-CN"/>
        </w:rPr>
      </w:pPr>
      <w:r>
        <w:rPr>
          <w:rFonts w:hint="eastAsia"/>
          <w:sz w:val="32"/>
          <w:szCs w:val="24"/>
          <w:lang w:eastAsia="zh-CN"/>
        </w:rPr>
        <w:t>成本</w:t>
      </w:r>
      <w:r>
        <w:rPr>
          <w:rFonts w:hint="eastAsia"/>
          <w:sz w:val="32"/>
          <w:szCs w:val="24"/>
        </w:rPr>
        <w:t>指标下设</w:t>
      </w:r>
      <w:r>
        <w:rPr>
          <w:rFonts w:hint="eastAsia"/>
          <w:sz w:val="32"/>
          <w:szCs w:val="24"/>
          <w:lang w:val="en-US" w:eastAsia="zh-CN"/>
        </w:rPr>
        <w:t>1</w:t>
      </w:r>
      <w:r>
        <w:rPr>
          <w:rFonts w:hint="eastAsia"/>
          <w:sz w:val="32"/>
          <w:szCs w:val="24"/>
        </w:rPr>
        <w:t>个三级指标，指标</w:t>
      </w:r>
      <w:r>
        <w:rPr>
          <w:rFonts w:hint="eastAsia"/>
          <w:sz w:val="32"/>
          <w:szCs w:val="24"/>
          <w:lang w:val="en-US" w:eastAsia="zh-CN"/>
        </w:rPr>
        <w:t>分值20</w:t>
      </w:r>
      <w:r>
        <w:rPr>
          <w:rFonts w:hint="eastAsia"/>
          <w:sz w:val="32"/>
          <w:szCs w:val="24"/>
        </w:rPr>
        <w:t>分，自评得分</w:t>
      </w:r>
      <w:r>
        <w:rPr>
          <w:rFonts w:hint="eastAsia"/>
          <w:sz w:val="32"/>
          <w:szCs w:val="24"/>
          <w:lang w:val="en-US" w:eastAsia="zh-CN"/>
        </w:rPr>
        <w:t>20</w:t>
      </w:r>
      <w:r>
        <w:rPr>
          <w:rFonts w:hint="eastAsia"/>
          <w:sz w:val="32"/>
          <w:szCs w:val="24"/>
        </w:rPr>
        <w:t>分，得分率为</w:t>
      </w:r>
      <w:r>
        <w:rPr>
          <w:rFonts w:hint="eastAsia"/>
          <w:sz w:val="32"/>
          <w:szCs w:val="24"/>
          <w:lang w:val="en-US" w:eastAsia="zh-CN"/>
        </w:rPr>
        <w:t>100</w:t>
      </w:r>
      <w:r>
        <w:rPr>
          <w:rFonts w:hint="eastAsia"/>
          <w:sz w:val="32"/>
          <w:szCs w:val="24"/>
        </w:rPr>
        <w:t>%。</w:t>
      </w:r>
    </w:p>
    <w:p w14:paraId="44800BB8">
      <w:pPr>
        <w:pageBreakBefore w:val="0"/>
        <w:widowControl w:val="0"/>
        <w:kinsoku/>
        <w:wordWrap/>
        <w:overflowPunct/>
        <w:topLinePunct w:val="0"/>
        <w:autoSpaceDE/>
        <w:autoSpaceDN/>
        <w:bidi w:val="0"/>
        <w:adjustRightInd/>
        <w:snapToGrid/>
        <w:spacing w:line="560" w:lineRule="exact"/>
        <w:textAlignment w:val="auto"/>
        <w:rPr>
          <w:rFonts w:hint="eastAsia"/>
          <w:sz w:val="32"/>
          <w:szCs w:val="24"/>
        </w:rPr>
      </w:pPr>
      <w:r>
        <w:rPr>
          <w:rFonts w:hint="eastAsia" w:ascii="仿宋_GB2312" w:hAnsi="宋体" w:eastAsia="仿宋_GB2312" w:cstheme="minorBidi"/>
          <w:b/>
          <w:bCs/>
          <w:kern w:val="2"/>
          <w:sz w:val="32"/>
          <w:szCs w:val="32"/>
          <w:lang w:val="en-US" w:eastAsia="zh-CN" w:bidi="ar-SA"/>
        </w:rPr>
        <w:t>成本控制情况</w:t>
      </w:r>
      <w:r>
        <w:rPr>
          <w:rFonts w:hint="eastAsia" w:hAnsi="宋体" w:cstheme="minorBidi"/>
          <w:b/>
          <w:bCs/>
          <w:kern w:val="2"/>
          <w:sz w:val="32"/>
          <w:szCs w:val="32"/>
          <w:lang w:val="en-US" w:eastAsia="zh-CN" w:bidi="ar-SA"/>
        </w:rPr>
        <w:t>：</w:t>
      </w:r>
      <w:r>
        <w:rPr>
          <w:rFonts w:hint="eastAsia" w:hAnsi="宋体"/>
          <w:sz w:val="32"/>
          <w:szCs w:val="32"/>
          <w:lang w:val="en-US" w:eastAsia="zh-CN"/>
        </w:rPr>
        <w:t>我院全省法院业务费</w:t>
      </w:r>
      <w:r>
        <w:rPr>
          <w:rFonts w:hint="eastAsia" w:hAnsi="宋体"/>
          <w:sz w:val="32"/>
          <w:szCs w:val="32"/>
        </w:rPr>
        <w:t>全年预算支出</w:t>
      </w:r>
      <w:r>
        <w:rPr>
          <w:rFonts w:hint="eastAsia" w:hAnsi="宋体" w:cs="宋体"/>
          <w:kern w:val="0"/>
          <w:sz w:val="32"/>
          <w:szCs w:val="32"/>
          <w:highlight w:val="none"/>
          <w:lang w:eastAsia="zh-CN"/>
        </w:rPr>
        <w:t>控制在</w:t>
      </w:r>
      <w:r>
        <w:rPr>
          <w:rFonts w:hint="eastAsia" w:hAnsi="宋体" w:cs="宋体"/>
          <w:kern w:val="0"/>
          <w:sz w:val="32"/>
          <w:szCs w:val="32"/>
          <w:highlight w:val="none"/>
        </w:rPr>
        <w:t>预算</w:t>
      </w:r>
      <w:r>
        <w:rPr>
          <w:rFonts w:hint="eastAsia" w:hAnsi="宋体" w:cs="宋体"/>
          <w:kern w:val="0"/>
          <w:sz w:val="32"/>
          <w:szCs w:val="32"/>
          <w:highlight w:val="none"/>
          <w:lang w:val="en-US" w:eastAsia="zh-CN"/>
        </w:rPr>
        <w:t>范围</w:t>
      </w:r>
      <w:r>
        <w:rPr>
          <w:rFonts w:hint="eastAsia" w:hAnsi="宋体" w:cs="宋体"/>
          <w:kern w:val="0"/>
          <w:sz w:val="32"/>
          <w:szCs w:val="32"/>
          <w:highlight w:val="none"/>
          <w:lang w:eastAsia="zh-CN"/>
        </w:rPr>
        <w:t>以内</w:t>
      </w:r>
      <w:r>
        <w:rPr>
          <w:rFonts w:hint="eastAsia" w:hAnsi="宋体" w:cs="宋体"/>
          <w:kern w:val="0"/>
          <w:sz w:val="32"/>
          <w:szCs w:val="32"/>
          <w:highlight w:val="none"/>
        </w:rPr>
        <w:t>，</w:t>
      </w:r>
      <w:r>
        <w:rPr>
          <w:rFonts w:hint="eastAsia" w:hAnsi="宋体" w:cs="宋体"/>
          <w:kern w:val="0"/>
          <w:sz w:val="32"/>
          <w:szCs w:val="32"/>
        </w:rPr>
        <w:t>符合年度指标值的要求。</w:t>
      </w:r>
      <w:r>
        <w:rPr>
          <w:rFonts w:hint="eastAsia" w:hAnsi="宋体"/>
          <w:sz w:val="32"/>
          <w:szCs w:val="32"/>
        </w:rPr>
        <w:t>该指标分值</w:t>
      </w:r>
      <w:r>
        <w:rPr>
          <w:rFonts w:hint="eastAsia" w:hAnsi="宋体"/>
          <w:sz w:val="32"/>
          <w:szCs w:val="32"/>
          <w:lang w:val="en-US" w:eastAsia="zh-CN"/>
        </w:rPr>
        <w:t>20</w:t>
      </w:r>
      <w:r>
        <w:rPr>
          <w:rFonts w:hint="eastAsia" w:hAnsi="宋体"/>
          <w:sz w:val="32"/>
          <w:szCs w:val="32"/>
        </w:rPr>
        <w:t>分，</w:t>
      </w:r>
      <w:r>
        <w:rPr>
          <w:rFonts w:hAnsi="宋体"/>
          <w:sz w:val="32"/>
          <w:szCs w:val="32"/>
        </w:rPr>
        <w:t>按评价标</w:t>
      </w:r>
      <w:r>
        <w:rPr>
          <w:rFonts w:hAnsi="宋体"/>
          <w:sz w:val="32"/>
          <w:szCs w:val="32"/>
          <w:highlight w:val="none"/>
        </w:rPr>
        <w:t>准得</w:t>
      </w:r>
      <w:r>
        <w:rPr>
          <w:rFonts w:hint="eastAsia" w:hAnsi="宋体"/>
          <w:sz w:val="32"/>
          <w:szCs w:val="32"/>
          <w:highlight w:val="none"/>
          <w:lang w:val="en-US" w:eastAsia="zh-CN"/>
        </w:rPr>
        <w:t>20</w:t>
      </w:r>
      <w:r>
        <w:rPr>
          <w:rFonts w:hAnsi="宋体"/>
          <w:sz w:val="32"/>
          <w:szCs w:val="32"/>
          <w:highlight w:val="none"/>
        </w:rPr>
        <w:t>分，得分率为</w:t>
      </w:r>
      <w:r>
        <w:rPr>
          <w:rFonts w:hint="eastAsia" w:hAnsi="宋体"/>
          <w:sz w:val="32"/>
          <w:szCs w:val="32"/>
          <w:highlight w:val="none"/>
          <w:lang w:val="en-US" w:eastAsia="zh-CN"/>
        </w:rPr>
        <w:t>100</w:t>
      </w:r>
      <w:r>
        <w:rPr>
          <w:rFonts w:hAnsi="宋体"/>
          <w:sz w:val="32"/>
          <w:szCs w:val="32"/>
          <w:highlight w:val="none"/>
        </w:rPr>
        <w:t>%。</w:t>
      </w:r>
    </w:p>
    <w:p w14:paraId="6FD86951">
      <w:pPr>
        <w:pageBreakBefore w:val="0"/>
        <w:widowControl w:val="0"/>
        <w:kinsoku/>
        <w:wordWrap/>
        <w:overflowPunct/>
        <w:topLinePunct w:val="0"/>
        <w:autoSpaceDE/>
        <w:autoSpaceDN/>
        <w:bidi w:val="0"/>
        <w:adjustRightInd/>
        <w:snapToGrid/>
        <w:spacing w:line="560" w:lineRule="exact"/>
        <w:textAlignment w:val="auto"/>
        <w:rPr>
          <w:sz w:val="32"/>
          <w:szCs w:val="24"/>
        </w:rPr>
      </w:pPr>
      <w:r>
        <w:rPr>
          <w:rFonts w:hint="eastAsia"/>
          <w:sz w:val="32"/>
          <w:szCs w:val="24"/>
        </w:rPr>
        <w:t>（</w:t>
      </w:r>
      <w:r>
        <w:rPr>
          <w:rFonts w:hint="eastAsia"/>
          <w:sz w:val="32"/>
          <w:szCs w:val="24"/>
          <w:lang w:val="en-US" w:eastAsia="zh-CN"/>
        </w:rPr>
        <w:t>2</w:t>
      </w:r>
      <w:r>
        <w:rPr>
          <w:rFonts w:hint="eastAsia"/>
          <w:sz w:val="32"/>
          <w:szCs w:val="24"/>
        </w:rPr>
        <w:t>）产出指标</w:t>
      </w:r>
    </w:p>
    <w:p w14:paraId="0BC11510">
      <w:pPr>
        <w:pageBreakBefore w:val="0"/>
        <w:widowControl w:val="0"/>
        <w:kinsoku/>
        <w:wordWrap/>
        <w:overflowPunct/>
        <w:topLinePunct w:val="0"/>
        <w:autoSpaceDE/>
        <w:autoSpaceDN/>
        <w:bidi w:val="0"/>
        <w:adjustRightInd/>
        <w:snapToGrid/>
        <w:spacing w:line="560" w:lineRule="exact"/>
        <w:ind w:firstLine="560"/>
        <w:textAlignment w:val="auto"/>
        <w:rPr>
          <w:rFonts w:hint="eastAsia" w:eastAsia="仿宋_GB2312" w:cs="仿宋_GB2312"/>
          <w:sz w:val="32"/>
          <w:szCs w:val="32"/>
          <w:lang w:val="en-US" w:eastAsia="zh-CN"/>
        </w:rPr>
      </w:pPr>
      <w:r>
        <w:rPr>
          <w:rFonts w:hint="eastAsia" w:cs="仿宋_GB2312"/>
          <w:sz w:val="32"/>
          <w:szCs w:val="32"/>
        </w:rPr>
        <w:t>产出指标下设数量</w:t>
      </w:r>
      <w:r>
        <w:rPr>
          <w:rFonts w:hint="eastAsia" w:cs="仿宋_GB2312"/>
          <w:sz w:val="32"/>
          <w:szCs w:val="32"/>
          <w:lang w:eastAsia="zh-CN"/>
        </w:rPr>
        <w:t>、</w:t>
      </w:r>
      <w:r>
        <w:rPr>
          <w:rFonts w:hint="eastAsia" w:cs="仿宋_GB2312"/>
          <w:sz w:val="32"/>
          <w:szCs w:val="32"/>
        </w:rPr>
        <w:t>质量</w:t>
      </w:r>
      <w:r>
        <w:rPr>
          <w:rFonts w:hint="eastAsia" w:cs="仿宋_GB2312"/>
          <w:sz w:val="32"/>
          <w:szCs w:val="32"/>
          <w:lang w:eastAsia="zh-CN"/>
        </w:rPr>
        <w:t>和时效</w:t>
      </w:r>
      <w:r>
        <w:rPr>
          <w:rFonts w:hint="eastAsia" w:cs="仿宋_GB2312"/>
          <w:sz w:val="32"/>
          <w:szCs w:val="32"/>
          <w:lang w:val="en-US" w:eastAsia="zh-CN"/>
        </w:rPr>
        <w:t>3</w:t>
      </w:r>
      <w:r>
        <w:rPr>
          <w:rFonts w:hint="eastAsia" w:cs="仿宋_GB2312"/>
          <w:sz w:val="32"/>
          <w:szCs w:val="32"/>
        </w:rPr>
        <w:t>个二级指标。总分值</w:t>
      </w:r>
      <w:r>
        <w:rPr>
          <w:rFonts w:hint="eastAsia" w:cs="仿宋_GB2312"/>
          <w:sz w:val="32"/>
          <w:szCs w:val="32"/>
          <w:lang w:val="en-US" w:eastAsia="zh-CN"/>
        </w:rPr>
        <w:t>4</w:t>
      </w:r>
      <w:r>
        <w:rPr>
          <w:rFonts w:hint="eastAsia" w:cs="仿宋_GB2312"/>
          <w:sz w:val="32"/>
          <w:szCs w:val="32"/>
        </w:rPr>
        <w:t>0分，得分</w:t>
      </w:r>
      <w:r>
        <w:rPr>
          <w:rFonts w:hint="eastAsia" w:cs="仿宋_GB2312"/>
          <w:sz w:val="32"/>
          <w:szCs w:val="32"/>
          <w:lang w:val="en-US" w:eastAsia="zh-CN"/>
        </w:rPr>
        <w:t>40</w:t>
      </w:r>
      <w:r>
        <w:rPr>
          <w:rFonts w:hint="eastAsia" w:cs="仿宋_GB2312"/>
          <w:sz w:val="32"/>
          <w:szCs w:val="32"/>
        </w:rPr>
        <w:t>分，得分率</w:t>
      </w:r>
      <w:r>
        <w:rPr>
          <w:rFonts w:hint="eastAsia" w:hAnsi="宋体"/>
          <w:sz w:val="32"/>
          <w:szCs w:val="32"/>
          <w:highlight w:val="none"/>
        </w:rPr>
        <w:t>为</w:t>
      </w:r>
      <w:r>
        <w:rPr>
          <w:rFonts w:hint="eastAsia" w:cs="仿宋_GB2312"/>
          <w:sz w:val="32"/>
          <w:szCs w:val="32"/>
          <w:lang w:val="en-US" w:eastAsia="zh-CN"/>
        </w:rPr>
        <w:t>100</w:t>
      </w:r>
      <w:r>
        <w:rPr>
          <w:rFonts w:hint="eastAsia" w:cs="仿宋_GB2312"/>
          <w:sz w:val="32"/>
          <w:szCs w:val="32"/>
        </w:rPr>
        <w:t>%</w:t>
      </w:r>
      <w:r>
        <w:rPr>
          <w:rFonts w:hint="eastAsia" w:cs="仿宋_GB2312"/>
          <w:sz w:val="32"/>
          <w:szCs w:val="32"/>
          <w:lang w:eastAsia="zh-CN"/>
        </w:rPr>
        <w:t>。</w:t>
      </w:r>
    </w:p>
    <w:p w14:paraId="05F1BBF9">
      <w:pPr>
        <w:pageBreakBefore w:val="0"/>
        <w:widowControl w:val="0"/>
        <w:kinsoku/>
        <w:wordWrap/>
        <w:overflowPunct/>
        <w:topLinePunct w:val="0"/>
        <w:autoSpaceDE/>
        <w:autoSpaceDN/>
        <w:bidi w:val="0"/>
        <w:adjustRightInd/>
        <w:snapToGrid/>
        <w:spacing w:line="560" w:lineRule="exact"/>
        <w:ind w:firstLine="562"/>
        <w:textAlignment w:val="auto"/>
        <w:rPr>
          <w:rFonts w:cs="仿宋_GB2312"/>
          <w:sz w:val="32"/>
          <w:szCs w:val="32"/>
        </w:rPr>
      </w:pPr>
      <w:r>
        <w:rPr>
          <w:rFonts w:hint="eastAsia"/>
          <w:b/>
          <w:bCs/>
          <w:sz w:val="32"/>
          <w:szCs w:val="32"/>
        </w:rPr>
        <w:t>①数量指标</w:t>
      </w:r>
    </w:p>
    <w:p w14:paraId="49F31459">
      <w:pPr>
        <w:pageBreakBefore w:val="0"/>
        <w:widowControl w:val="0"/>
        <w:kinsoku/>
        <w:wordWrap/>
        <w:overflowPunct/>
        <w:topLinePunct w:val="0"/>
        <w:autoSpaceDE/>
        <w:autoSpaceDN/>
        <w:bidi w:val="0"/>
        <w:adjustRightInd/>
        <w:snapToGrid/>
        <w:spacing w:line="560" w:lineRule="exact"/>
        <w:ind w:firstLine="560"/>
        <w:textAlignment w:val="auto"/>
        <w:rPr>
          <w:rFonts w:hAnsi="宋体"/>
          <w:sz w:val="32"/>
          <w:szCs w:val="32"/>
          <w:highlight w:val="none"/>
        </w:rPr>
      </w:pPr>
      <w:r>
        <w:rPr>
          <w:rFonts w:hint="eastAsia"/>
          <w:sz w:val="32"/>
          <w:szCs w:val="24"/>
        </w:rPr>
        <w:t>数量指标下设</w:t>
      </w:r>
      <w:r>
        <w:rPr>
          <w:rFonts w:hint="eastAsia"/>
          <w:sz w:val="32"/>
          <w:szCs w:val="24"/>
          <w:lang w:val="en-US" w:eastAsia="zh-CN"/>
        </w:rPr>
        <w:t>3</w:t>
      </w:r>
      <w:r>
        <w:rPr>
          <w:rFonts w:hint="eastAsia"/>
          <w:sz w:val="32"/>
          <w:szCs w:val="24"/>
        </w:rPr>
        <w:t>个三级指标，</w:t>
      </w:r>
      <w:r>
        <w:rPr>
          <w:rFonts w:hint="eastAsia" w:hAnsi="宋体"/>
          <w:sz w:val="32"/>
          <w:szCs w:val="32"/>
          <w:highlight w:val="none"/>
        </w:rPr>
        <w:t>指标</w:t>
      </w:r>
      <w:r>
        <w:rPr>
          <w:rFonts w:hint="eastAsia" w:hAnsi="宋体"/>
          <w:sz w:val="32"/>
          <w:szCs w:val="32"/>
          <w:highlight w:val="none"/>
          <w:lang w:val="en-US" w:eastAsia="zh-CN"/>
        </w:rPr>
        <w:t>分值12</w:t>
      </w:r>
      <w:r>
        <w:rPr>
          <w:rFonts w:hint="eastAsia" w:hAnsi="宋体"/>
          <w:sz w:val="32"/>
          <w:szCs w:val="32"/>
          <w:highlight w:val="none"/>
        </w:rPr>
        <w:t>分，自评得分</w:t>
      </w:r>
      <w:r>
        <w:rPr>
          <w:rFonts w:hint="eastAsia" w:hAnsi="宋体"/>
          <w:sz w:val="32"/>
          <w:szCs w:val="32"/>
          <w:highlight w:val="none"/>
          <w:lang w:val="en-US" w:eastAsia="zh-CN"/>
        </w:rPr>
        <w:t>12</w:t>
      </w:r>
      <w:r>
        <w:rPr>
          <w:rFonts w:hint="eastAsia" w:hAnsi="宋体"/>
          <w:sz w:val="32"/>
          <w:szCs w:val="32"/>
          <w:highlight w:val="none"/>
        </w:rPr>
        <w:t>分，得分率为</w:t>
      </w:r>
      <w:r>
        <w:rPr>
          <w:rFonts w:hint="eastAsia" w:hAnsi="宋体"/>
          <w:sz w:val="32"/>
          <w:szCs w:val="32"/>
          <w:highlight w:val="none"/>
          <w:lang w:val="en-US" w:eastAsia="zh-CN"/>
        </w:rPr>
        <w:t>100</w:t>
      </w:r>
      <w:r>
        <w:rPr>
          <w:rFonts w:hint="eastAsia" w:hAnsi="宋体"/>
          <w:sz w:val="32"/>
          <w:szCs w:val="32"/>
          <w:highlight w:val="none"/>
        </w:rPr>
        <w:t>%。</w:t>
      </w:r>
    </w:p>
    <w:p w14:paraId="04DD47B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sz w:val="32"/>
          <w:szCs w:val="32"/>
          <w:lang w:val="en-US" w:eastAsia="zh-CN"/>
        </w:rPr>
      </w:pPr>
      <w:r>
        <w:rPr>
          <w:rFonts w:hint="eastAsia" w:hAnsi="宋体"/>
          <w:b/>
          <w:bCs/>
          <w:sz w:val="32"/>
          <w:szCs w:val="32"/>
          <w:lang w:val="en-US" w:eastAsia="zh-CN"/>
        </w:rPr>
        <w:t>结案率：</w:t>
      </w:r>
      <w:r>
        <w:rPr>
          <w:rFonts w:hint="eastAsia" w:hAnsi="宋体"/>
          <w:b w:val="0"/>
          <w:bCs w:val="0"/>
          <w:sz w:val="32"/>
          <w:szCs w:val="32"/>
          <w:lang w:val="en-US" w:eastAsia="zh-CN"/>
        </w:rPr>
        <w:t>我院结案率</w:t>
      </w:r>
      <w:r>
        <w:rPr>
          <w:rFonts w:hint="eastAsia" w:hAnsi="宋体" w:cstheme="minorBidi"/>
          <w:b w:val="0"/>
          <w:bCs w:val="0"/>
          <w:kern w:val="2"/>
          <w:sz w:val="32"/>
          <w:szCs w:val="32"/>
          <w:lang w:val="en-US" w:eastAsia="zh-CN" w:bidi="ar-SA"/>
        </w:rPr>
        <w:t>年度指标值≥80%，实际完成94.46%，</w:t>
      </w:r>
      <w:r>
        <w:rPr>
          <w:rFonts w:hint="eastAsia"/>
          <w:sz w:val="32"/>
          <w:szCs w:val="24"/>
          <w:lang w:eastAsia="zh-CN"/>
        </w:rPr>
        <w:t>达到年度指标值</w:t>
      </w:r>
      <w:r>
        <w:rPr>
          <w:rFonts w:hint="eastAsia"/>
          <w:sz w:val="32"/>
          <w:szCs w:val="24"/>
        </w:rPr>
        <w:t>。</w:t>
      </w:r>
      <w:r>
        <w:rPr>
          <w:rFonts w:hint="eastAsia" w:hAnsi="宋体"/>
          <w:b w:val="0"/>
          <w:bCs w:val="0"/>
          <w:sz w:val="32"/>
          <w:szCs w:val="32"/>
        </w:rPr>
        <w:t>该指标分值</w:t>
      </w:r>
      <w:r>
        <w:rPr>
          <w:rFonts w:hint="eastAsia" w:hAnsi="宋体"/>
          <w:b w:val="0"/>
          <w:bCs w:val="0"/>
          <w:sz w:val="32"/>
          <w:szCs w:val="32"/>
          <w:lang w:val="en-US" w:eastAsia="zh-CN"/>
        </w:rPr>
        <w:t>4</w:t>
      </w:r>
      <w:r>
        <w:rPr>
          <w:rFonts w:hint="eastAsia" w:hAnsi="宋体"/>
          <w:b w:val="0"/>
          <w:bCs w:val="0"/>
          <w:sz w:val="32"/>
          <w:szCs w:val="32"/>
        </w:rPr>
        <w:t>分，自</w:t>
      </w:r>
      <w:r>
        <w:rPr>
          <w:rFonts w:hint="eastAsia" w:hAnsi="宋体"/>
          <w:sz w:val="32"/>
          <w:szCs w:val="32"/>
        </w:rPr>
        <w:t>评得分为</w:t>
      </w:r>
      <w:r>
        <w:rPr>
          <w:rFonts w:hint="eastAsia" w:hAnsi="宋体"/>
          <w:b w:val="0"/>
          <w:bCs w:val="0"/>
          <w:sz w:val="32"/>
          <w:szCs w:val="32"/>
          <w:lang w:val="en-US" w:eastAsia="zh-CN"/>
        </w:rPr>
        <w:t>4</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22CE55D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cstheme="minorBidi"/>
          <w:b/>
          <w:bCs/>
          <w:kern w:val="2"/>
          <w:sz w:val="32"/>
          <w:szCs w:val="32"/>
          <w:lang w:val="en-US" w:eastAsia="zh-CN" w:bidi="ar-SA"/>
        </w:rPr>
      </w:pPr>
      <w:r>
        <w:rPr>
          <w:rFonts w:hint="eastAsia" w:hAnsi="宋体" w:cstheme="minorBidi"/>
          <w:b/>
          <w:bCs/>
          <w:kern w:val="2"/>
          <w:sz w:val="32"/>
          <w:szCs w:val="32"/>
          <w:lang w:val="en-US" w:eastAsia="zh-CN" w:bidi="ar-SA"/>
        </w:rPr>
        <w:t>信息化运维服务完成率：</w:t>
      </w:r>
      <w:r>
        <w:rPr>
          <w:rFonts w:hint="eastAsia" w:hAnsi="宋体"/>
          <w:b w:val="0"/>
          <w:bCs w:val="0"/>
          <w:sz w:val="32"/>
          <w:szCs w:val="32"/>
          <w:lang w:val="en-US" w:eastAsia="zh-CN"/>
        </w:rPr>
        <w:t>我院为保证信息化系统的正常使用，按期开展信息化运维，信息化运维服务完成率100%。</w:t>
      </w:r>
      <w:r>
        <w:rPr>
          <w:rFonts w:hint="eastAsia"/>
          <w:sz w:val="32"/>
          <w:szCs w:val="24"/>
          <w:lang w:eastAsia="zh-CN"/>
        </w:rPr>
        <w:t>达到年度指标值</w:t>
      </w:r>
      <w:r>
        <w:rPr>
          <w:rFonts w:hint="eastAsia"/>
          <w:sz w:val="32"/>
          <w:szCs w:val="24"/>
        </w:rPr>
        <w:t>。</w:t>
      </w:r>
      <w:r>
        <w:rPr>
          <w:rFonts w:hint="eastAsia" w:hAnsi="宋体"/>
          <w:b w:val="0"/>
          <w:bCs w:val="0"/>
          <w:sz w:val="32"/>
          <w:szCs w:val="32"/>
        </w:rPr>
        <w:t>该指标分值</w:t>
      </w:r>
      <w:r>
        <w:rPr>
          <w:rFonts w:hint="eastAsia" w:hAnsi="宋体"/>
          <w:b w:val="0"/>
          <w:bCs w:val="0"/>
          <w:sz w:val="32"/>
          <w:szCs w:val="32"/>
          <w:lang w:val="en-US" w:eastAsia="zh-CN"/>
        </w:rPr>
        <w:t>4</w:t>
      </w:r>
      <w:r>
        <w:rPr>
          <w:rFonts w:hint="eastAsia" w:hAnsi="宋体"/>
          <w:b w:val="0"/>
          <w:bCs w:val="0"/>
          <w:sz w:val="32"/>
          <w:szCs w:val="32"/>
        </w:rPr>
        <w:t>分，自</w:t>
      </w:r>
      <w:r>
        <w:rPr>
          <w:rFonts w:hint="eastAsia" w:hAnsi="宋体"/>
          <w:sz w:val="32"/>
          <w:szCs w:val="32"/>
        </w:rPr>
        <w:t>评得分为</w:t>
      </w:r>
      <w:r>
        <w:rPr>
          <w:rFonts w:hint="eastAsia" w:hAnsi="宋体"/>
          <w:b w:val="0"/>
          <w:bCs w:val="0"/>
          <w:sz w:val="32"/>
          <w:szCs w:val="32"/>
          <w:lang w:val="en-US" w:eastAsia="zh-CN"/>
        </w:rPr>
        <w:t>4</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r>
        <w:rPr>
          <w:rFonts w:hint="eastAsia" w:hAnsi="宋体"/>
          <w:b w:val="0"/>
          <w:bCs w:val="0"/>
          <w:sz w:val="32"/>
          <w:szCs w:val="32"/>
        </w:rPr>
        <w:t>。</w:t>
      </w:r>
    </w:p>
    <w:p w14:paraId="57226D3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b w:val="0"/>
          <w:bCs w:val="0"/>
          <w:sz w:val="32"/>
          <w:szCs w:val="32"/>
        </w:rPr>
      </w:pPr>
      <w:r>
        <w:rPr>
          <w:rFonts w:hint="eastAsia" w:hAnsi="宋体" w:cstheme="minorBidi"/>
          <w:b/>
          <w:bCs/>
          <w:kern w:val="2"/>
          <w:sz w:val="32"/>
          <w:szCs w:val="32"/>
          <w:lang w:val="en-US" w:eastAsia="zh-CN" w:bidi="ar-SA"/>
        </w:rPr>
        <w:t>院机关物业管理面积</w:t>
      </w:r>
      <w:r>
        <w:rPr>
          <w:rFonts w:hint="eastAsia" w:ascii="仿宋_GB2312" w:hAnsi="宋体" w:eastAsia="仿宋_GB2312" w:cstheme="minorBidi"/>
          <w:b/>
          <w:bCs/>
          <w:kern w:val="2"/>
          <w:sz w:val="32"/>
          <w:szCs w:val="32"/>
          <w:lang w:val="en-US" w:eastAsia="zh-CN" w:bidi="ar-SA"/>
        </w:rPr>
        <w:t>：</w:t>
      </w:r>
      <w:r>
        <w:rPr>
          <w:rFonts w:hint="eastAsia" w:hAnsi="宋体"/>
          <w:b w:val="0"/>
          <w:bCs w:val="0"/>
          <w:sz w:val="32"/>
          <w:szCs w:val="32"/>
          <w:lang w:val="en-US" w:eastAsia="zh-CN"/>
        </w:rPr>
        <w:t>我院物业管理面积3816平方米，</w:t>
      </w:r>
      <w:r>
        <w:rPr>
          <w:rFonts w:hint="eastAsia"/>
          <w:sz w:val="32"/>
          <w:szCs w:val="24"/>
          <w:lang w:eastAsia="zh-CN"/>
        </w:rPr>
        <w:t>达到年度指标值</w:t>
      </w:r>
      <w:r>
        <w:rPr>
          <w:rFonts w:hint="eastAsia"/>
          <w:sz w:val="32"/>
          <w:szCs w:val="24"/>
        </w:rPr>
        <w:t>。</w:t>
      </w:r>
      <w:r>
        <w:rPr>
          <w:rFonts w:hint="eastAsia" w:hAnsi="宋体"/>
          <w:b w:val="0"/>
          <w:bCs w:val="0"/>
          <w:sz w:val="32"/>
          <w:szCs w:val="32"/>
        </w:rPr>
        <w:t>该指标分值</w:t>
      </w:r>
      <w:r>
        <w:rPr>
          <w:rFonts w:hint="eastAsia" w:hAnsi="宋体"/>
          <w:b w:val="0"/>
          <w:bCs w:val="0"/>
          <w:sz w:val="32"/>
          <w:szCs w:val="32"/>
          <w:lang w:val="en-US" w:eastAsia="zh-CN"/>
        </w:rPr>
        <w:t>4</w:t>
      </w:r>
      <w:r>
        <w:rPr>
          <w:rFonts w:hint="eastAsia" w:hAnsi="宋体"/>
          <w:b w:val="0"/>
          <w:bCs w:val="0"/>
          <w:sz w:val="32"/>
          <w:szCs w:val="32"/>
        </w:rPr>
        <w:t>分，自</w:t>
      </w:r>
      <w:r>
        <w:rPr>
          <w:rFonts w:hint="eastAsia" w:hAnsi="宋体"/>
          <w:sz w:val="32"/>
          <w:szCs w:val="32"/>
        </w:rPr>
        <w:t>评得分为</w:t>
      </w:r>
      <w:r>
        <w:rPr>
          <w:rFonts w:hint="eastAsia" w:hAnsi="宋体"/>
          <w:sz w:val="32"/>
          <w:szCs w:val="32"/>
          <w:lang w:val="en-US" w:eastAsia="zh-CN"/>
        </w:rPr>
        <w:t>4</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r>
        <w:rPr>
          <w:rFonts w:hint="eastAsia" w:hAnsi="宋体"/>
          <w:b w:val="0"/>
          <w:bCs w:val="0"/>
          <w:sz w:val="32"/>
          <w:szCs w:val="32"/>
        </w:rPr>
        <w:t>。</w:t>
      </w:r>
    </w:p>
    <w:p w14:paraId="1C49A565">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b/>
          <w:bCs/>
          <w:sz w:val="32"/>
          <w:szCs w:val="24"/>
        </w:rPr>
      </w:pPr>
      <w:r>
        <w:rPr>
          <w:rFonts w:hint="eastAsia"/>
          <w:b/>
          <w:bCs/>
          <w:sz w:val="32"/>
          <w:szCs w:val="24"/>
          <w:lang w:eastAsia="zh-CN"/>
        </w:rPr>
        <w:t>②</w:t>
      </w:r>
      <w:r>
        <w:rPr>
          <w:rFonts w:hint="eastAsia"/>
          <w:b/>
          <w:bCs/>
          <w:sz w:val="32"/>
          <w:szCs w:val="24"/>
        </w:rPr>
        <w:t>质量指标</w:t>
      </w:r>
    </w:p>
    <w:p w14:paraId="670E7C27">
      <w:pPr>
        <w:pageBreakBefore w:val="0"/>
        <w:widowControl w:val="0"/>
        <w:kinsoku/>
        <w:wordWrap/>
        <w:overflowPunct/>
        <w:topLinePunct w:val="0"/>
        <w:autoSpaceDE/>
        <w:autoSpaceDN/>
        <w:bidi w:val="0"/>
        <w:adjustRightInd/>
        <w:snapToGrid/>
        <w:spacing w:line="560" w:lineRule="exact"/>
        <w:textAlignment w:val="auto"/>
        <w:rPr>
          <w:sz w:val="32"/>
          <w:szCs w:val="24"/>
        </w:rPr>
      </w:pPr>
      <w:r>
        <w:rPr>
          <w:rFonts w:hint="eastAsia"/>
          <w:sz w:val="32"/>
          <w:szCs w:val="24"/>
        </w:rPr>
        <w:t>质量指标下设</w:t>
      </w:r>
      <w:r>
        <w:rPr>
          <w:rFonts w:hint="eastAsia"/>
          <w:sz w:val="32"/>
          <w:szCs w:val="24"/>
          <w:lang w:val="en-US" w:eastAsia="zh-CN"/>
        </w:rPr>
        <w:t>3</w:t>
      </w:r>
      <w:r>
        <w:rPr>
          <w:rFonts w:hint="eastAsia"/>
          <w:sz w:val="32"/>
          <w:szCs w:val="24"/>
        </w:rPr>
        <w:t>个三级指标，指标</w:t>
      </w:r>
      <w:r>
        <w:rPr>
          <w:rFonts w:hint="eastAsia"/>
          <w:sz w:val="32"/>
          <w:szCs w:val="24"/>
          <w:lang w:val="en-US" w:eastAsia="zh-CN"/>
        </w:rPr>
        <w:t>分值12</w:t>
      </w:r>
      <w:r>
        <w:rPr>
          <w:rFonts w:hint="eastAsia"/>
          <w:sz w:val="32"/>
          <w:szCs w:val="24"/>
        </w:rPr>
        <w:t>分，自评得分</w:t>
      </w:r>
      <w:r>
        <w:rPr>
          <w:rFonts w:hint="eastAsia"/>
          <w:sz w:val="32"/>
          <w:szCs w:val="24"/>
          <w:lang w:val="en-US" w:eastAsia="zh-CN"/>
        </w:rPr>
        <w:t>12</w:t>
      </w:r>
      <w:r>
        <w:rPr>
          <w:rFonts w:hint="eastAsia"/>
          <w:sz w:val="32"/>
          <w:szCs w:val="24"/>
        </w:rPr>
        <w:t>分，得分率为</w:t>
      </w:r>
      <w:r>
        <w:rPr>
          <w:rFonts w:hint="eastAsia"/>
          <w:sz w:val="32"/>
          <w:szCs w:val="24"/>
          <w:lang w:val="en-US" w:eastAsia="zh-CN"/>
        </w:rPr>
        <w:t>100%</w:t>
      </w:r>
      <w:r>
        <w:rPr>
          <w:rFonts w:hint="eastAsia"/>
          <w:sz w:val="32"/>
          <w:szCs w:val="24"/>
        </w:rPr>
        <w:t>。</w:t>
      </w:r>
    </w:p>
    <w:p w14:paraId="43BE4451">
      <w:pPr>
        <w:pageBreakBefore w:val="0"/>
        <w:widowControl w:val="0"/>
        <w:kinsoku/>
        <w:wordWrap/>
        <w:overflowPunct/>
        <w:topLinePunct w:val="0"/>
        <w:autoSpaceDE/>
        <w:autoSpaceDN/>
        <w:bidi w:val="0"/>
        <w:adjustRightInd/>
        <w:snapToGrid/>
        <w:spacing w:line="560" w:lineRule="exact"/>
        <w:ind w:firstLine="562"/>
        <w:textAlignment w:val="auto"/>
        <w:rPr>
          <w:rFonts w:hint="eastAsia"/>
          <w:b/>
          <w:bCs/>
          <w:sz w:val="32"/>
          <w:szCs w:val="24"/>
          <w:highlight w:val="none"/>
          <w:lang w:val="en-US" w:eastAsia="zh-CN"/>
        </w:rPr>
      </w:pPr>
      <w:r>
        <w:rPr>
          <w:rFonts w:hint="eastAsia"/>
          <w:b/>
          <w:bCs/>
          <w:sz w:val="32"/>
          <w:szCs w:val="24"/>
          <w:highlight w:val="none"/>
          <w:lang w:val="en-US" w:eastAsia="zh-CN"/>
        </w:rPr>
        <w:t>信息化运维服务验收合格率：</w:t>
      </w:r>
      <w:r>
        <w:rPr>
          <w:rFonts w:hint="eastAsia" w:hAnsi="宋体"/>
          <w:b w:val="0"/>
          <w:bCs w:val="0"/>
          <w:sz w:val="32"/>
          <w:szCs w:val="32"/>
          <w:lang w:val="en-US" w:eastAsia="zh-CN"/>
        </w:rPr>
        <w:t>我院信息化运维服务已完成并通过验收，</w:t>
      </w:r>
      <w:r>
        <w:rPr>
          <w:rFonts w:hint="eastAsia"/>
          <w:sz w:val="32"/>
          <w:szCs w:val="24"/>
          <w:lang w:eastAsia="zh-CN"/>
        </w:rPr>
        <w:t>达到年度指标值</w:t>
      </w:r>
      <w:r>
        <w:rPr>
          <w:rFonts w:hint="eastAsia"/>
          <w:sz w:val="32"/>
          <w:szCs w:val="24"/>
        </w:rPr>
        <w:t>。</w:t>
      </w:r>
      <w:r>
        <w:rPr>
          <w:rFonts w:hint="eastAsia" w:hAnsi="宋体"/>
          <w:sz w:val="32"/>
          <w:szCs w:val="32"/>
          <w:highlight w:val="none"/>
        </w:rPr>
        <w:t>该指标分值</w:t>
      </w:r>
      <w:r>
        <w:rPr>
          <w:rFonts w:hint="eastAsia" w:hAnsi="宋体"/>
          <w:b w:val="0"/>
          <w:bCs w:val="0"/>
          <w:sz w:val="32"/>
          <w:szCs w:val="32"/>
          <w:highlight w:val="none"/>
          <w:lang w:val="en-US" w:eastAsia="zh-CN"/>
        </w:rPr>
        <w:t>4</w:t>
      </w:r>
      <w:r>
        <w:rPr>
          <w:rFonts w:hint="eastAsia" w:hAnsi="宋体"/>
          <w:sz w:val="32"/>
          <w:szCs w:val="32"/>
          <w:highlight w:val="none"/>
        </w:rPr>
        <w:t>分，自评得分为</w:t>
      </w:r>
      <w:r>
        <w:rPr>
          <w:rFonts w:hint="eastAsia" w:hAnsi="宋体"/>
          <w:sz w:val="32"/>
          <w:szCs w:val="32"/>
          <w:highlight w:val="none"/>
          <w:lang w:val="en-US" w:eastAsia="zh-CN"/>
        </w:rPr>
        <w:t>4</w:t>
      </w:r>
      <w:r>
        <w:rPr>
          <w:rFonts w:hint="eastAsia" w:hAnsi="宋体"/>
          <w:sz w:val="32"/>
          <w:szCs w:val="32"/>
          <w:highlight w:val="none"/>
        </w:rPr>
        <w:t>分，得分率为</w:t>
      </w:r>
      <w:r>
        <w:rPr>
          <w:rFonts w:hint="eastAsia" w:hAnsi="宋体"/>
          <w:b w:val="0"/>
          <w:bCs w:val="0"/>
          <w:sz w:val="32"/>
          <w:szCs w:val="32"/>
          <w:highlight w:val="none"/>
          <w:lang w:val="en-US" w:eastAsia="zh-CN"/>
        </w:rPr>
        <w:t>100</w:t>
      </w:r>
      <w:r>
        <w:rPr>
          <w:rFonts w:hint="eastAsia" w:hAnsi="宋体"/>
          <w:b w:val="0"/>
          <w:bCs w:val="0"/>
          <w:sz w:val="32"/>
          <w:szCs w:val="32"/>
          <w:highlight w:val="none"/>
        </w:rPr>
        <w:t>%</w:t>
      </w:r>
      <w:r>
        <w:rPr>
          <w:rFonts w:hint="eastAsia" w:hAnsi="宋体"/>
          <w:b w:val="0"/>
          <w:bCs w:val="0"/>
          <w:sz w:val="32"/>
          <w:szCs w:val="32"/>
          <w:highlight w:val="none"/>
          <w:lang w:eastAsia="zh-CN"/>
        </w:rPr>
        <w:t>。</w:t>
      </w:r>
    </w:p>
    <w:p w14:paraId="2F10E9EC">
      <w:pPr>
        <w:pageBreakBefore w:val="0"/>
        <w:widowControl w:val="0"/>
        <w:kinsoku/>
        <w:wordWrap/>
        <w:overflowPunct/>
        <w:topLinePunct w:val="0"/>
        <w:autoSpaceDE/>
        <w:autoSpaceDN/>
        <w:bidi w:val="0"/>
        <w:adjustRightInd/>
        <w:snapToGrid/>
        <w:spacing w:line="560" w:lineRule="exact"/>
        <w:ind w:firstLine="562"/>
        <w:textAlignment w:val="auto"/>
        <w:rPr>
          <w:rFonts w:hint="eastAsia" w:eastAsia="仿宋_GB2312"/>
          <w:b/>
          <w:bCs/>
          <w:sz w:val="32"/>
          <w:szCs w:val="24"/>
          <w:highlight w:val="none"/>
          <w:lang w:val="en-US" w:eastAsia="zh-CN"/>
        </w:rPr>
      </w:pPr>
      <w:r>
        <w:rPr>
          <w:rFonts w:hint="eastAsia"/>
          <w:b/>
          <w:bCs/>
          <w:sz w:val="32"/>
          <w:szCs w:val="24"/>
          <w:highlight w:val="none"/>
          <w:lang w:val="en-US" w:eastAsia="zh-CN"/>
        </w:rPr>
        <w:t>一审服判息诉率：</w:t>
      </w:r>
      <w:r>
        <w:rPr>
          <w:rFonts w:hint="eastAsia"/>
          <w:b w:val="0"/>
          <w:bCs w:val="0"/>
          <w:sz w:val="32"/>
          <w:szCs w:val="24"/>
          <w:highlight w:val="none"/>
          <w:lang w:val="en-US" w:eastAsia="zh-CN"/>
        </w:rPr>
        <w:t>我院民商事案件结案率</w:t>
      </w:r>
      <w:r>
        <w:rPr>
          <w:rFonts w:hint="eastAsia" w:hAnsi="宋体" w:cstheme="minorBidi"/>
          <w:b w:val="0"/>
          <w:bCs w:val="0"/>
          <w:kern w:val="2"/>
          <w:sz w:val="32"/>
          <w:szCs w:val="32"/>
          <w:highlight w:val="none"/>
          <w:lang w:val="en-US" w:eastAsia="zh-CN" w:bidi="ar-SA"/>
        </w:rPr>
        <w:t>年度指标值≥90%，实际完成83.16%，</w:t>
      </w:r>
      <w:r>
        <w:rPr>
          <w:rFonts w:hint="eastAsia"/>
          <w:sz w:val="32"/>
          <w:szCs w:val="24"/>
          <w:highlight w:val="none"/>
          <w:lang w:eastAsia="zh-CN"/>
        </w:rPr>
        <w:t>达到年度指标值。</w:t>
      </w:r>
      <w:r>
        <w:rPr>
          <w:rFonts w:hint="eastAsia" w:hAnsi="宋体"/>
          <w:sz w:val="32"/>
          <w:szCs w:val="32"/>
          <w:highlight w:val="none"/>
        </w:rPr>
        <w:t>该指标分值</w:t>
      </w:r>
      <w:r>
        <w:rPr>
          <w:rFonts w:hint="eastAsia" w:hAnsi="宋体"/>
          <w:b w:val="0"/>
          <w:bCs w:val="0"/>
          <w:sz w:val="32"/>
          <w:szCs w:val="32"/>
          <w:highlight w:val="none"/>
          <w:lang w:val="en-US" w:eastAsia="zh-CN"/>
        </w:rPr>
        <w:t>4</w:t>
      </w:r>
      <w:r>
        <w:rPr>
          <w:rFonts w:hint="eastAsia" w:hAnsi="宋体"/>
          <w:sz w:val="32"/>
          <w:szCs w:val="32"/>
          <w:highlight w:val="none"/>
        </w:rPr>
        <w:t>分，自评得分为</w:t>
      </w:r>
      <w:r>
        <w:rPr>
          <w:rFonts w:hint="eastAsia" w:hAnsi="宋体"/>
          <w:sz w:val="32"/>
          <w:szCs w:val="32"/>
          <w:highlight w:val="none"/>
          <w:lang w:val="en-US" w:eastAsia="zh-CN"/>
        </w:rPr>
        <w:t>4</w:t>
      </w:r>
      <w:r>
        <w:rPr>
          <w:rFonts w:hint="eastAsia" w:hAnsi="宋体"/>
          <w:sz w:val="32"/>
          <w:szCs w:val="32"/>
          <w:highlight w:val="none"/>
        </w:rPr>
        <w:t>分，得分率为</w:t>
      </w:r>
      <w:r>
        <w:rPr>
          <w:rFonts w:hint="eastAsia" w:hAnsi="宋体"/>
          <w:b w:val="0"/>
          <w:bCs w:val="0"/>
          <w:sz w:val="32"/>
          <w:szCs w:val="32"/>
          <w:highlight w:val="none"/>
          <w:lang w:val="en-US" w:eastAsia="zh-CN"/>
        </w:rPr>
        <w:t>100</w:t>
      </w:r>
      <w:r>
        <w:rPr>
          <w:rFonts w:hint="eastAsia" w:hAnsi="宋体"/>
          <w:b w:val="0"/>
          <w:bCs w:val="0"/>
          <w:sz w:val="32"/>
          <w:szCs w:val="32"/>
          <w:highlight w:val="none"/>
        </w:rPr>
        <w:t>%</w:t>
      </w:r>
      <w:r>
        <w:rPr>
          <w:rFonts w:hint="eastAsia" w:hAnsi="宋体"/>
          <w:b w:val="0"/>
          <w:bCs w:val="0"/>
          <w:sz w:val="32"/>
          <w:szCs w:val="32"/>
          <w:highlight w:val="none"/>
          <w:lang w:eastAsia="zh-CN"/>
        </w:rPr>
        <w:t>。</w:t>
      </w:r>
    </w:p>
    <w:p w14:paraId="33A0E1D6">
      <w:pPr>
        <w:pageBreakBefore w:val="0"/>
        <w:widowControl w:val="0"/>
        <w:kinsoku/>
        <w:wordWrap/>
        <w:overflowPunct/>
        <w:topLinePunct w:val="0"/>
        <w:autoSpaceDE/>
        <w:autoSpaceDN/>
        <w:bidi w:val="0"/>
        <w:adjustRightInd/>
        <w:snapToGrid/>
        <w:spacing w:line="560" w:lineRule="exact"/>
        <w:ind w:firstLine="562"/>
        <w:textAlignment w:val="auto"/>
        <w:rPr>
          <w:rFonts w:hint="eastAsia" w:hAnsi="宋体" w:cstheme="minorBidi"/>
          <w:b w:val="0"/>
          <w:bCs w:val="0"/>
          <w:kern w:val="2"/>
          <w:sz w:val="32"/>
          <w:szCs w:val="32"/>
          <w:lang w:val="en-US" w:eastAsia="zh-CN" w:bidi="ar-SA"/>
        </w:rPr>
      </w:pPr>
      <w:r>
        <w:rPr>
          <w:rFonts w:hint="eastAsia"/>
          <w:b/>
          <w:bCs/>
          <w:sz w:val="32"/>
          <w:szCs w:val="24"/>
          <w:highlight w:val="none"/>
          <w:lang w:val="en-US" w:eastAsia="zh-CN"/>
        </w:rPr>
        <w:t>院机关物业管理合格率：</w:t>
      </w:r>
      <w:r>
        <w:rPr>
          <w:rFonts w:hint="eastAsia" w:hAnsi="宋体"/>
          <w:b w:val="0"/>
          <w:bCs w:val="0"/>
          <w:sz w:val="32"/>
          <w:szCs w:val="32"/>
          <w:highlight w:val="none"/>
          <w:lang w:val="en-US" w:eastAsia="zh-CN"/>
        </w:rPr>
        <w:t>我院机关物业服务工作已完成并通过验收，</w:t>
      </w:r>
      <w:r>
        <w:rPr>
          <w:rFonts w:hint="eastAsia"/>
          <w:sz w:val="32"/>
          <w:szCs w:val="24"/>
          <w:highlight w:val="none"/>
          <w:lang w:eastAsia="zh-CN"/>
        </w:rPr>
        <w:t>达到年度指标值</w:t>
      </w:r>
      <w:r>
        <w:rPr>
          <w:rFonts w:hint="eastAsia"/>
          <w:sz w:val="32"/>
          <w:szCs w:val="24"/>
          <w:highlight w:val="none"/>
        </w:rPr>
        <w:t>。</w:t>
      </w:r>
      <w:r>
        <w:rPr>
          <w:rFonts w:hint="eastAsia" w:hAnsi="宋体"/>
          <w:b w:val="0"/>
          <w:bCs w:val="0"/>
          <w:sz w:val="32"/>
          <w:szCs w:val="32"/>
          <w:highlight w:val="none"/>
        </w:rPr>
        <w:t>该指标分值</w:t>
      </w:r>
      <w:r>
        <w:rPr>
          <w:rFonts w:hint="eastAsia" w:hAnsi="宋体"/>
          <w:b w:val="0"/>
          <w:bCs w:val="0"/>
          <w:sz w:val="32"/>
          <w:szCs w:val="32"/>
          <w:highlight w:val="none"/>
          <w:lang w:val="en-US" w:eastAsia="zh-CN"/>
        </w:rPr>
        <w:t>4</w:t>
      </w:r>
      <w:r>
        <w:rPr>
          <w:rFonts w:hint="eastAsia" w:hAnsi="宋体"/>
          <w:b w:val="0"/>
          <w:bCs w:val="0"/>
          <w:sz w:val="32"/>
          <w:szCs w:val="32"/>
          <w:highlight w:val="none"/>
        </w:rPr>
        <w:t>分，自</w:t>
      </w:r>
      <w:r>
        <w:rPr>
          <w:rFonts w:hint="eastAsia" w:hAnsi="宋体"/>
          <w:sz w:val="32"/>
          <w:szCs w:val="32"/>
          <w:highlight w:val="none"/>
        </w:rPr>
        <w:t>评得分为</w:t>
      </w:r>
      <w:r>
        <w:rPr>
          <w:rFonts w:hint="eastAsia" w:hAnsi="宋体"/>
          <w:b w:val="0"/>
          <w:bCs w:val="0"/>
          <w:sz w:val="32"/>
          <w:szCs w:val="32"/>
          <w:highlight w:val="none"/>
          <w:lang w:val="en-US" w:eastAsia="zh-CN"/>
        </w:rPr>
        <w:t>4</w:t>
      </w:r>
      <w:r>
        <w:rPr>
          <w:rFonts w:hint="eastAsia" w:hAnsi="宋体"/>
          <w:sz w:val="32"/>
          <w:szCs w:val="32"/>
          <w:highlight w:val="none"/>
        </w:rPr>
        <w:t>分，</w:t>
      </w:r>
      <w:r>
        <w:rPr>
          <w:rFonts w:hint="eastAsia" w:hAnsi="宋体"/>
          <w:sz w:val="32"/>
          <w:szCs w:val="32"/>
        </w:rPr>
        <w:t>得分率为</w:t>
      </w:r>
      <w:r>
        <w:rPr>
          <w:rFonts w:hint="eastAsia" w:hAnsi="宋体"/>
          <w:sz w:val="32"/>
          <w:szCs w:val="32"/>
          <w:lang w:val="en-US" w:eastAsia="zh-CN"/>
        </w:rPr>
        <w:t>100</w:t>
      </w:r>
      <w:r>
        <w:rPr>
          <w:rFonts w:hint="eastAsia" w:hAnsi="宋体"/>
          <w:sz w:val="32"/>
          <w:szCs w:val="32"/>
        </w:rPr>
        <w:t>%</w:t>
      </w:r>
      <w:r>
        <w:rPr>
          <w:rFonts w:hint="eastAsia" w:hAnsi="宋体"/>
          <w:b w:val="0"/>
          <w:bCs w:val="0"/>
          <w:sz w:val="32"/>
          <w:szCs w:val="32"/>
        </w:rPr>
        <w:t>。</w:t>
      </w:r>
    </w:p>
    <w:p w14:paraId="12E5DA00">
      <w:pPr>
        <w:pStyle w:val="8"/>
        <w:pageBreakBefore w:val="0"/>
        <w:widowControl w:val="0"/>
        <w:kinsoku/>
        <w:wordWrap/>
        <w:overflowPunct/>
        <w:topLinePunct w:val="0"/>
        <w:autoSpaceDE/>
        <w:autoSpaceDN/>
        <w:bidi w:val="0"/>
        <w:adjustRightInd/>
        <w:snapToGrid/>
        <w:spacing w:line="560" w:lineRule="exact"/>
        <w:ind w:firstLine="560"/>
        <w:textAlignment w:val="auto"/>
        <w:rPr>
          <w:rFonts w:hint="eastAsia" w:ascii="Calibri" w:hAnsi="Calibri" w:eastAsia="仿宋_GB2312" w:cs="Calibri"/>
          <w:b/>
          <w:bCs/>
          <w:kern w:val="2"/>
          <w:sz w:val="32"/>
          <w:szCs w:val="32"/>
          <w:lang w:val="en-US" w:eastAsia="zh-CN" w:bidi="ar-SA"/>
        </w:rPr>
      </w:pPr>
      <w:r>
        <w:rPr>
          <w:rFonts w:hint="eastAsia" w:ascii="Calibri" w:hAnsi="Calibri" w:eastAsia="仿宋_GB2312" w:cs="Calibri"/>
          <w:b/>
          <w:bCs/>
          <w:kern w:val="2"/>
          <w:sz w:val="32"/>
          <w:szCs w:val="32"/>
          <w:lang w:val="en-US" w:eastAsia="zh-CN" w:bidi="ar-SA"/>
        </w:rPr>
        <w:t>③时效指标</w:t>
      </w:r>
    </w:p>
    <w:p w14:paraId="1CDC5B10">
      <w:pPr>
        <w:pageBreakBefore w:val="0"/>
        <w:widowControl w:val="0"/>
        <w:kinsoku/>
        <w:wordWrap/>
        <w:overflowPunct/>
        <w:topLinePunct w:val="0"/>
        <w:autoSpaceDE/>
        <w:autoSpaceDN/>
        <w:bidi w:val="0"/>
        <w:adjustRightInd/>
        <w:snapToGrid/>
        <w:spacing w:line="560" w:lineRule="exact"/>
        <w:ind w:firstLine="560"/>
        <w:textAlignment w:val="auto"/>
        <w:rPr>
          <w:rFonts w:hint="eastAsia"/>
          <w:sz w:val="32"/>
          <w:szCs w:val="24"/>
          <w:highlight w:val="none"/>
          <w:lang w:val="en-US" w:eastAsia="zh-CN"/>
        </w:rPr>
      </w:pPr>
      <w:r>
        <w:rPr>
          <w:rFonts w:hint="eastAsia"/>
          <w:sz w:val="32"/>
          <w:szCs w:val="24"/>
          <w:highlight w:val="none"/>
          <w:lang w:eastAsia="zh-CN"/>
        </w:rPr>
        <w:t>时效</w:t>
      </w:r>
      <w:r>
        <w:rPr>
          <w:rFonts w:hint="eastAsia"/>
          <w:sz w:val="32"/>
          <w:szCs w:val="24"/>
          <w:highlight w:val="none"/>
        </w:rPr>
        <w:t>指标下设</w:t>
      </w:r>
      <w:r>
        <w:rPr>
          <w:rFonts w:hint="eastAsia"/>
          <w:sz w:val="32"/>
          <w:szCs w:val="24"/>
          <w:highlight w:val="none"/>
          <w:lang w:val="en-US" w:eastAsia="zh-CN"/>
        </w:rPr>
        <w:t>4</w:t>
      </w:r>
      <w:r>
        <w:rPr>
          <w:rFonts w:hint="eastAsia"/>
          <w:sz w:val="32"/>
          <w:szCs w:val="24"/>
          <w:highlight w:val="none"/>
        </w:rPr>
        <w:t>个三级指标，</w:t>
      </w:r>
      <w:r>
        <w:rPr>
          <w:rFonts w:hint="eastAsia" w:hAnsi="宋体"/>
          <w:sz w:val="32"/>
          <w:szCs w:val="32"/>
          <w:highlight w:val="none"/>
        </w:rPr>
        <w:t>指标</w:t>
      </w:r>
      <w:r>
        <w:rPr>
          <w:rFonts w:hint="eastAsia" w:hAnsi="宋体"/>
          <w:sz w:val="32"/>
          <w:szCs w:val="32"/>
          <w:highlight w:val="none"/>
          <w:lang w:val="en-US" w:eastAsia="zh-CN"/>
        </w:rPr>
        <w:t>分值16</w:t>
      </w:r>
      <w:r>
        <w:rPr>
          <w:rFonts w:hint="eastAsia" w:hAnsi="宋体"/>
          <w:sz w:val="32"/>
          <w:szCs w:val="32"/>
          <w:highlight w:val="none"/>
        </w:rPr>
        <w:t>分，自评得分</w:t>
      </w:r>
      <w:r>
        <w:rPr>
          <w:rFonts w:hint="eastAsia" w:hAnsi="宋体"/>
          <w:sz w:val="32"/>
          <w:szCs w:val="32"/>
          <w:highlight w:val="none"/>
          <w:lang w:val="en-US" w:eastAsia="zh-CN"/>
        </w:rPr>
        <w:t>16</w:t>
      </w:r>
      <w:r>
        <w:rPr>
          <w:rFonts w:hint="eastAsia" w:hAnsi="宋体"/>
          <w:sz w:val="32"/>
          <w:szCs w:val="32"/>
          <w:highlight w:val="none"/>
        </w:rPr>
        <w:t>分，得分率为</w:t>
      </w:r>
      <w:r>
        <w:rPr>
          <w:rFonts w:hint="eastAsia" w:hAnsi="宋体"/>
          <w:sz w:val="32"/>
          <w:szCs w:val="32"/>
          <w:highlight w:val="none"/>
          <w:lang w:val="en-US" w:eastAsia="zh-CN"/>
        </w:rPr>
        <w:t>100</w:t>
      </w:r>
      <w:r>
        <w:rPr>
          <w:rFonts w:hint="eastAsia" w:hAnsi="宋体"/>
          <w:sz w:val="32"/>
          <w:szCs w:val="32"/>
          <w:highlight w:val="none"/>
        </w:rPr>
        <w:t>%。</w:t>
      </w:r>
    </w:p>
    <w:p w14:paraId="45600B5D">
      <w:pPr>
        <w:pageBreakBefore w:val="0"/>
        <w:widowControl w:val="0"/>
        <w:kinsoku/>
        <w:wordWrap/>
        <w:overflowPunct/>
        <w:topLinePunct w:val="0"/>
        <w:autoSpaceDE/>
        <w:autoSpaceDN/>
        <w:bidi w:val="0"/>
        <w:adjustRightInd/>
        <w:snapToGrid/>
        <w:spacing w:line="560" w:lineRule="exact"/>
        <w:ind w:firstLine="562"/>
        <w:textAlignment w:val="auto"/>
        <w:rPr>
          <w:rFonts w:hint="eastAsia" w:hAnsi="宋体"/>
          <w:sz w:val="32"/>
          <w:szCs w:val="32"/>
          <w:lang w:eastAsia="zh-CN"/>
        </w:rPr>
      </w:pPr>
      <w:r>
        <w:rPr>
          <w:rFonts w:hint="eastAsia" w:ascii="仿宋_GB2312" w:hAnsi="仿宋_GB2312" w:eastAsia="仿宋_GB2312" w:cstheme="minorBidi"/>
          <w:b/>
          <w:bCs/>
          <w:kern w:val="2"/>
          <w:sz w:val="32"/>
          <w:szCs w:val="32"/>
          <w:highlight w:val="none"/>
          <w:lang w:val="en-US" w:eastAsia="zh-CN" w:bidi="ar-SA"/>
        </w:rPr>
        <w:t>办案经费支付及时率</w:t>
      </w:r>
      <w:r>
        <w:rPr>
          <w:rFonts w:hint="eastAsia" w:cstheme="minorBidi"/>
          <w:b/>
          <w:bCs/>
          <w:kern w:val="2"/>
          <w:sz w:val="32"/>
          <w:szCs w:val="32"/>
          <w:highlight w:val="none"/>
          <w:lang w:val="en-US" w:eastAsia="zh-CN" w:bidi="ar-SA"/>
        </w:rPr>
        <w:t>：</w:t>
      </w:r>
      <w:r>
        <w:rPr>
          <w:rFonts w:hint="eastAsia" w:hAnsi="宋体"/>
          <w:b w:val="0"/>
          <w:bCs w:val="0"/>
          <w:sz w:val="32"/>
          <w:szCs w:val="32"/>
          <w:lang w:val="en-US" w:eastAsia="zh-CN"/>
        </w:rPr>
        <w:t>我院办案经费支付及时，</w:t>
      </w:r>
      <w:r>
        <w:rPr>
          <w:rFonts w:hint="eastAsia" w:hAnsi="宋体"/>
          <w:sz w:val="32"/>
          <w:szCs w:val="32"/>
          <w:lang w:val="en-US" w:eastAsia="zh-CN"/>
        </w:rPr>
        <w:t>保障日常工作正常开展，</w:t>
      </w:r>
      <w:r>
        <w:rPr>
          <w:rFonts w:hint="eastAsia"/>
          <w:sz w:val="32"/>
          <w:szCs w:val="24"/>
          <w:lang w:eastAsia="zh-CN"/>
        </w:rPr>
        <w:t>达到年度指标值</w:t>
      </w:r>
      <w:r>
        <w:rPr>
          <w:rFonts w:hint="eastAsia"/>
          <w:sz w:val="32"/>
          <w:szCs w:val="24"/>
        </w:rPr>
        <w:t>。</w:t>
      </w:r>
      <w:r>
        <w:rPr>
          <w:rFonts w:hint="eastAsia" w:hAnsi="宋体"/>
          <w:b w:val="0"/>
          <w:bCs w:val="0"/>
          <w:sz w:val="32"/>
          <w:szCs w:val="32"/>
        </w:rPr>
        <w:t>该指标分值</w:t>
      </w:r>
      <w:r>
        <w:rPr>
          <w:rFonts w:hint="eastAsia" w:hAnsi="宋体"/>
          <w:b w:val="0"/>
          <w:bCs w:val="0"/>
          <w:sz w:val="32"/>
          <w:szCs w:val="32"/>
          <w:lang w:val="en-US" w:eastAsia="zh-CN"/>
        </w:rPr>
        <w:t>4</w:t>
      </w:r>
      <w:r>
        <w:rPr>
          <w:rFonts w:hint="eastAsia" w:hAnsi="宋体"/>
          <w:b w:val="0"/>
          <w:bCs w:val="0"/>
          <w:sz w:val="32"/>
          <w:szCs w:val="32"/>
        </w:rPr>
        <w:t>分，自</w:t>
      </w:r>
      <w:r>
        <w:rPr>
          <w:rFonts w:hint="eastAsia" w:hAnsi="宋体"/>
          <w:sz w:val="32"/>
          <w:szCs w:val="32"/>
        </w:rPr>
        <w:t>评得分为</w:t>
      </w:r>
      <w:r>
        <w:rPr>
          <w:rFonts w:hint="eastAsia" w:hAnsi="宋体"/>
          <w:b w:val="0"/>
          <w:bCs w:val="0"/>
          <w:sz w:val="32"/>
          <w:szCs w:val="32"/>
          <w:lang w:val="en-US" w:eastAsia="zh-CN"/>
        </w:rPr>
        <w:t>4</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r>
        <w:rPr>
          <w:rFonts w:hint="eastAsia" w:hAnsi="宋体"/>
          <w:sz w:val="32"/>
          <w:szCs w:val="32"/>
          <w:lang w:eastAsia="zh-CN"/>
        </w:rPr>
        <w:t>。</w:t>
      </w:r>
    </w:p>
    <w:p w14:paraId="54C9E05A">
      <w:pPr>
        <w:pageBreakBefore w:val="0"/>
        <w:widowControl w:val="0"/>
        <w:kinsoku/>
        <w:wordWrap/>
        <w:overflowPunct/>
        <w:topLinePunct w:val="0"/>
        <w:autoSpaceDE/>
        <w:autoSpaceDN/>
        <w:bidi w:val="0"/>
        <w:adjustRightInd/>
        <w:snapToGrid/>
        <w:spacing w:line="560" w:lineRule="exact"/>
        <w:ind w:firstLine="562"/>
        <w:textAlignment w:val="auto"/>
        <w:rPr>
          <w:rFonts w:hint="eastAsia"/>
          <w:b/>
          <w:bCs/>
          <w:sz w:val="32"/>
          <w:szCs w:val="24"/>
        </w:rPr>
      </w:pPr>
      <w:r>
        <w:rPr>
          <w:rFonts w:hint="eastAsia" w:ascii="仿宋_GB2312" w:hAnsi="仿宋_GB2312" w:eastAsia="仿宋_GB2312" w:cstheme="minorBidi"/>
          <w:b/>
          <w:bCs/>
          <w:kern w:val="2"/>
          <w:sz w:val="32"/>
          <w:szCs w:val="32"/>
          <w:highlight w:val="none"/>
          <w:lang w:val="en-US" w:eastAsia="zh-CN" w:bidi="ar-SA"/>
        </w:rPr>
        <w:t>法定审限内结案率</w:t>
      </w:r>
      <w:r>
        <w:rPr>
          <w:rFonts w:hint="eastAsia" w:cstheme="minorBidi"/>
          <w:b/>
          <w:bCs/>
          <w:kern w:val="2"/>
          <w:sz w:val="32"/>
          <w:szCs w:val="32"/>
          <w:highlight w:val="none"/>
          <w:lang w:val="en-US" w:eastAsia="zh-CN" w:bidi="ar-SA"/>
        </w:rPr>
        <w:t>：</w:t>
      </w:r>
      <w:r>
        <w:rPr>
          <w:rFonts w:hint="eastAsia" w:cstheme="minorBidi"/>
          <w:b w:val="0"/>
          <w:bCs w:val="0"/>
          <w:kern w:val="2"/>
          <w:sz w:val="32"/>
          <w:szCs w:val="32"/>
          <w:highlight w:val="none"/>
          <w:lang w:val="en-US" w:eastAsia="zh-CN" w:bidi="ar-SA"/>
        </w:rPr>
        <w:t>我院</w:t>
      </w:r>
      <w:r>
        <w:rPr>
          <w:rFonts w:hint="eastAsia"/>
          <w:sz w:val="32"/>
          <w:szCs w:val="24"/>
          <w:lang w:val="en-US" w:eastAsia="zh-CN"/>
        </w:rPr>
        <w:t>各项审判执行质效指标持续保持高位运行，</w:t>
      </w:r>
      <w:r>
        <w:rPr>
          <w:rFonts w:hint="eastAsia" w:ascii="仿宋_GB2312" w:hAnsi="仿宋_GB2312" w:eastAsia="仿宋_GB2312" w:cstheme="minorBidi"/>
          <w:b w:val="0"/>
          <w:bCs w:val="0"/>
          <w:kern w:val="2"/>
          <w:sz w:val="32"/>
          <w:szCs w:val="32"/>
          <w:highlight w:val="none"/>
          <w:lang w:val="en-US" w:eastAsia="zh-CN" w:bidi="ar-SA"/>
        </w:rPr>
        <w:t>法定审限内结案率</w:t>
      </w:r>
      <w:r>
        <w:rPr>
          <w:rFonts w:hint="eastAsia"/>
          <w:b w:val="0"/>
          <w:bCs w:val="0"/>
          <w:sz w:val="32"/>
          <w:szCs w:val="24"/>
          <w:lang w:val="en-US" w:eastAsia="zh-CN"/>
        </w:rPr>
        <w:t>100%，</w:t>
      </w:r>
      <w:r>
        <w:rPr>
          <w:rFonts w:hint="eastAsia"/>
          <w:sz w:val="32"/>
          <w:szCs w:val="24"/>
          <w:lang w:eastAsia="zh-CN"/>
        </w:rPr>
        <w:t>达到年度指标值</w:t>
      </w:r>
      <w:r>
        <w:rPr>
          <w:rFonts w:hint="eastAsia"/>
          <w:sz w:val="32"/>
          <w:szCs w:val="24"/>
        </w:rPr>
        <w:t>。</w:t>
      </w:r>
      <w:r>
        <w:rPr>
          <w:rFonts w:hint="eastAsia" w:hAnsi="宋体"/>
          <w:sz w:val="32"/>
          <w:szCs w:val="32"/>
        </w:rPr>
        <w:t>该指标分值</w:t>
      </w:r>
      <w:r>
        <w:rPr>
          <w:rFonts w:hint="eastAsia" w:hAnsi="宋体"/>
          <w:sz w:val="32"/>
          <w:szCs w:val="32"/>
          <w:lang w:val="en-US" w:eastAsia="zh-CN"/>
        </w:rPr>
        <w:t>4</w:t>
      </w:r>
      <w:r>
        <w:rPr>
          <w:rFonts w:hint="eastAsia" w:hAnsi="宋体"/>
          <w:sz w:val="32"/>
          <w:szCs w:val="32"/>
        </w:rPr>
        <w:t>分，自评得分为</w:t>
      </w:r>
      <w:r>
        <w:rPr>
          <w:rFonts w:hint="eastAsia" w:hAnsi="宋体"/>
          <w:sz w:val="32"/>
          <w:szCs w:val="32"/>
          <w:lang w:val="en-US" w:eastAsia="zh-CN"/>
        </w:rPr>
        <w:t>4</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2C7307C6">
      <w:pPr>
        <w:pageBreakBefore w:val="0"/>
        <w:widowControl w:val="0"/>
        <w:kinsoku/>
        <w:wordWrap/>
        <w:overflowPunct/>
        <w:topLinePunct w:val="0"/>
        <w:autoSpaceDE/>
        <w:autoSpaceDN/>
        <w:bidi w:val="0"/>
        <w:adjustRightInd/>
        <w:snapToGrid/>
        <w:spacing w:line="560" w:lineRule="exact"/>
        <w:ind w:firstLine="562"/>
        <w:textAlignment w:val="auto"/>
        <w:rPr>
          <w:rFonts w:hint="eastAsia" w:hAnsi="宋体" w:cstheme="minorBidi"/>
          <w:b/>
          <w:bCs/>
          <w:kern w:val="2"/>
          <w:sz w:val="32"/>
          <w:szCs w:val="32"/>
          <w:lang w:val="en-US" w:eastAsia="zh-CN" w:bidi="ar-SA"/>
        </w:rPr>
      </w:pPr>
      <w:r>
        <w:rPr>
          <w:rFonts w:hint="eastAsia" w:hAnsi="宋体" w:cstheme="minorBidi"/>
          <w:b/>
          <w:bCs/>
          <w:kern w:val="2"/>
          <w:sz w:val="32"/>
          <w:szCs w:val="32"/>
          <w:lang w:val="en-US" w:eastAsia="zh-CN" w:bidi="ar-SA"/>
        </w:rPr>
        <w:t>信息化运维工作及时性</w:t>
      </w:r>
      <w:r>
        <w:rPr>
          <w:rFonts w:hint="eastAsia" w:cstheme="minorBidi"/>
          <w:b/>
          <w:bCs/>
          <w:kern w:val="2"/>
          <w:sz w:val="32"/>
          <w:szCs w:val="32"/>
          <w:highlight w:val="none"/>
          <w:lang w:val="en-US" w:eastAsia="zh-CN" w:bidi="ar-SA"/>
        </w:rPr>
        <w:t>：</w:t>
      </w:r>
      <w:r>
        <w:rPr>
          <w:rFonts w:hint="eastAsia" w:hAnsi="宋体"/>
          <w:b w:val="0"/>
          <w:bCs w:val="0"/>
          <w:sz w:val="32"/>
          <w:szCs w:val="32"/>
          <w:lang w:val="en-US" w:eastAsia="zh-CN"/>
        </w:rPr>
        <w:t>我院信息化运维工作开展及时，保障信息化系统正常运转，</w:t>
      </w:r>
      <w:r>
        <w:rPr>
          <w:rFonts w:hint="eastAsia"/>
          <w:sz w:val="32"/>
          <w:szCs w:val="24"/>
          <w:lang w:eastAsia="zh-CN"/>
        </w:rPr>
        <w:t>达到年度指标值</w:t>
      </w:r>
      <w:r>
        <w:rPr>
          <w:rFonts w:hint="eastAsia"/>
          <w:sz w:val="32"/>
          <w:szCs w:val="24"/>
        </w:rPr>
        <w:t>。</w:t>
      </w:r>
      <w:r>
        <w:rPr>
          <w:rFonts w:hint="eastAsia" w:hAnsi="宋体"/>
          <w:sz w:val="32"/>
          <w:szCs w:val="32"/>
        </w:rPr>
        <w:t>该指标分值4分，自评得分为4分，得分率为100%</w:t>
      </w:r>
      <w:r>
        <w:rPr>
          <w:rFonts w:hint="eastAsia" w:hAnsi="宋体"/>
          <w:b w:val="0"/>
          <w:bCs w:val="0"/>
          <w:sz w:val="32"/>
          <w:szCs w:val="32"/>
        </w:rPr>
        <w:t>。</w:t>
      </w:r>
    </w:p>
    <w:p w14:paraId="1BEB3E97">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hAnsi="宋体" w:eastAsia="仿宋_GB2312" w:cstheme="minorBidi"/>
          <w:b/>
          <w:bCs/>
          <w:kern w:val="2"/>
          <w:sz w:val="32"/>
          <w:szCs w:val="32"/>
          <w:lang w:val="en-US" w:eastAsia="zh-CN" w:bidi="ar-SA"/>
        </w:rPr>
      </w:pPr>
      <w:r>
        <w:rPr>
          <w:rFonts w:hint="eastAsia" w:hAnsi="宋体" w:cstheme="minorBidi"/>
          <w:b/>
          <w:bCs/>
          <w:kern w:val="2"/>
          <w:sz w:val="32"/>
          <w:szCs w:val="32"/>
          <w:lang w:val="en-US" w:eastAsia="zh-CN" w:bidi="ar-SA"/>
        </w:rPr>
        <w:t>院机关物业服务工作开展及时性</w:t>
      </w:r>
      <w:r>
        <w:rPr>
          <w:rFonts w:hint="eastAsia" w:cstheme="minorBidi"/>
          <w:b/>
          <w:bCs/>
          <w:kern w:val="2"/>
          <w:sz w:val="32"/>
          <w:szCs w:val="32"/>
          <w:highlight w:val="none"/>
          <w:lang w:val="en-US" w:eastAsia="zh-CN" w:bidi="ar-SA"/>
        </w:rPr>
        <w:t>：</w:t>
      </w:r>
      <w:r>
        <w:rPr>
          <w:rFonts w:hint="eastAsia" w:cstheme="minorBidi"/>
          <w:b w:val="0"/>
          <w:bCs w:val="0"/>
          <w:kern w:val="2"/>
          <w:sz w:val="32"/>
          <w:szCs w:val="32"/>
          <w:highlight w:val="none"/>
          <w:lang w:val="en-US" w:eastAsia="zh-CN" w:bidi="ar-SA"/>
        </w:rPr>
        <w:t>我院机关</w:t>
      </w:r>
      <w:r>
        <w:rPr>
          <w:rFonts w:hint="eastAsia" w:hAnsi="宋体" w:cstheme="minorBidi"/>
          <w:b w:val="0"/>
          <w:bCs w:val="0"/>
          <w:kern w:val="2"/>
          <w:sz w:val="32"/>
          <w:szCs w:val="32"/>
          <w:lang w:val="en-US" w:eastAsia="zh-CN" w:bidi="ar-SA"/>
        </w:rPr>
        <w:t>物业服务开展</w:t>
      </w:r>
      <w:r>
        <w:rPr>
          <w:rFonts w:hint="eastAsia" w:hAnsi="宋体"/>
          <w:sz w:val="32"/>
          <w:szCs w:val="32"/>
          <w:lang w:val="en-US" w:eastAsia="zh-CN"/>
        </w:rPr>
        <w:t>及时，</w:t>
      </w:r>
      <w:r>
        <w:rPr>
          <w:rFonts w:hint="eastAsia" w:hAnsi="宋体" w:cstheme="minorBidi"/>
          <w:b w:val="0"/>
          <w:bCs w:val="0"/>
          <w:kern w:val="2"/>
          <w:sz w:val="32"/>
          <w:szCs w:val="32"/>
          <w:lang w:val="en-US" w:eastAsia="zh-CN" w:bidi="ar-SA"/>
        </w:rPr>
        <w:t>保障单位各项业务正常开展，</w:t>
      </w:r>
      <w:r>
        <w:rPr>
          <w:rFonts w:hint="eastAsia"/>
          <w:sz w:val="32"/>
          <w:szCs w:val="24"/>
          <w:lang w:eastAsia="zh-CN"/>
        </w:rPr>
        <w:t>达到年度指标值</w:t>
      </w:r>
      <w:r>
        <w:rPr>
          <w:rFonts w:hint="eastAsia"/>
          <w:sz w:val="32"/>
          <w:szCs w:val="24"/>
        </w:rPr>
        <w:t>。</w:t>
      </w:r>
      <w:r>
        <w:rPr>
          <w:rFonts w:hint="eastAsia" w:hAnsi="宋体"/>
          <w:sz w:val="32"/>
          <w:szCs w:val="32"/>
        </w:rPr>
        <w:t>该指标分值4分，自评得分为4分，得分率为100%</w:t>
      </w:r>
      <w:r>
        <w:rPr>
          <w:rFonts w:hint="eastAsia" w:hAnsi="宋体"/>
          <w:b w:val="0"/>
          <w:bCs w:val="0"/>
          <w:sz w:val="32"/>
          <w:szCs w:val="32"/>
        </w:rPr>
        <w:t>。</w:t>
      </w:r>
    </w:p>
    <w:p w14:paraId="1A6471F1">
      <w:pPr>
        <w:pageBreakBefore w:val="0"/>
        <w:widowControl w:val="0"/>
        <w:kinsoku/>
        <w:wordWrap/>
        <w:overflowPunct/>
        <w:topLinePunct w:val="0"/>
        <w:autoSpaceDE/>
        <w:autoSpaceDN/>
        <w:bidi w:val="0"/>
        <w:adjustRightInd/>
        <w:snapToGrid/>
        <w:spacing w:line="560" w:lineRule="exact"/>
        <w:ind w:firstLine="562"/>
        <w:textAlignment w:val="auto"/>
        <w:rPr>
          <w:b/>
          <w:bCs/>
          <w:sz w:val="32"/>
          <w:szCs w:val="32"/>
        </w:rPr>
      </w:pPr>
      <w:r>
        <w:rPr>
          <w:rFonts w:hint="eastAsia"/>
          <w:b/>
          <w:bCs/>
          <w:sz w:val="32"/>
          <w:szCs w:val="32"/>
        </w:rPr>
        <w:t>（2）效益指标</w:t>
      </w:r>
    </w:p>
    <w:p w14:paraId="28FDCA1C">
      <w:pPr>
        <w:pageBreakBefore w:val="0"/>
        <w:widowControl w:val="0"/>
        <w:kinsoku/>
        <w:wordWrap/>
        <w:overflowPunct/>
        <w:topLinePunct w:val="0"/>
        <w:autoSpaceDE/>
        <w:autoSpaceDN/>
        <w:bidi w:val="0"/>
        <w:adjustRightInd/>
        <w:snapToGrid/>
        <w:spacing w:line="560" w:lineRule="exact"/>
        <w:ind w:firstLine="560"/>
        <w:textAlignment w:val="auto"/>
        <w:rPr>
          <w:rFonts w:hint="eastAsia"/>
          <w:sz w:val="32"/>
          <w:szCs w:val="32"/>
        </w:rPr>
      </w:pPr>
      <w:r>
        <w:rPr>
          <w:rFonts w:hint="eastAsia"/>
          <w:sz w:val="32"/>
          <w:szCs w:val="32"/>
        </w:rPr>
        <w:t>本项目效益指标主要考虑</w:t>
      </w:r>
      <w:r>
        <w:rPr>
          <w:rFonts w:hint="eastAsia"/>
          <w:sz w:val="32"/>
          <w:szCs w:val="32"/>
          <w:lang w:val="en-US" w:eastAsia="zh-CN"/>
        </w:rPr>
        <w:t>经济效益和</w:t>
      </w:r>
      <w:r>
        <w:rPr>
          <w:rFonts w:hint="eastAsia"/>
          <w:sz w:val="32"/>
          <w:szCs w:val="32"/>
        </w:rPr>
        <w:t>社会效益</w:t>
      </w:r>
      <w:r>
        <w:rPr>
          <w:rFonts w:hint="eastAsia"/>
          <w:sz w:val="32"/>
          <w:szCs w:val="32"/>
          <w:lang w:val="en-US" w:eastAsia="zh-CN"/>
        </w:rPr>
        <w:t>两</w:t>
      </w:r>
      <w:r>
        <w:rPr>
          <w:rFonts w:hint="eastAsia"/>
          <w:sz w:val="32"/>
          <w:szCs w:val="32"/>
        </w:rPr>
        <w:t>部分</w:t>
      </w:r>
      <w:r>
        <w:rPr>
          <w:rFonts w:hint="eastAsia"/>
          <w:sz w:val="32"/>
          <w:szCs w:val="32"/>
          <w:lang w:eastAsia="zh-CN"/>
        </w:rPr>
        <w:t>，</w:t>
      </w:r>
      <w:r>
        <w:rPr>
          <w:rFonts w:hint="eastAsia"/>
          <w:sz w:val="32"/>
          <w:szCs w:val="32"/>
        </w:rPr>
        <w:t>总分值</w:t>
      </w:r>
      <w:r>
        <w:rPr>
          <w:rFonts w:hint="eastAsia"/>
          <w:sz w:val="32"/>
          <w:szCs w:val="32"/>
          <w:lang w:val="en-US" w:eastAsia="zh-CN"/>
        </w:rPr>
        <w:t>20</w:t>
      </w:r>
      <w:r>
        <w:rPr>
          <w:rFonts w:hint="eastAsia"/>
          <w:sz w:val="32"/>
          <w:szCs w:val="32"/>
        </w:rPr>
        <w:t>分，得分</w:t>
      </w:r>
      <w:r>
        <w:rPr>
          <w:rFonts w:hint="eastAsia"/>
          <w:sz w:val="32"/>
          <w:szCs w:val="32"/>
          <w:lang w:val="en-US" w:eastAsia="zh-CN"/>
        </w:rPr>
        <w:t>19.05</w:t>
      </w:r>
      <w:r>
        <w:rPr>
          <w:rFonts w:hint="eastAsia"/>
          <w:sz w:val="32"/>
          <w:szCs w:val="32"/>
        </w:rPr>
        <w:t>分，得分率</w:t>
      </w:r>
      <w:r>
        <w:rPr>
          <w:rFonts w:hint="eastAsia"/>
          <w:sz w:val="32"/>
          <w:szCs w:val="32"/>
          <w:lang w:val="en-US" w:eastAsia="zh-CN"/>
        </w:rPr>
        <w:t>95.10</w:t>
      </w:r>
      <w:r>
        <w:rPr>
          <w:rFonts w:hint="eastAsia"/>
          <w:sz w:val="32"/>
          <w:szCs w:val="32"/>
        </w:rPr>
        <w:t>%。</w:t>
      </w:r>
    </w:p>
    <w:p w14:paraId="49EE9CCD">
      <w:pPr>
        <w:pageBreakBefore w:val="0"/>
        <w:widowControl w:val="0"/>
        <w:kinsoku/>
        <w:wordWrap/>
        <w:overflowPunct/>
        <w:topLinePunct w:val="0"/>
        <w:autoSpaceDE/>
        <w:autoSpaceDN/>
        <w:bidi w:val="0"/>
        <w:adjustRightInd/>
        <w:snapToGrid/>
        <w:spacing w:line="560" w:lineRule="exact"/>
        <w:ind w:firstLine="562"/>
        <w:textAlignment w:val="auto"/>
        <w:rPr>
          <w:rFonts w:hint="eastAsia"/>
          <w:b/>
          <w:bCs/>
          <w:sz w:val="32"/>
          <w:szCs w:val="32"/>
          <w:highlight w:val="none"/>
          <w:lang w:eastAsia="zh-CN"/>
        </w:rPr>
      </w:pPr>
      <w:r>
        <w:rPr>
          <w:rFonts w:hint="eastAsia"/>
          <w:b/>
          <w:bCs/>
          <w:sz w:val="32"/>
          <w:szCs w:val="32"/>
          <w:highlight w:val="none"/>
        </w:rPr>
        <w:t>①</w:t>
      </w:r>
      <w:r>
        <w:rPr>
          <w:rFonts w:hint="eastAsia"/>
          <w:b/>
          <w:bCs/>
          <w:sz w:val="32"/>
          <w:szCs w:val="32"/>
          <w:highlight w:val="none"/>
          <w:lang w:val="en-US" w:eastAsia="zh-CN"/>
        </w:rPr>
        <w:t>经济</w:t>
      </w:r>
      <w:r>
        <w:rPr>
          <w:rFonts w:hint="eastAsia"/>
          <w:b/>
          <w:bCs/>
          <w:sz w:val="32"/>
          <w:szCs w:val="32"/>
          <w:highlight w:val="none"/>
          <w:lang w:eastAsia="zh-CN"/>
        </w:rPr>
        <w:t>效益指标</w:t>
      </w:r>
    </w:p>
    <w:p w14:paraId="3C1C369F">
      <w:pPr>
        <w:pageBreakBefore w:val="0"/>
        <w:widowControl w:val="0"/>
        <w:kinsoku/>
        <w:wordWrap/>
        <w:overflowPunct/>
        <w:topLinePunct w:val="0"/>
        <w:autoSpaceDE/>
        <w:autoSpaceDN/>
        <w:bidi w:val="0"/>
        <w:adjustRightInd/>
        <w:snapToGrid/>
        <w:spacing w:line="560" w:lineRule="exact"/>
        <w:ind w:firstLine="560"/>
        <w:textAlignment w:val="auto"/>
        <w:rPr>
          <w:rFonts w:hint="eastAsia" w:hAnsi="宋体"/>
          <w:sz w:val="32"/>
          <w:szCs w:val="32"/>
          <w:highlight w:val="none"/>
        </w:rPr>
      </w:pPr>
      <w:r>
        <w:rPr>
          <w:rFonts w:hint="eastAsia"/>
          <w:sz w:val="32"/>
          <w:szCs w:val="32"/>
          <w:highlight w:val="none"/>
          <w:lang w:val="en-US" w:eastAsia="zh-CN"/>
        </w:rPr>
        <w:t>经济</w:t>
      </w:r>
      <w:r>
        <w:rPr>
          <w:rFonts w:hint="eastAsia"/>
          <w:sz w:val="32"/>
          <w:szCs w:val="32"/>
          <w:highlight w:val="none"/>
        </w:rPr>
        <w:t>效益</w:t>
      </w:r>
      <w:r>
        <w:rPr>
          <w:rFonts w:hint="eastAsia"/>
          <w:sz w:val="32"/>
          <w:szCs w:val="24"/>
          <w:highlight w:val="none"/>
          <w:lang w:eastAsia="zh-CN"/>
        </w:rPr>
        <w:t>指标</w:t>
      </w:r>
      <w:r>
        <w:rPr>
          <w:rFonts w:hint="eastAsia"/>
          <w:sz w:val="32"/>
          <w:szCs w:val="24"/>
          <w:highlight w:val="none"/>
        </w:rPr>
        <w:t>下设</w:t>
      </w:r>
      <w:r>
        <w:rPr>
          <w:rFonts w:hint="eastAsia"/>
          <w:sz w:val="32"/>
          <w:szCs w:val="24"/>
          <w:highlight w:val="none"/>
          <w:lang w:val="en-US" w:eastAsia="zh-CN"/>
        </w:rPr>
        <w:t>1</w:t>
      </w:r>
      <w:r>
        <w:rPr>
          <w:rFonts w:hint="eastAsia"/>
          <w:sz w:val="32"/>
          <w:szCs w:val="24"/>
          <w:highlight w:val="none"/>
        </w:rPr>
        <w:t>个三级指标，</w:t>
      </w:r>
      <w:r>
        <w:rPr>
          <w:rFonts w:hint="eastAsia" w:hAnsi="宋体"/>
          <w:sz w:val="32"/>
          <w:szCs w:val="32"/>
          <w:highlight w:val="none"/>
        </w:rPr>
        <w:t>指标</w:t>
      </w:r>
      <w:r>
        <w:rPr>
          <w:rFonts w:hint="eastAsia" w:hAnsi="宋体"/>
          <w:sz w:val="32"/>
          <w:szCs w:val="32"/>
          <w:highlight w:val="none"/>
          <w:lang w:val="en-US" w:eastAsia="zh-CN"/>
        </w:rPr>
        <w:t>分值6.68</w:t>
      </w:r>
      <w:r>
        <w:rPr>
          <w:rFonts w:hint="eastAsia" w:hAnsi="宋体"/>
          <w:sz w:val="32"/>
          <w:szCs w:val="32"/>
          <w:highlight w:val="none"/>
        </w:rPr>
        <w:t>分，自评得分</w:t>
      </w:r>
      <w:r>
        <w:rPr>
          <w:rFonts w:hint="eastAsia" w:hAnsi="宋体"/>
          <w:sz w:val="32"/>
          <w:szCs w:val="32"/>
          <w:highlight w:val="none"/>
          <w:lang w:val="en-US" w:eastAsia="zh-CN"/>
        </w:rPr>
        <w:t>6.68</w:t>
      </w:r>
      <w:r>
        <w:rPr>
          <w:rFonts w:hint="eastAsia" w:hAnsi="宋体"/>
          <w:sz w:val="32"/>
          <w:szCs w:val="32"/>
          <w:highlight w:val="none"/>
        </w:rPr>
        <w:t>分，得分率为</w:t>
      </w:r>
      <w:r>
        <w:rPr>
          <w:rFonts w:hint="eastAsia"/>
          <w:sz w:val="32"/>
          <w:szCs w:val="32"/>
          <w:highlight w:val="none"/>
          <w:lang w:val="en-US" w:eastAsia="zh-CN"/>
        </w:rPr>
        <w:t>100</w:t>
      </w:r>
      <w:r>
        <w:rPr>
          <w:rFonts w:hint="eastAsia" w:hAnsi="宋体"/>
          <w:sz w:val="32"/>
          <w:szCs w:val="32"/>
          <w:highlight w:val="none"/>
        </w:rPr>
        <w:t>%。</w:t>
      </w:r>
    </w:p>
    <w:p w14:paraId="7BF545AB">
      <w:pPr>
        <w:pageBreakBefore w:val="0"/>
        <w:widowControl w:val="0"/>
        <w:kinsoku/>
        <w:wordWrap/>
        <w:overflowPunct/>
        <w:topLinePunct w:val="0"/>
        <w:autoSpaceDE/>
        <w:autoSpaceDN/>
        <w:bidi w:val="0"/>
        <w:adjustRightInd/>
        <w:snapToGrid/>
        <w:spacing w:line="560" w:lineRule="exact"/>
        <w:ind w:firstLine="562"/>
        <w:textAlignment w:val="auto"/>
        <w:rPr>
          <w:rFonts w:hint="eastAsia"/>
          <w:b/>
          <w:bCs/>
          <w:sz w:val="32"/>
          <w:szCs w:val="24"/>
          <w:lang w:val="en-US" w:eastAsia="zh-CN"/>
        </w:rPr>
      </w:pPr>
      <w:r>
        <w:rPr>
          <w:rFonts w:hint="eastAsia" w:ascii="仿宋_GB2312" w:hAnsi="仿宋_GB2312" w:eastAsia="仿宋_GB2312" w:cstheme="minorBidi"/>
          <w:b/>
          <w:bCs/>
          <w:kern w:val="2"/>
          <w:sz w:val="32"/>
          <w:szCs w:val="32"/>
          <w:lang w:val="en-US" w:eastAsia="zh-CN" w:bidi="ar-SA"/>
        </w:rPr>
        <w:t>执行标的到位率</w:t>
      </w:r>
      <w:r>
        <w:rPr>
          <w:rFonts w:hint="eastAsia" w:cstheme="minorBidi"/>
          <w:b/>
          <w:bCs/>
          <w:kern w:val="2"/>
          <w:sz w:val="32"/>
          <w:szCs w:val="32"/>
          <w:lang w:val="en-US" w:eastAsia="zh-CN" w:bidi="ar-SA"/>
        </w:rPr>
        <w:t>：</w:t>
      </w:r>
      <w:r>
        <w:rPr>
          <w:rFonts w:hint="eastAsia" w:cstheme="minorBidi"/>
          <w:b w:val="0"/>
          <w:bCs w:val="0"/>
          <w:kern w:val="2"/>
          <w:sz w:val="32"/>
          <w:szCs w:val="32"/>
          <w:lang w:val="en-US" w:eastAsia="zh-CN" w:bidi="ar-SA"/>
        </w:rPr>
        <w:t>我院执行标的到位率年度指标值≥30%，实际完成30.77%，达到年度指标值。</w:t>
      </w:r>
      <w:r>
        <w:rPr>
          <w:rFonts w:hint="eastAsia" w:hAnsi="宋体"/>
          <w:sz w:val="32"/>
          <w:szCs w:val="32"/>
        </w:rPr>
        <w:t>该指标分值</w:t>
      </w:r>
      <w:r>
        <w:rPr>
          <w:rFonts w:hint="eastAsia" w:hAnsi="宋体"/>
          <w:sz w:val="32"/>
          <w:szCs w:val="32"/>
          <w:lang w:val="en-US" w:eastAsia="zh-CN"/>
        </w:rPr>
        <w:t>6.68</w:t>
      </w:r>
      <w:r>
        <w:rPr>
          <w:rFonts w:hint="eastAsia" w:hAnsi="宋体"/>
          <w:sz w:val="32"/>
          <w:szCs w:val="32"/>
        </w:rPr>
        <w:t>分，自评得分为</w:t>
      </w:r>
      <w:r>
        <w:rPr>
          <w:rFonts w:hint="eastAsia" w:hAnsi="宋体"/>
          <w:sz w:val="32"/>
          <w:szCs w:val="32"/>
          <w:lang w:val="en-US" w:eastAsia="zh-CN"/>
        </w:rPr>
        <w:t>6.68</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highlight w:val="none"/>
        </w:rPr>
        <w:t>%</w:t>
      </w:r>
      <w:r>
        <w:rPr>
          <w:rFonts w:hint="eastAsia" w:hAnsi="宋体"/>
          <w:sz w:val="32"/>
          <w:szCs w:val="32"/>
        </w:rPr>
        <w:t>。</w:t>
      </w:r>
    </w:p>
    <w:p w14:paraId="6A7BBBB4">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b/>
          <w:bCs/>
          <w:sz w:val="32"/>
          <w:szCs w:val="32"/>
          <w:lang w:eastAsia="zh-CN"/>
        </w:rPr>
      </w:pPr>
      <w:r>
        <w:rPr>
          <w:rFonts w:hint="eastAsia"/>
          <w:b/>
          <w:bCs/>
          <w:sz w:val="32"/>
          <w:szCs w:val="24"/>
          <w:lang w:eastAsia="zh-CN"/>
        </w:rPr>
        <w:t>②</w:t>
      </w:r>
      <w:r>
        <w:rPr>
          <w:rFonts w:hint="eastAsia"/>
          <w:b/>
          <w:bCs/>
          <w:sz w:val="32"/>
          <w:szCs w:val="32"/>
          <w:lang w:eastAsia="zh-CN"/>
        </w:rPr>
        <w:t>社会效益指标</w:t>
      </w:r>
    </w:p>
    <w:p w14:paraId="3F9016E4">
      <w:pPr>
        <w:pageBreakBefore w:val="0"/>
        <w:widowControl w:val="0"/>
        <w:kinsoku/>
        <w:wordWrap/>
        <w:overflowPunct/>
        <w:topLinePunct w:val="0"/>
        <w:autoSpaceDE/>
        <w:autoSpaceDN/>
        <w:bidi w:val="0"/>
        <w:adjustRightInd/>
        <w:snapToGrid/>
        <w:spacing w:line="560" w:lineRule="exact"/>
        <w:ind w:firstLine="560"/>
        <w:textAlignment w:val="auto"/>
        <w:rPr>
          <w:rFonts w:hAnsi="宋体"/>
          <w:sz w:val="32"/>
          <w:szCs w:val="32"/>
          <w:highlight w:val="none"/>
        </w:rPr>
      </w:pPr>
      <w:r>
        <w:rPr>
          <w:rFonts w:hint="eastAsia"/>
          <w:sz w:val="32"/>
          <w:szCs w:val="32"/>
        </w:rPr>
        <w:t>社会效益</w:t>
      </w:r>
      <w:r>
        <w:rPr>
          <w:rFonts w:hint="eastAsia"/>
          <w:sz w:val="32"/>
          <w:szCs w:val="24"/>
          <w:lang w:eastAsia="zh-CN"/>
        </w:rPr>
        <w:t>指标</w:t>
      </w:r>
      <w:r>
        <w:rPr>
          <w:rFonts w:hint="eastAsia"/>
          <w:sz w:val="32"/>
          <w:szCs w:val="24"/>
        </w:rPr>
        <w:t>下设</w:t>
      </w:r>
      <w:r>
        <w:rPr>
          <w:rFonts w:hint="eastAsia"/>
          <w:sz w:val="32"/>
          <w:szCs w:val="24"/>
          <w:lang w:val="en-US" w:eastAsia="zh-CN"/>
        </w:rPr>
        <w:t>2</w:t>
      </w:r>
      <w:r>
        <w:rPr>
          <w:rFonts w:hint="eastAsia"/>
          <w:sz w:val="32"/>
          <w:szCs w:val="24"/>
        </w:rPr>
        <w:t>个三级指标，</w:t>
      </w:r>
      <w:r>
        <w:rPr>
          <w:rFonts w:hint="eastAsia" w:hAnsi="宋体"/>
          <w:sz w:val="32"/>
          <w:szCs w:val="32"/>
        </w:rPr>
        <w:t>指标</w:t>
      </w:r>
      <w:r>
        <w:rPr>
          <w:rFonts w:hint="eastAsia" w:hAnsi="宋体"/>
          <w:sz w:val="32"/>
          <w:szCs w:val="32"/>
          <w:lang w:val="en-US" w:eastAsia="zh-CN"/>
        </w:rPr>
        <w:t>分值13.32</w:t>
      </w:r>
      <w:r>
        <w:rPr>
          <w:rFonts w:hint="eastAsia" w:hAnsi="宋体"/>
          <w:sz w:val="32"/>
          <w:szCs w:val="32"/>
          <w:highlight w:val="none"/>
        </w:rPr>
        <w:t>分，自评得分</w:t>
      </w:r>
      <w:r>
        <w:rPr>
          <w:rFonts w:hint="eastAsia" w:hAnsi="宋体"/>
          <w:sz w:val="32"/>
          <w:szCs w:val="32"/>
          <w:highlight w:val="none"/>
          <w:lang w:val="en-US" w:eastAsia="zh-CN"/>
        </w:rPr>
        <w:t>12.37</w:t>
      </w:r>
      <w:r>
        <w:rPr>
          <w:rFonts w:hint="eastAsia" w:hAnsi="宋体"/>
          <w:sz w:val="32"/>
          <w:szCs w:val="32"/>
          <w:highlight w:val="none"/>
        </w:rPr>
        <w:t>分，得分率为</w:t>
      </w:r>
      <w:r>
        <w:rPr>
          <w:rFonts w:hint="eastAsia" w:hAnsi="宋体"/>
          <w:sz w:val="32"/>
          <w:szCs w:val="32"/>
          <w:highlight w:val="none"/>
          <w:lang w:val="en-US" w:eastAsia="zh-CN"/>
        </w:rPr>
        <w:t>92.87</w:t>
      </w:r>
      <w:r>
        <w:rPr>
          <w:rFonts w:hint="eastAsia" w:hAnsi="宋体"/>
          <w:sz w:val="32"/>
          <w:szCs w:val="32"/>
          <w:highlight w:val="none"/>
        </w:rPr>
        <w:t>%。</w:t>
      </w:r>
    </w:p>
    <w:p w14:paraId="173FAB4D">
      <w:pPr>
        <w:pStyle w:val="8"/>
        <w:pageBreakBefore w:val="0"/>
        <w:widowControl w:val="0"/>
        <w:kinsoku/>
        <w:wordWrap/>
        <w:overflowPunct/>
        <w:topLinePunct w:val="0"/>
        <w:autoSpaceDE/>
        <w:autoSpaceDN/>
        <w:bidi w:val="0"/>
        <w:adjustRightInd/>
        <w:snapToGrid/>
        <w:spacing w:line="560" w:lineRule="exact"/>
        <w:ind w:firstLine="562"/>
        <w:textAlignment w:val="auto"/>
        <w:rPr>
          <w:rFonts w:hint="eastAsia" w:hAnsi="宋体"/>
          <w:sz w:val="32"/>
          <w:szCs w:val="32"/>
        </w:rPr>
      </w:pPr>
      <w:r>
        <w:rPr>
          <w:rFonts w:hint="eastAsia"/>
          <w:b/>
          <w:bCs/>
          <w:sz w:val="32"/>
          <w:szCs w:val="22"/>
          <w:lang w:val="en-US" w:eastAsia="zh-CN"/>
        </w:rPr>
        <w:t>民商事案件调撤率：</w:t>
      </w:r>
      <w:r>
        <w:rPr>
          <w:rFonts w:hint="eastAsia"/>
          <w:sz w:val="32"/>
          <w:szCs w:val="32"/>
          <w:lang w:val="en-US" w:eastAsia="zh-CN"/>
        </w:rPr>
        <w:t>我院坚持案件繁简分流、快慢分道，在特色化基础上，组建“速裁+民商事审判”的新型团队，成立13个快审和11个精审团队，实现简案快审、繁案精审，</w:t>
      </w:r>
      <w:r>
        <w:rPr>
          <w:rFonts w:hint="eastAsia"/>
          <w:sz w:val="32"/>
          <w:szCs w:val="32"/>
        </w:rPr>
        <w:t>民</w:t>
      </w:r>
      <w:r>
        <w:rPr>
          <w:rFonts w:hint="eastAsia"/>
          <w:sz w:val="32"/>
          <w:szCs w:val="32"/>
          <w:lang w:val="en-US" w:eastAsia="zh-CN"/>
        </w:rPr>
        <w:t>商</w:t>
      </w:r>
      <w:r>
        <w:rPr>
          <w:rFonts w:hint="eastAsia"/>
          <w:sz w:val="32"/>
          <w:szCs w:val="32"/>
        </w:rPr>
        <w:t>事案件调解撤诉率为</w:t>
      </w:r>
      <w:r>
        <w:rPr>
          <w:rFonts w:hint="eastAsia"/>
          <w:sz w:val="32"/>
          <w:szCs w:val="32"/>
          <w:lang w:val="en-US" w:eastAsia="zh-CN"/>
        </w:rPr>
        <w:t>50.98</w:t>
      </w:r>
      <w:r>
        <w:rPr>
          <w:rFonts w:hint="eastAsia"/>
          <w:sz w:val="32"/>
          <w:szCs w:val="32"/>
        </w:rPr>
        <w:t>%，</w:t>
      </w:r>
      <w:r>
        <w:rPr>
          <w:rFonts w:hint="eastAsia"/>
          <w:b w:val="0"/>
          <w:bCs w:val="0"/>
          <w:sz w:val="32"/>
          <w:szCs w:val="22"/>
          <w:lang w:val="en-US" w:eastAsia="zh-CN"/>
        </w:rPr>
        <w:t>达到</w:t>
      </w:r>
      <w:r>
        <w:rPr>
          <w:rFonts w:hint="eastAsia"/>
          <w:b w:val="0"/>
          <w:bCs w:val="0"/>
          <w:sz w:val="32"/>
          <w:szCs w:val="22"/>
          <w:lang w:eastAsia="zh-CN"/>
        </w:rPr>
        <w:t>年度指标值</w:t>
      </w:r>
      <w:r>
        <w:rPr>
          <w:rFonts w:hint="eastAsia"/>
          <w:b w:val="0"/>
          <w:bCs w:val="0"/>
          <w:sz w:val="32"/>
          <w:szCs w:val="22"/>
          <w:lang w:val="en-US" w:eastAsia="zh-CN"/>
        </w:rPr>
        <w:t>。</w:t>
      </w:r>
      <w:r>
        <w:rPr>
          <w:rFonts w:hint="eastAsia" w:hAnsi="宋体"/>
          <w:sz w:val="32"/>
          <w:szCs w:val="32"/>
        </w:rPr>
        <w:t>该指标分值</w:t>
      </w:r>
      <w:r>
        <w:rPr>
          <w:rFonts w:hint="eastAsia" w:hAnsi="宋体"/>
          <w:sz w:val="32"/>
          <w:szCs w:val="32"/>
          <w:lang w:val="en-US" w:eastAsia="zh-CN"/>
        </w:rPr>
        <w:t>6.66</w:t>
      </w:r>
      <w:r>
        <w:rPr>
          <w:rFonts w:hint="eastAsia" w:hAnsi="宋体"/>
          <w:sz w:val="32"/>
          <w:szCs w:val="32"/>
        </w:rPr>
        <w:t>分，自评得分为</w:t>
      </w:r>
      <w:r>
        <w:rPr>
          <w:rFonts w:hint="eastAsia" w:hAnsi="宋体"/>
          <w:sz w:val="32"/>
          <w:szCs w:val="32"/>
          <w:lang w:val="en-US" w:eastAsia="zh-CN"/>
        </w:rPr>
        <w:t>6.66</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22648B58">
      <w:pPr>
        <w:pageBreakBefore w:val="0"/>
        <w:widowControl w:val="0"/>
        <w:kinsoku/>
        <w:wordWrap/>
        <w:overflowPunct/>
        <w:topLinePunct w:val="0"/>
        <w:autoSpaceDE/>
        <w:autoSpaceDN/>
        <w:bidi w:val="0"/>
        <w:adjustRightInd/>
        <w:snapToGrid/>
        <w:spacing w:line="560" w:lineRule="exact"/>
        <w:ind w:firstLine="562"/>
        <w:textAlignment w:val="auto"/>
        <w:rPr>
          <w:rFonts w:hint="eastAsia" w:eastAsia="仿宋_GB2312"/>
          <w:b/>
          <w:bCs/>
          <w:sz w:val="32"/>
          <w:szCs w:val="24"/>
          <w:lang w:eastAsia="zh-CN"/>
        </w:rPr>
      </w:pPr>
      <w:r>
        <w:rPr>
          <w:rFonts w:hint="eastAsia"/>
          <w:b/>
          <w:bCs/>
          <w:sz w:val="32"/>
          <w:szCs w:val="24"/>
        </w:rPr>
        <w:t>一审案件陪审率</w:t>
      </w:r>
      <w:r>
        <w:rPr>
          <w:rFonts w:hint="eastAsia"/>
          <w:b/>
          <w:bCs/>
          <w:sz w:val="32"/>
          <w:szCs w:val="24"/>
          <w:lang w:eastAsia="zh-CN"/>
        </w:rPr>
        <w:t>：</w:t>
      </w:r>
      <w:r>
        <w:rPr>
          <w:rFonts w:hint="eastAsia"/>
          <w:b w:val="0"/>
          <w:bCs w:val="0"/>
          <w:sz w:val="32"/>
          <w:szCs w:val="24"/>
          <w:lang w:val="en-US" w:eastAsia="zh-CN"/>
        </w:rPr>
        <w:t>我院一审案件陪审率</w:t>
      </w:r>
      <w:r>
        <w:rPr>
          <w:rFonts w:hint="eastAsia" w:cstheme="minorBidi"/>
          <w:b w:val="0"/>
          <w:bCs w:val="0"/>
          <w:kern w:val="2"/>
          <w:sz w:val="32"/>
          <w:szCs w:val="32"/>
          <w:lang w:val="en-US" w:eastAsia="zh-CN" w:bidi="ar-SA"/>
        </w:rPr>
        <w:t>年度指标值≥100%，实际完成85.67</w:t>
      </w:r>
      <w:r>
        <w:rPr>
          <w:rFonts w:hint="eastAsia"/>
          <w:b w:val="0"/>
          <w:bCs w:val="0"/>
          <w:sz w:val="32"/>
          <w:szCs w:val="24"/>
          <w:lang w:val="en-US" w:eastAsia="zh-CN"/>
        </w:rPr>
        <w:t>%，未</w:t>
      </w:r>
      <w:r>
        <w:rPr>
          <w:rFonts w:hint="eastAsia" w:cstheme="minorBidi"/>
          <w:b w:val="0"/>
          <w:bCs w:val="0"/>
          <w:kern w:val="2"/>
          <w:sz w:val="32"/>
          <w:szCs w:val="32"/>
          <w:lang w:val="en-US" w:eastAsia="zh-CN" w:bidi="ar-SA"/>
        </w:rPr>
        <w:t>达到年度指标值。</w:t>
      </w:r>
      <w:r>
        <w:rPr>
          <w:rFonts w:hint="eastAsia" w:hAnsi="宋体"/>
          <w:sz w:val="32"/>
          <w:szCs w:val="32"/>
        </w:rPr>
        <w:t>该指标分值</w:t>
      </w:r>
      <w:r>
        <w:rPr>
          <w:rFonts w:hint="eastAsia" w:hAnsi="宋体"/>
          <w:sz w:val="32"/>
          <w:szCs w:val="32"/>
          <w:lang w:val="en-US" w:eastAsia="zh-CN"/>
        </w:rPr>
        <w:t>6.66</w:t>
      </w:r>
      <w:r>
        <w:rPr>
          <w:rFonts w:hint="eastAsia" w:hAnsi="宋体"/>
          <w:sz w:val="32"/>
          <w:szCs w:val="32"/>
        </w:rPr>
        <w:t>分，自评得分为</w:t>
      </w:r>
      <w:r>
        <w:rPr>
          <w:rFonts w:hint="eastAsia" w:hAnsi="宋体"/>
          <w:sz w:val="32"/>
          <w:szCs w:val="32"/>
          <w:lang w:val="en-US" w:eastAsia="zh-CN"/>
        </w:rPr>
        <w:t>5.71</w:t>
      </w:r>
      <w:r>
        <w:rPr>
          <w:rFonts w:hint="eastAsia" w:hAnsi="宋体"/>
          <w:sz w:val="32"/>
          <w:szCs w:val="32"/>
        </w:rPr>
        <w:t>分，得分率为</w:t>
      </w:r>
      <w:r>
        <w:rPr>
          <w:rFonts w:hint="eastAsia" w:hAnsi="宋体"/>
          <w:sz w:val="32"/>
          <w:szCs w:val="32"/>
          <w:lang w:val="en-US" w:eastAsia="zh-CN"/>
        </w:rPr>
        <w:t>85.74</w:t>
      </w:r>
      <w:r>
        <w:rPr>
          <w:rFonts w:hint="eastAsia" w:hAnsi="宋体"/>
          <w:sz w:val="32"/>
          <w:szCs w:val="32"/>
        </w:rPr>
        <w:t>%。</w:t>
      </w:r>
    </w:p>
    <w:p w14:paraId="0CF8A8E4">
      <w:pPr>
        <w:pageBreakBefore w:val="0"/>
        <w:widowControl w:val="0"/>
        <w:kinsoku/>
        <w:wordWrap/>
        <w:overflowPunct/>
        <w:topLinePunct w:val="0"/>
        <w:autoSpaceDE/>
        <w:autoSpaceDN/>
        <w:bidi w:val="0"/>
        <w:adjustRightInd/>
        <w:snapToGrid/>
        <w:spacing w:line="560" w:lineRule="exact"/>
        <w:ind w:firstLine="562"/>
        <w:textAlignment w:val="auto"/>
        <w:rPr>
          <w:b/>
          <w:bCs/>
          <w:sz w:val="32"/>
          <w:szCs w:val="32"/>
        </w:rPr>
      </w:pPr>
      <w:r>
        <w:rPr>
          <w:rFonts w:hint="eastAsia"/>
          <w:b/>
          <w:bCs/>
          <w:sz w:val="32"/>
          <w:szCs w:val="32"/>
        </w:rPr>
        <w:t>（</w:t>
      </w:r>
      <w:r>
        <w:rPr>
          <w:rFonts w:hint="eastAsia"/>
          <w:b/>
          <w:bCs/>
          <w:sz w:val="32"/>
          <w:szCs w:val="32"/>
          <w:lang w:val="en-US" w:eastAsia="zh-CN"/>
        </w:rPr>
        <w:t>4</w:t>
      </w:r>
      <w:r>
        <w:rPr>
          <w:rFonts w:hint="eastAsia"/>
          <w:b/>
          <w:bCs/>
          <w:sz w:val="32"/>
          <w:szCs w:val="32"/>
        </w:rPr>
        <w:t>）满意度指标</w:t>
      </w:r>
    </w:p>
    <w:p w14:paraId="6C961DC6">
      <w:pPr>
        <w:pageBreakBefore w:val="0"/>
        <w:widowControl w:val="0"/>
        <w:kinsoku/>
        <w:wordWrap/>
        <w:overflowPunct/>
        <w:topLinePunct w:val="0"/>
        <w:autoSpaceDE/>
        <w:autoSpaceDN/>
        <w:bidi w:val="0"/>
        <w:adjustRightInd/>
        <w:snapToGrid/>
        <w:spacing w:line="560" w:lineRule="exact"/>
        <w:ind w:firstLine="560"/>
        <w:textAlignment w:val="auto"/>
        <w:rPr>
          <w:rFonts w:hint="eastAsia" w:hAnsi="宋体"/>
          <w:sz w:val="32"/>
          <w:szCs w:val="32"/>
        </w:rPr>
      </w:pPr>
      <w:r>
        <w:rPr>
          <w:rFonts w:hint="eastAsia" w:hAnsi="宋体"/>
          <w:sz w:val="32"/>
          <w:szCs w:val="32"/>
        </w:rPr>
        <w:t>服务对象满意度主要</w:t>
      </w:r>
      <w:r>
        <w:rPr>
          <w:rFonts w:hint="eastAsia" w:hAnsi="宋体"/>
          <w:sz w:val="32"/>
          <w:szCs w:val="32"/>
          <w:lang w:val="en-US" w:eastAsia="zh-CN"/>
        </w:rPr>
        <w:t>为法院工作人员满意度和当事人</w:t>
      </w:r>
      <w:r>
        <w:rPr>
          <w:rFonts w:hint="eastAsia" w:hAnsi="宋体"/>
          <w:sz w:val="32"/>
          <w:szCs w:val="32"/>
        </w:rPr>
        <w:t>满意度，该指标分值合计10分，自评得分</w:t>
      </w:r>
      <w:r>
        <w:rPr>
          <w:rFonts w:hint="eastAsia" w:hAnsi="宋体"/>
          <w:sz w:val="32"/>
          <w:szCs w:val="32"/>
          <w:lang w:val="en-US" w:eastAsia="zh-CN"/>
        </w:rPr>
        <w:t>10</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413EE3D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宋体" w:eastAsia="仿宋_GB2312" w:cstheme="minorBidi"/>
          <w:kern w:val="2"/>
          <w:sz w:val="32"/>
          <w:szCs w:val="32"/>
          <w:highlight w:val="none"/>
          <w:lang w:val="en-US" w:eastAsia="zh-CN" w:bidi="ar-SA"/>
        </w:rPr>
      </w:pPr>
      <w:r>
        <w:rPr>
          <w:rFonts w:hint="eastAsia" w:hAnsi="宋体"/>
          <w:b/>
          <w:bCs/>
          <w:sz w:val="32"/>
          <w:szCs w:val="32"/>
          <w:lang w:val="en-US" w:eastAsia="zh-CN"/>
        </w:rPr>
        <w:t>法院工作人员满意度：</w:t>
      </w:r>
      <w:r>
        <w:rPr>
          <w:rFonts w:hint="eastAsia" w:hAnsi="宋体"/>
          <w:b w:val="0"/>
          <w:bCs w:val="0"/>
          <w:sz w:val="32"/>
          <w:szCs w:val="32"/>
          <w:lang w:val="en-US" w:eastAsia="zh-CN"/>
        </w:rPr>
        <w:t>通过该项目的实施，保障我院工作人</w:t>
      </w:r>
      <w:r>
        <w:rPr>
          <w:rFonts w:hint="eastAsia" w:hAnsi="宋体"/>
          <w:sz w:val="32"/>
          <w:szCs w:val="32"/>
          <w:lang w:val="en-US" w:eastAsia="zh-CN"/>
        </w:rPr>
        <w:t>员办案质量和业务能力水平的提升，</w:t>
      </w:r>
      <w:r>
        <w:rPr>
          <w:rFonts w:hint="eastAsia"/>
          <w:sz w:val="32"/>
          <w:szCs w:val="24"/>
          <w:lang w:val="en-US" w:eastAsia="zh-CN"/>
        </w:rPr>
        <w:t>法院</w:t>
      </w:r>
      <w:r>
        <w:rPr>
          <w:rFonts w:hint="eastAsia" w:hAnsi="宋体"/>
          <w:sz w:val="32"/>
          <w:szCs w:val="32"/>
          <w:lang w:val="en-US" w:eastAsia="zh-CN"/>
        </w:rPr>
        <w:t>工作人员满意度达到92%。</w:t>
      </w:r>
      <w:r>
        <w:rPr>
          <w:rFonts w:hint="eastAsia" w:ascii="仿宋_GB2312" w:hAnsi="宋体" w:eastAsia="仿宋_GB2312" w:cstheme="minorBidi"/>
          <w:kern w:val="2"/>
          <w:sz w:val="32"/>
          <w:szCs w:val="32"/>
          <w:lang w:val="en-US" w:eastAsia="zh-CN" w:bidi="ar-SA"/>
        </w:rPr>
        <w:t>该指标分值</w:t>
      </w:r>
      <w:r>
        <w:rPr>
          <w:rFonts w:hint="eastAsia" w:hAnsi="宋体" w:cstheme="minorBidi"/>
          <w:kern w:val="2"/>
          <w:sz w:val="32"/>
          <w:szCs w:val="32"/>
          <w:lang w:val="en-US" w:eastAsia="zh-CN" w:bidi="ar-SA"/>
        </w:rPr>
        <w:t>5</w:t>
      </w:r>
      <w:r>
        <w:rPr>
          <w:rFonts w:hint="eastAsia" w:ascii="仿宋_GB2312" w:hAnsi="宋体" w:eastAsia="仿宋_GB2312" w:cstheme="minorBidi"/>
          <w:kern w:val="2"/>
          <w:sz w:val="32"/>
          <w:szCs w:val="32"/>
          <w:lang w:val="en-US" w:eastAsia="zh-CN" w:bidi="ar-SA"/>
        </w:rPr>
        <w:t>分，</w:t>
      </w:r>
      <w:r>
        <w:rPr>
          <w:rFonts w:hint="eastAsia" w:ascii="仿宋_GB2312" w:hAnsi="宋体" w:eastAsia="仿宋_GB2312" w:cstheme="minorBidi"/>
          <w:kern w:val="2"/>
          <w:sz w:val="32"/>
          <w:szCs w:val="32"/>
          <w:highlight w:val="none"/>
          <w:lang w:val="en-US" w:eastAsia="zh-CN" w:bidi="ar-SA"/>
        </w:rPr>
        <w:t>自评得分为</w:t>
      </w:r>
      <w:r>
        <w:rPr>
          <w:rFonts w:hint="eastAsia" w:hAnsi="宋体" w:cstheme="minorBidi"/>
          <w:kern w:val="2"/>
          <w:sz w:val="32"/>
          <w:szCs w:val="32"/>
          <w:highlight w:val="none"/>
          <w:lang w:val="en-US" w:eastAsia="zh-CN" w:bidi="ar-SA"/>
        </w:rPr>
        <w:t>5</w:t>
      </w:r>
      <w:r>
        <w:rPr>
          <w:rFonts w:hint="eastAsia" w:ascii="仿宋_GB2312" w:hAnsi="宋体" w:eastAsia="仿宋_GB2312" w:cstheme="minorBidi"/>
          <w:kern w:val="2"/>
          <w:sz w:val="32"/>
          <w:szCs w:val="32"/>
          <w:highlight w:val="none"/>
          <w:lang w:val="en-US" w:eastAsia="zh-CN" w:bidi="ar-SA"/>
        </w:rPr>
        <w:t>分，得分率为</w:t>
      </w:r>
      <w:r>
        <w:rPr>
          <w:rFonts w:hint="eastAsia" w:hAnsi="宋体" w:cstheme="minorBidi"/>
          <w:kern w:val="2"/>
          <w:sz w:val="32"/>
          <w:szCs w:val="32"/>
          <w:highlight w:val="none"/>
          <w:lang w:val="en-US" w:eastAsia="zh-CN" w:bidi="ar-SA"/>
        </w:rPr>
        <w:t>100</w:t>
      </w:r>
      <w:r>
        <w:rPr>
          <w:rFonts w:hint="eastAsia" w:ascii="仿宋_GB2312" w:hAnsi="宋体" w:eastAsia="仿宋_GB2312" w:cstheme="minorBidi"/>
          <w:kern w:val="2"/>
          <w:sz w:val="32"/>
          <w:szCs w:val="32"/>
          <w:highlight w:val="none"/>
          <w:lang w:val="en-US" w:eastAsia="zh-CN" w:bidi="ar-SA"/>
        </w:rPr>
        <w:t>%。</w:t>
      </w:r>
    </w:p>
    <w:p w14:paraId="5A11E76E">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宋体" w:eastAsia="仿宋_GB2312" w:cstheme="minorBidi"/>
          <w:kern w:val="2"/>
          <w:sz w:val="32"/>
          <w:szCs w:val="32"/>
          <w:highlight w:val="none"/>
          <w:lang w:val="en-US" w:eastAsia="zh-CN" w:bidi="ar-SA"/>
        </w:rPr>
      </w:pPr>
      <w:r>
        <w:rPr>
          <w:rFonts w:hint="eastAsia" w:hAnsi="宋体"/>
          <w:b/>
          <w:bCs/>
          <w:sz w:val="32"/>
          <w:szCs w:val="32"/>
          <w:lang w:val="en-US" w:eastAsia="zh-CN"/>
        </w:rPr>
        <w:t>当事人</w:t>
      </w:r>
      <w:r>
        <w:rPr>
          <w:rFonts w:hint="eastAsia" w:hAnsi="宋体"/>
          <w:b/>
          <w:bCs/>
          <w:sz w:val="32"/>
          <w:szCs w:val="32"/>
        </w:rPr>
        <w:t>满意</w:t>
      </w:r>
      <w:r>
        <w:rPr>
          <w:rFonts w:hint="eastAsia" w:hAnsi="宋体"/>
          <w:b/>
          <w:bCs/>
          <w:sz w:val="32"/>
          <w:szCs w:val="32"/>
          <w:lang w:val="en-US" w:eastAsia="zh-CN"/>
        </w:rPr>
        <w:t>程</w:t>
      </w:r>
      <w:r>
        <w:rPr>
          <w:rFonts w:hint="eastAsia" w:hAnsi="宋体"/>
          <w:b/>
          <w:bCs/>
          <w:sz w:val="32"/>
          <w:szCs w:val="32"/>
        </w:rPr>
        <w:t>度：</w:t>
      </w:r>
      <w:r>
        <w:rPr>
          <w:rFonts w:hint="eastAsia"/>
          <w:sz w:val="32"/>
          <w:szCs w:val="24"/>
        </w:rPr>
        <w:t>我院积极审判各类案件，保障人民群众合法权益，</w:t>
      </w:r>
      <w:r>
        <w:rPr>
          <w:rFonts w:hint="eastAsia" w:ascii="仿宋_GB2312" w:hAnsi="宋体" w:eastAsia="仿宋_GB2312" w:cstheme="minorBidi"/>
          <w:kern w:val="2"/>
          <w:sz w:val="32"/>
          <w:szCs w:val="32"/>
          <w:highlight w:val="none"/>
          <w:lang w:val="en-US" w:eastAsia="zh-CN" w:bidi="ar-SA"/>
        </w:rPr>
        <w:t>有力维护社会安定和人民安宁</w:t>
      </w:r>
      <w:r>
        <w:rPr>
          <w:rFonts w:hint="eastAsia" w:hAnsi="宋体" w:cstheme="minorBidi"/>
          <w:kern w:val="2"/>
          <w:sz w:val="32"/>
          <w:szCs w:val="32"/>
          <w:highlight w:val="none"/>
          <w:lang w:val="en-US" w:eastAsia="zh-CN" w:bidi="ar-SA"/>
        </w:rPr>
        <w:t>。</w:t>
      </w:r>
      <w:r>
        <w:rPr>
          <w:rFonts w:hint="eastAsia" w:hAnsi="宋体"/>
          <w:b w:val="0"/>
          <w:bCs w:val="0"/>
          <w:sz w:val="32"/>
          <w:szCs w:val="32"/>
          <w:lang w:val="en-US" w:eastAsia="zh-CN"/>
        </w:rPr>
        <w:t>当事人</w:t>
      </w:r>
      <w:r>
        <w:rPr>
          <w:rFonts w:hint="eastAsia"/>
          <w:sz w:val="32"/>
          <w:szCs w:val="24"/>
          <w:highlight w:val="none"/>
        </w:rPr>
        <w:t>满意度达</w:t>
      </w:r>
      <w:r>
        <w:rPr>
          <w:rFonts w:hint="eastAsia" w:hAnsi="宋体"/>
          <w:sz w:val="32"/>
          <w:szCs w:val="36"/>
          <w:highlight w:val="none"/>
        </w:rPr>
        <w:t>到</w:t>
      </w:r>
      <w:r>
        <w:rPr>
          <w:rFonts w:hint="eastAsia" w:hAnsi="宋体"/>
          <w:sz w:val="32"/>
          <w:szCs w:val="36"/>
          <w:highlight w:val="none"/>
          <w:lang w:val="en-US" w:eastAsia="zh-CN"/>
        </w:rPr>
        <w:t>90</w:t>
      </w:r>
      <w:r>
        <w:rPr>
          <w:rFonts w:hint="eastAsia" w:hAnsi="宋体"/>
          <w:sz w:val="32"/>
          <w:szCs w:val="36"/>
          <w:highlight w:val="none"/>
        </w:rPr>
        <w:t>%</w:t>
      </w:r>
      <w:r>
        <w:rPr>
          <w:rFonts w:hint="eastAsia" w:hAnsi="宋体"/>
          <w:sz w:val="32"/>
          <w:szCs w:val="36"/>
          <w:highlight w:val="none"/>
          <w:lang w:eastAsia="zh-CN"/>
        </w:rPr>
        <w:t>。</w:t>
      </w:r>
      <w:r>
        <w:rPr>
          <w:rFonts w:hint="eastAsia" w:ascii="仿宋_GB2312" w:hAnsi="宋体" w:eastAsia="仿宋_GB2312" w:cstheme="minorBidi"/>
          <w:kern w:val="2"/>
          <w:sz w:val="32"/>
          <w:szCs w:val="32"/>
          <w:highlight w:val="none"/>
          <w:lang w:val="en-US" w:eastAsia="zh-CN" w:bidi="ar-SA"/>
        </w:rPr>
        <w:t>该指标分值</w:t>
      </w:r>
      <w:r>
        <w:rPr>
          <w:rFonts w:hint="eastAsia" w:hAnsi="宋体" w:cstheme="minorBidi"/>
          <w:kern w:val="2"/>
          <w:sz w:val="32"/>
          <w:szCs w:val="32"/>
          <w:highlight w:val="none"/>
          <w:lang w:val="en-US" w:eastAsia="zh-CN" w:bidi="ar-SA"/>
        </w:rPr>
        <w:t>5</w:t>
      </w:r>
      <w:r>
        <w:rPr>
          <w:rFonts w:hint="eastAsia" w:ascii="仿宋_GB2312" w:hAnsi="宋体" w:eastAsia="仿宋_GB2312" w:cstheme="minorBidi"/>
          <w:kern w:val="2"/>
          <w:sz w:val="32"/>
          <w:szCs w:val="32"/>
          <w:highlight w:val="none"/>
          <w:lang w:val="en-US" w:eastAsia="zh-CN" w:bidi="ar-SA"/>
        </w:rPr>
        <w:t>分，自评得分为</w:t>
      </w:r>
      <w:r>
        <w:rPr>
          <w:rFonts w:hint="eastAsia" w:hAnsi="宋体" w:cstheme="minorBidi"/>
          <w:kern w:val="2"/>
          <w:sz w:val="32"/>
          <w:szCs w:val="32"/>
          <w:highlight w:val="none"/>
          <w:lang w:val="en-US" w:eastAsia="zh-CN" w:bidi="ar-SA"/>
        </w:rPr>
        <w:t>5</w:t>
      </w:r>
      <w:r>
        <w:rPr>
          <w:rFonts w:hint="eastAsia" w:ascii="仿宋_GB2312" w:hAnsi="宋体" w:eastAsia="仿宋_GB2312" w:cstheme="minorBidi"/>
          <w:kern w:val="2"/>
          <w:sz w:val="32"/>
          <w:szCs w:val="32"/>
          <w:highlight w:val="none"/>
          <w:lang w:val="en-US" w:eastAsia="zh-CN" w:bidi="ar-SA"/>
        </w:rPr>
        <w:t>分，得分率为</w:t>
      </w:r>
      <w:r>
        <w:rPr>
          <w:rFonts w:hint="eastAsia" w:hAnsi="宋体" w:cstheme="minorBidi"/>
          <w:kern w:val="2"/>
          <w:sz w:val="32"/>
          <w:szCs w:val="32"/>
          <w:highlight w:val="none"/>
          <w:lang w:val="en-US" w:eastAsia="zh-CN" w:bidi="ar-SA"/>
        </w:rPr>
        <w:t>100</w:t>
      </w:r>
      <w:r>
        <w:rPr>
          <w:rFonts w:hint="eastAsia" w:ascii="仿宋_GB2312" w:hAnsi="宋体" w:eastAsia="仿宋_GB2312" w:cstheme="minorBidi"/>
          <w:kern w:val="2"/>
          <w:sz w:val="32"/>
          <w:szCs w:val="32"/>
          <w:highlight w:val="none"/>
          <w:lang w:val="en-US" w:eastAsia="zh-CN" w:bidi="ar-SA"/>
        </w:rPr>
        <w:t>%。</w:t>
      </w:r>
    </w:p>
    <w:p w14:paraId="4B2CE9F6">
      <w:pPr>
        <w:pStyle w:val="4"/>
        <w:pageBreakBefore w:val="0"/>
        <w:widowControl w:val="0"/>
        <w:kinsoku/>
        <w:wordWrap/>
        <w:overflowPunct/>
        <w:topLinePunct w:val="0"/>
        <w:autoSpaceDE/>
        <w:autoSpaceDN/>
        <w:bidi w:val="0"/>
        <w:adjustRightInd/>
        <w:snapToGrid/>
        <w:spacing w:line="560" w:lineRule="exact"/>
        <w:ind w:firstLine="562"/>
        <w:textAlignment w:val="auto"/>
        <w:rPr>
          <w:rFonts w:hint="eastAsia"/>
          <w:sz w:val="32"/>
          <w:szCs w:val="36"/>
          <w:highlight w:val="none"/>
        </w:rPr>
      </w:pPr>
      <w:r>
        <w:rPr>
          <w:rFonts w:hint="eastAsia"/>
          <w:sz w:val="32"/>
          <w:szCs w:val="36"/>
          <w:highlight w:val="none"/>
        </w:rPr>
        <w:t>4</w:t>
      </w:r>
      <w:r>
        <w:rPr>
          <w:rFonts w:hint="eastAsia"/>
          <w:sz w:val="32"/>
          <w:szCs w:val="36"/>
          <w:highlight w:val="none"/>
          <w:lang w:eastAsia="zh-CN"/>
        </w:rPr>
        <w:t>.</w:t>
      </w:r>
      <w:r>
        <w:rPr>
          <w:rFonts w:hint="eastAsia"/>
          <w:sz w:val="32"/>
          <w:szCs w:val="36"/>
          <w:highlight w:val="none"/>
        </w:rPr>
        <w:t>偏离绩效目标的原因及下一步改进措施</w:t>
      </w:r>
    </w:p>
    <w:p w14:paraId="11E7D48E">
      <w:pPr>
        <w:pageBreakBefore w:val="0"/>
        <w:widowControl w:val="0"/>
        <w:kinsoku/>
        <w:wordWrap/>
        <w:overflowPunct/>
        <w:topLinePunct w:val="0"/>
        <w:autoSpaceDE/>
        <w:autoSpaceDN/>
        <w:bidi w:val="0"/>
        <w:adjustRightInd/>
        <w:snapToGrid/>
        <w:spacing w:line="560" w:lineRule="exact"/>
        <w:ind w:firstLine="560"/>
        <w:textAlignment w:val="auto"/>
        <w:rPr>
          <w:rFonts w:hint="eastAsia"/>
          <w:b/>
          <w:bCs/>
          <w:sz w:val="32"/>
          <w:szCs w:val="24"/>
          <w:lang w:val="en-US" w:eastAsia="zh-CN"/>
        </w:rPr>
      </w:pPr>
      <w:r>
        <w:rPr>
          <w:rFonts w:hint="eastAsia"/>
          <w:b/>
          <w:bCs/>
          <w:sz w:val="32"/>
          <w:szCs w:val="24"/>
          <w:lang w:val="en-US" w:eastAsia="zh-CN"/>
        </w:rPr>
        <w:t>一审案件陪审率未达到指标值。</w:t>
      </w:r>
      <w:r>
        <w:rPr>
          <w:rFonts w:hint="eastAsia"/>
          <w:b w:val="0"/>
          <w:bCs w:val="0"/>
          <w:sz w:val="32"/>
          <w:szCs w:val="24"/>
          <w:lang w:val="en-US" w:eastAsia="zh-CN"/>
        </w:rPr>
        <w:t>我院一审案件陪审率</w:t>
      </w:r>
      <w:r>
        <w:rPr>
          <w:rFonts w:hint="eastAsia" w:cstheme="minorBidi"/>
          <w:b w:val="0"/>
          <w:bCs w:val="0"/>
          <w:kern w:val="2"/>
          <w:sz w:val="32"/>
          <w:szCs w:val="32"/>
          <w:lang w:val="en-US" w:eastAsia="zh-CN" w:bidi="ar-SA"/>
        </w:rPr>
        <w:t>年度指标值≥100%，实际完成85.67</w:t>
      </w:r>
      <w:r>
        <w:rPr>
          <w:rFonts w:hint="eastAsia"/>
          <w:b w:val="0"/>
          <w:bCs w:val="0"/>
          <w:sz w:val="32"/>
          <w:szCs w:val="24"/>
          <w:lang w:val="en-US" w:eastAsia="zh-CN"/>
        </w:rPr>
        <w:t>%，主要原因为民事诉讼法已对普通程序审批组织进行调整，允许独任法官办理普通程序案件。</w:t>
      </w:r>
      <w:r>
        <w:rPr>
          <w:rFonts w:hint="eastAsia"/>
          <w:sz w:val="32"/>
          <w:szCs w:val="24"/>
          <w:lang w:eastAsia="zh-CN"/>
        </w:rPr>
        <w:t>下一年</w:t>
      </w:r>
      <w:r>
        <w:rPr>
          <w:rFonts w:hint="eastAsia"/>
          <w:sz w:val="32"/>
          <w:szCs w:val="24"/>
          <w:lang w:val="en-US" w:eastAsia="zh-CN"/>
        </w:rPr>
        <w:t>我院将</w:t>
      </w:r>
      <w:r>
        <w:rPr>
          <w:rFonts w:hint="eastAsia"/>
          <w:b w:val="0"/>
          <w:bCs w:val="0"/>
          <w:sz w:val="32"/>
          <w:szCs w:val="24"/>
          <w:lang w:val="en-US" w:eastAsia="zh-CN"/>
        </w:rPr>
        <w:t>根据实际情况合理设置指标值。</w:t>
      </w:r>
    </w:p>
    <w:p w14:paraId="79E3426D">
      <w:pPr>
        <w:pStyle w:val="2"/>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sz w:val="32"/>
          <w:szCs w:val="32"/>
        </w:rPr>
      </w:pPr>
      <w:bookmarkStart w:id="84" w:name="_Toc30679"/>
      <w:r>
        <w:rPr>
          <w:rFonts w:hint="eastAsia"/>
          <w:sz w:val="32"/>
          <w:szCs w:val="32"/>
        </w:rPr>
        <w:t>五、部门管理的省对市县转移支付绩效自评情况分析</w:t>
      </w:r>
      <w:bookmarkEnd w:id="77"/>
      <w:bookmarkEnd w:id="78"/>
      <w:bookmarkEnd w:id="79"/>
      <w:bookmarkEnd w:id="80"/>
      <w:bookmarkEnd w:id="81"/>
      <w:bookmarkEnd w:id="84"/>
      <w:r>
        <w:rPr>
          <w:rFonts w:hint="eastAsia"/>
          <w:sz w:val="32"/>
          <w:szCs w:val="32"/>
        </w:rPr>
        <w:tab/>
      </w:r>
    </w:p>
    <w:p w14:paraId="0959BFAE">
      <w:pPr>
        <w:numPr>
          <w:ilvl w:val="0"/>
          <w:numId w:val="0"/>
        </w:numPr>
        <w:spacing w:beforeLines="0" w:afterLines="0"/>
        <w:ind w:leftChars="0" w:firstLine="640" w:firstLineChars="200"/>
        <w:jc w:val="left"/>
        <w:rPr>
          <w:rFonts w:hint="eastAsia" w:hAnsi="宋体"/>
          <w:sz w:val="32"/>
          <w:szCs w:val="32"/>
          <w:lang w:val="en-US" w:eastAsia="zh-CN"/>
        </w:rPr>
      </w:pPr>
      <w:r>
        <w:rPr>
          <w:rFonts w:hint="eastAsia" w:hAnsi="宋体"/>
          <w:sz w:val="32"/>
          <w:szCs w:val="32"/>
          <w:lang w:eastAsia="zh-CN"/>
        </w:rPr>
        <w:t>2023年度</w:t>
      </w:r>
      <w:r>
        <w:rPr>
          <w:rFonts w:hint="eastAsia" w:hAnsi="宋体"/>
          <w:sz w:val="32"/>
          <w:szCs w:val="32"/>
        </w:rPr>
        <w:t>，我院转移支付自评项目为1个</w:t>
      </w:r>
      <w:r>
        <w:rPr>
          <w:rFonts w:hint="eastAsia" w:hAnsi="宋体"/>
          <w:sz w:val="32"/>
          <w:szCs w:val="32"/>
          <w:lang w:val="en-US" w:eastAsia="zh-CN"/>
        </w:rPr>
        <w:t>，该项目为涉密项目，不予公开，具体绩效情况不予说明。</w:t>
      </w:r>
    </w:p>
    <w:p w14:paraId="13E6788D">
      <w:pPr>
        <w:pStyle w:val="2"/>
        <w:pageBreakBefore w:val="0"/>
        <w:kinsoku/>
        <w:wordWrap/>
        <w:overflowPunct/>
        <w:topLinePunct w:val="0"/>
        <w:autoSpaceDE/>
        <w:autoSpaceDN/>
        <w:bidi w:val="0"/>
        <w:adjustRightInd/>
        <w:snapToGrid/>
        <w:spacing w:before="0" w:after="0" w:line="560" w:lineRule="exact"/>
        <w:ind w:firstLine="643" w:firstLineChars="200"/>
        <w:textAlignment w:val="auto"/>
        <w:rPr>
          <w:rFonts w:hint="eastAsia"/>
          <w:sz w:val="32"/>
          <w:szCs w:val="32"/>
          <w:highlight w:val="none"/>
        </w:rPr>
      </w:pPr>
      <w:bookmarkStart w:id="85" w:name="_Toc6252"/>
      <w:bookmarkStart w:id="86" w:name="_Toc26665"/>
      <w:bookmarkStart w:id="87" w:name="_Toc32543"/>
      <w:bookmarkStart w:id="88" w:name="_Toc8962"/>
      <w:r>
        <w:rPr>
          <w:rFonts w:hint="eastAsia"/>
          <w:sz w:val="32"/>
          <w:szCs w:val="32"/>
          <w:highlight w:val="none"/>
        </w:rPr>
        <w:t>六、绩效自评结果拟应用和公开情况</w:t>
      </w:r>
      <w:bookmarkEnd w:id="82"/>
      <w:bookmarkEnd w:id="83"/>
      <w:bookmarkEnd w:id="85"/>
      <w:bookmarkEnd w:id="86"/>
      <w:bookmarkEnd w:id="87"/>
      <w:bookmarkEnd w:id="88"/>
    </w:p>
    <w:p w14:paraId="4BFE659C">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Ansi="宋体"/>
          <w:sz w:val="32"/>
          <w:szCs w:val="32"/>
        </w:rPr>
      </w:pPr>
      <w:r>
        <w:rPr>
          <w:rFonts w:hint="eastAsia" w:hAnsi="宋体"/>
          <w:sz w:val="32"/>
          <w:szCs w:val="32"/>
        </w:rPr>
        <w:t>绩效自评结果的应用是</w:t>
      </w:r>
      <w:r>
        <w:rPr>
          <w:rFonts w:hint="eastAsia" w:hAnsi="宋体"/>
          <w:sz w:val="32"/>
          <w:szCs w:val="32"/>
          <w:lang w:eastAsia="zh-CN"/>
        </w:rPr>
        <w:t>部门</w:t>
      </w:r>
      <w:r>
        <w:rPr>
          <w:rFonts w:hint="eastAsia" w:hAnsi="宋体"/>
          <w:sz w:val="32"/>
          <w:szCs w:val="32"/>
        </w:rPr>
        <w:t>完善政策和改进管理</w:t>
      </w:r>
      <w:bookmarkStart w:id="95" w:name="_GoBack"/>
      <w:bookmarkEnd w:id="95"/>
      <w:r>
        <w:rPr>
          <w:rFonts w:hint="eastAsia" w:hAnsi="宋体"/>
          <w:sz w:val="32"/>
          <w:szCs w:val="32"/>
        </w:rPr>
        <w:t>的重要依据，</w:t>
      </w:r>
      <w:r>
        <w:rPr>
          <w:rFonts w:hint="eastAsia" w:hAnsi="宋体"/>
          <w:sz w:val="32"/>
          <w:szCs w:val="32"/>
          <w:lang w:eastAsia="zh-CN"/>
        </w:rPr>
        <w:t>部门</w:t>
      </w:r>
      <w:r>
        <w:rPr>
          <w:rFonts w:hint="eastAsia" w:hAnsi="宋体"/>
          <w:sz w:val="32"/>
          <w:szCs w:val="32"/>
        </w:rPr>
        <w:t>要加强评价结果的应用。根据政策文件规定，</w:t>
      </w:r>
      <w:r>
        <w:rPr>
          <w:rFonts w:hint="eastAsia" w:hAnsi="宋体"/>
          <w:sz w:val="32"/>
          <w:szCs w:val="32"/>
          <w:lang w:eastAsia="zh-CN"/>
        </w:rPr>
        <w:t>我院</w:t>
      </w:r>
      <w:r>
        <w:rPr>
          <w:rFonts w:hint="eastAsia" w:hAnsi="宋体"/>
          <w:sz w:val="32"/>
          <w:szCs w:val="32"/>
        </w:rPr>
        <w:t>绩效自评结果将编入</w:t>
      </w:r>
      <w:r>
        <w:rPr>
          <w:rFonts w:hint="eastAsia" w:hAnsi="宋体"/>
          <w:sz w:val="32"/>
          <w:szCs w:val="32"/>
          <w:lang w:eastAsia="zh-CN"/>
        </w:rPr>
        <w:t>2023年度</w:t>
      </w:r>
      <w:r>
        <w:rPr>
          <w:rFonts w:hint="eastAsia" w:hAnsi="宋体"/>
          <w:sz w:val="32"/>
          <w:szCs w:val="32"/>
        </w:rPr>
        <w:t>决算中，随同</w:t>
      </w:r>
      <w:r>
        <w:rPr>
          <w:rFonts w:hint="eastAsia" w:hAnsi="宋体"/>
          <w:sz w:val="32"/>
          <w:szCs w:val="32"/>
          <w:lang w:eastAsia="zh-CN"/>
        </w:rPr>
        <w:t>2023年度部门</w:t>
      </w:r>
      <w:r>
        <w:rPr>
          <w:rFonts w:hint="eastAsia" w:hAnsi="宋体"/>
          <w:sz w:val="32"/>
          <w:szCs w:val="32"/>
        </w:rPr>
        <w:t>决算同步公开。</w:t>
      </w:r>
    </w:p>
    <w:p w14:paraId="3EECEC96">
      <w:pPr>
        <w:pStyle w:val="2"/>
        <w:pageBreakBefore w:val="0"/>
        <w:numPr>
          <w:ilvl w:val="0"/>
          <w:numId w:val="1"/>
        </w:numPr>
        <w:kinsoku/>
        <w:wordWrap/>
        <w:overflowPunct/>
        <w:topLinePunct w:val="0"/>
        <w:autoSpaceDE/>
        <w:autoSpaceDN/>
        <w:bidi w:val="0"/>
        <w:adjustRightInd/>
        <w:snapToGrid/>
        <w:spacing w:before="0" w:after="0" w:line="560" w:lineRule="exact"/>
        <w:ind w:firstLine="643" w:firstLineChars="200"/>
        <w:textAlignment w:val="auto"/>
        <w:rPr>
          <w:rFonts w:hint="eastAsia"/>
          <w:sz w:val="32"/>
          <w:szCs w:val="32"/>
        </w:rPr>
      </w:pPr>
      <w:bookmarkStart w:id="89" w:name="_Toc21490"/>
      <w:bookmarkStart w:id="90" w:name="_Toc17181"/>
      <w:bookmarkStart w:id="91" w:name="_Toc40046066"/>
      <w:bookmarkStart w:id="92" w:name="_Toc4491"/>
      <w:bookmarkStart w:id="93" w:name="_Toc6781"/>
      <w:bookmarkStart w:id="94" w:name="_Toc11027"/>
      <w:r>
        <w:rPr>
          <w:rFonts w:hint="eastAsia"/>
          <w:sz w:val="32"/>
          <w:szCs w:val="32"/>
        </w:rPr>
        <w:t>其他需要说明的问</w:t>
      </w:r>
      <w:bookmarkEnd w:id="89"/>
      <w:bookmarkEnd w:id="90"/>
      <w:bookmarkEnd w:id="91"/>
      <w:bookmarkEnd w:id="92"/>
      <w:bookmarkEnd w:id="93"/>
      <w:r>
        <w:rPr>
          <w:rFonts w:hint="eastAsia"/>
          <w:sz w:val="32"/>
          <w:szCs w:val="32"/>
          <w:lang w:val="en-US" w:eastAsia="zh-CN"/>
        </w:rPr>
        <w:t>题</w:t>
      </w:r>
      <w:bookmarkEnd w:id="94"/>
    </w:p>
    <w:p w14:paraId="045F8C54">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eastAsia="仿宋_GB2312"/>
          <w:sz w:val="32"/>
          <w:szCs w:val="32"/>
          <w:lang w:val="en-US" w:eastAsia="zh-CN"/>
        </w:rPr>
      </w:pPr>
      <w:r>
        <w:rPr>
          <w:rFonts w:hint="eastAsia"/>
          <w:sz w:val="32"/>
          <w:szCs w:val="32"/>
          <w:lang w:val="en-US" w:eastAsia="zh-CN"/>
        </w:rPr>
        <w:t>无。</w:t>
      </w:r>
    </w:p>
    <w:p w14:paraId="1DEB7145">
      <w:pPr>
        <w:ind w:firstLine="0" w:firstLineChars="0"/>
        <w:jc w:val="center"/>
        <w:rPr>
          <w:rFonts w:hint="eastAsia" w:ascii="宋体" w:hAnsi="宋体" w:eastAsia="宋体"/>
          <w:b/>
          <w:bCs/>
          <w:sz w:val="32"/>
          <w:szCs w:val="32"/>
          <w:lang w:eastAsia="zh-CN"/>
        </w:rPr>
      </w:pPr>
    </w:p>
    <w:p w14:paraId="65FA10FD">
      <w:pPr>
        <w:rPr>
          <w:rFonts w:hint="eastAsia" w:ascii="宋体" w:hAnsi="宋体" w:eastAsia="宋体"/>
          <w:b/>
          <w:bCs/>
          <w:sz w:val="32"/>
          <w:szCs w:val="32"/>
          <w:lang w:eastAsia="zh-CN"/>
        </w:rPr>
      </w:pPr>
    </w:p>
    <w:p w14:paraId="5B278EBC">
      <w:pPr>
        <w:pStyle w:val="18"/>
        <w:rPr>
          <w:rFonts w:hint="eastAsia" w:ascii="宋体" w:hAnsi="宋体" w:eastAsia="宋体"/>
          <w:b/>
          <w:bCs/>
          <w:sz w:val="32"/>
          <w:szCs w:val="32"/>
          <w:lang w:eastAsia="zh-CN"/>
        </w:rPr>
      </w:pPr>
    </w:p>
    <w:p w14:paraId="031252C9">
      <w:pPr>
        <w:rPr>
          <w:rFonts w:hint="eastAsia"/>
          <w:lang w:eastAsia="zh-CN"/>
        </w:rPr>
      </w:pPr>
    </w:p>
    <w:p w14:paraId="3E7B3E22">
      <w:pPr>
        <w:rPr>
          <w:rFonts w:hint="eastAsia"/>
          <w:lang w:eastAsia="zh-CN"/>
        </w:rPr>
      </w:pPr>
    </w:p>
    <w:p w14:paraId="04A8635F">
      <w:pPr>
        <w:pStyle w:val="18"/>
        <w:rPr>
          <w:rFonts w:hint="eastAsia" w:ascii="宋体" w:hAnsi="宋体" w:eastAsia="宋体"/>
          <w:b/>
          <w:bCs/>
          <w:sz w:val="32"/>
          <w:szCs w:val="32"/>
          <w:lang w:eastAsia="zh-CN"/>
        </w:rPr>
      </w:pPr>
    </w:p>
    <w:p w14:paraId="05CBC9D2">
      <w:pPr>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hAnsi="宋体"/>
          <w:b/>
          <w:bCs/>
          <w:i w:val="0"/>
          <w:iCs w:val="0"/>
          <w:sz w:val="32"/>
          <w:szCs w:val="32"/>
          <w:lang w:eastAsia="zh-CN"/>
        </w:rPr>
      </w:pPr>
      <w:r>
        <w:rPr>
          <w:rFonts w:hint="eastAsia" w:ascii="宋体" w:hAnsi="宋体" w:eastAsia="宋体"/>
          <w:b/>
          <w:bCs/>
          <w:i w:val="0"/>
          <w:iCs w:val="0"/>
          <w:sz w:val="32"/>
          <w:szCs w:val="32"/>
          <w:lang w:val="en-US" w:eastAsia="zh-CN"/>
        </w:rPr>
        <w:t xml:space="preserve">  </w:t>
      </w:r>
      <w:r>
        <w:rPr>
          <w:rFonts w:hint="eastAsia" w:hAnsi="宋体"/>
          <w:b/>
          <w:bCs/>
          <w:i w:val="0"/>
          <w:iCs w:val="0"/>
          <w:sz w:val="32"/>
          <w:szCs w:val="32"/>
          <w:lang w:val="en-US" w:eastAsia="zh-CN"/>
        </w:rPr>
        <w:t xml:space="preserve">                        </w:t>
      </w:r>
      <w:r>
        <w:rPr>
          <w:rFonts w:hint="eastAsia" w:hAnsi="宋体"/>
          <w:b/>
          <w:bCs/>
          <w:i w:val="0"/>
          <w:iCs w:val="0"/>
          <w:sz w:val="32"/>
          <w:szCs w:val="32"/>
          <w:lang w:eastAsia="zh-CN"/>
        </w:rPr>
        <w:t>兰州市西固区人民法院</w:t>
      </w:r>
    </w:p>
    <w:p w14:paraId="40139E33">
      <w:pPr>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hAnsi="宋体"/>
          <w:b/>
          <w:bCs/>
          <w:i w:val="0"/>
          <w:iCs w:val="0"/>
          <w:sz w:val="32"/>
          <w:szCs w:val="32"/>
          <w:lang w:val="en-US" w:eastAsia="zh-CN"/>
        </w:rPr>
      </w:pPr>
      <w:r>
        <w:rPr>
          <w:rFonts w:hint="eastAsia" w:hAnsi="宋体"/>
          <w:b/>
          <w:bCs/>
          <w:i w:val="0"/>
          <w:iCs w:val="0"/>
          <w:sz w:val="32"/>
          <w:szCs w:val="32"/>
          <w:lang w:val="en-US" w:eastAsia="zh-CN"/>
        </w:rPr>
        <w:t xml:space="preserve">                             </w:t>
      </w:r>
      <w:r>
        <w:rPr>
          <w:rFonts w:hint="eastAsia" w:hAnsi="宋体"/>
          <w:b/>
          <w:bCs/>
          <w:i w:val="0"/>
          <w:iCs w:val="0"/>
          <w:sz w:val="32"/>
          <w:szCs w:val="32"/>
        </w:rPr>
        <w:t>202</w:t>
      </w:r>
      <w:r>
        <w:rPr>
          <w:rFonts w:hint="eastAsia" w:hAnsi="宋体"/>
          <w:b/>
          <w:bCs/>
          <w:i w:val="0"/>
          <w:iCs w:val="0"/>
          <w:sz w:val="32"/>
          <w:szCs w:val="32"/>
          <w:lang w:val="en-US" w:eastAsia="zh-CN"/>
        </w:rPr>
        <w:t>4</w:t>
      </w:r>
      <w:r>
        <w:rPr>
          <w:rFonts w:hint="eastAsia" w:hAnsi="宋体"/>
          <w:b/>
          <w:bCs/>
          <w:i w:val="0"/>
          <w:iCs w:val="0"/>
          <w:sz w:val="32"/>
          <w:szCs w:val="32"/>
        </w:rPr>
        <w:t>年</w:t>
      </w:r>
      <w:r>
        <w:rPr>
          <w:rFonts w:hint="eastAsia" w:hAnsi="宋体"/>
          <w:b/>
          <w:bCs/>
          <w:i w:val="0"/>
          <w:iCs w:val="0"/>
          <w:sz w:val="32"/>
          <w:szCs w:val="32"/>
          <w:lang w:val="en-US" w:eastAsia="zh-CN"/>
        </w:rPr>
        <w:t>3</w:t>
      </w:r>
      <w:r>
        <w:rPr>
          <w:rFonts w:hint="eastAsia" w:hAnsi="宋体"/>
          <w:b/>
          <w:bCs/>
          <w:i w:val="0"/>
          <w:iCs w:val="0"/>
          <w:sz w:val="32"/>
          <w:szCs w:val="32"/>
        </w:rPr>
        <w:t>月</w:t>
      </w:r>
      <w:r>
        <w:rPr>
          <w:rFonts w:hint="eastAsia" w:hAnsi="宋体"/>
          <w:b/>
          <w:bCs/>
          <w:i w:val="0"/>
          <w:iCs w:val="0"/>
          <w:sz w:val="32"/>
          <w:szCs w:val="32"/>
          <w:lang w:val="en-US" w:eastAsia="zh-CN"/>
        </w:rPr>
        <w:t>15日</w:t>
      </w:r>
    </w:p>
    <w:p w14:paraId="45C7B9B3">
      <w:pPr>
        <w:rPr>
          <w:rFonts w:hint="eastAsia" w:ascii="宋体" w:hAnsi="宋体" w:eastAsia="宋体"/>
          <w:b/>
          <w:bCs/>
          <w:sz w:val="32"/>
          <w:szCs w:val="32"/>
          <w:lang w:eastAsia="zh-CN"/>
        </w:rPr>
      </w:pPr>
    </w:p>
    <w:p w14:paraId="64B5D57A">
      <w:pPr>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hAnsi="宋体"/>
          <w:sz w:val="32"/>
          <w:szCs w:val="32"/>
          <w:lang w:val="en-US" w:eastAsia="zh-CN"/>
        </w:rPr>
      </w:pPr>
      <w:r>
        <w:rPr>
          <w:rFonts w:hint="eastAsia" w:ascii="宋体" w:hAnsi="宋体" w:eastAsia="宋体"/>
          <w:b/>
          <w:bCs/>
          <w:sz w:val="32"/>
          <w:szCs w:val="32"/>
          <w:lang w:val="en-US" w:eastAsia="zh-CN"/>
        </w:rPr>
        <w:t xml:space="preserve">                  </w:t>
      </w:r>
    </w:p>
    <w:p w14:paraId="2E5214D2">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hAnsi="宋体"/>
          <w:sz w:val="32"/>
          <w:szCs w:val="32"/>
        </w:rPr>
      </w:pPr>
    </w:p>
    <w:sectPr>
      <w:footerReference r:id="rId8" w:type="default"/>
      <w:pgSz w:w="11906" w:h="16838"/>
      <w:pgMar w:top="1440" w:right="1519" w:bottom="1440" w:left="1633" w:header="851" w:footer="737"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A1D26">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29C01">
    <w:pPr>
      <w:pStyle w:val="12"/>
      <w:ind w:firstLine="360"/>
      <w:jc w:val="center"/>
    </w:pPr>
  </w:p>
  <w:p w14:paraId="05B2C352">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2ED9F">
    <w:pPr>
      <w:pStyle w:val="12"/>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2456180</wp:posOffset>
              </wp:positionH>
              <wp:positionV relativeFrom="paragraph">
                <wp:posOffset>-7620</wp:posOffset>
              </wp:positionV>
              <wp:extent cx="702310" cy="7600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02310" cy="760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8059213"/>
                          </w:sdtPr>
                          <w:sdtContent>
                            <w:p w14:paraId="3E2FBAAA">
                              <w:pPr>
                                <w:pStyle w:val="12"/>
                                <w:ind w:firstLine="360"/>
                                <w:jc w:val="both"/>
                              </w:pPr>
                              <w:r>
                                <w:fldChar w:fldCharType="begin"/>
                              </w:r>
                              <w:r>
                                <w:instrText xml:space="preserve">PAGE   \* MERGEFORMAT</w:instrText>
                              </w:r>
                              <w:r>
                                <w:fldChar w:fldCharType="separate"/>
                              </w:r>
                              <w:r>
                                <w:rPr>
                                  <w:lang w:val="zh-CN"/>
                                </w:rPr>
                                <w:t>2</w:t>
                              </w:r>
                              <w:r>
                                <w:fldChar w:fldCharType="end"/>
                              </w:r>
                            </w:p>
                          </w:sdtContent>
                        </w:sdt>
                        <w:p w14:paraId="24EABD69">
                          <w:pPr>
                            <w:pStyle w:val="20"/>
                            <w:jc w:val="cente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3.4pt;margin-top:-0.6pt;height:59.85pt;width:55.3pt;mso-position-horizontal-relative:margin;z-index:251659264;mso-width-relative:page;mso-height-relative:page;" filled="f" stroked="f" coordsize="21600,21600" o:gfxdata="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Yleeb2QAAAAoBAAAPAAAAAAAAAAEAIAAAACIAAABkcnMvZG93&#10;bnJldi54bWxQSwECFAAUAAAACACHTuJABvZaSzgCAABhBAAADgAAAAAAAAABACAAAAAoAQAAZHJz&#10;L2Uyb0RvYy54bWxQSwUGAAAAAAYABgBZAQAA0gUAAAAA&#10;">
              <v:fill on="f" focussize="0,0"/>
              <v:stroke on="f" weight="0.5pt"/>
              <v:imagedata o:title=""/>
              <o:lock v:ext="edit" aspectratio="f"/>
              <v:textbox inset="0mm,0mm,0mm,0mm">
                <w:txbxContent>
                  <w:sdt>
                    <w:sdtPr>
                      <w:id w:val="1888059213"/>
                    </w:sdtPr>
                    <w:sdtContent>
                      <w:p w14:paraId="3E2FBAAA">
                        <w:pPr>
                          <w:pStyle w:val="12"/>
                          <w:ind w:firstLine="360"/>
                          <w:jc w:val="both"/>
                        </w:pPr>
                        <w:r>
                          <w:fldChar w:fldCharType="begin"/>
                        </w:r>
                        <w:r>
                          <w:instrText xml:space="preserve">PAGE   \* MERGEFORMAT</w:instrText>
                        </w:r>
                        <w:r>
                          <w:fldChar w:fldCharType="separate"/>
                        </w:r>
                        <w:r>
                          <w:rPr>
                            <w:lang w:val="zh-CN"/>
                          </w:rPr>
                          <w:t>2</w:t>
                        </w:r>
                        <w:r>
                          <w:fldChar w:fldCharType="end"/>
                        </w:r>
                      </w:p>
                    </w:sdtContent>
                  </w:sdt>
                  <w:p w14:paraId="24EABD69">
                    <w:pPr>
                      <w:pStyle w:val="20"/>
                      <w:jc w:val="center"/>
                    </w:pPr>
                  </w:p>
                </w:txbxContent>
              </v:textbox>
            </v:shape>
          </w:pict>
        </mc:Fallback>
      </mc:AlternateContent>
    </w:r>
  </w:p>
  <w:p w14:paraId="5BF5857F">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BE1D">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3BDF58"/>
    <w:multiLevelType w:val="singleLevel"/>
    <w:tmpl w:val="F93BDF5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kNmY1OGI3NzlhMDhhODhlYjcyMGNmNDNmYjhhZDMifQ=="/>
  </w:docVars>
  <w:rsids>
    <w:rsidRoot w:val="00172A27"/>
    <w:rsid w:val="00052A18"/>
    <w:rsid w:val="00074885"/>
    <w:rsid w:val="000846DD"/>
    <w:rsid w:val="0009668A"/>
    <w:rsid w:val="000A57E0"/>
    <w:rsid w:val="000A6007"/>
    <w:rsid w:val="000B791F"/>
    <w:rsid w:val="000D228A"/>
    <w:rsid w:val="00116A7E"/>
    <w:rsid w:val="001317A2"/>
    <w:rsid w:val="00132B05"/>
    <w:rsid w:val="00136178"/>
    <w:rsid w:val="00172A27"/>
    <w:rsid w:val="001A5FBA"/>
    <w:rsid w:val="001C3244"/>
    <w:rsid w:val="001C5292"/>
    <w:rsid w:val="001F5079"/>
    <w:rsid w:val="00213991"/>
    <w:rsid w:val="0026306D"/>
    <w:rsid w:val="002A00B7"/>
    <w:rsid w:val="002A2B4C"/>
    <w:rsid w:val="002A4C84"/>
    <w:rsid w:val="002C705C"/>
    <w:rsid w:val="00354A66"/>
    <w:rsid w:val="0037297D"/>
    <w:rsid w:val="003A4775"/>
    <w:rsid w:val="003B33F8"/>
    <w:rsid w:val="003B4445"/>
    <w:rsid w:val="00411640"/>
    <w:rsid w:val="00440055"/>
    <w:rsid w:val="004555C6"/>
    <w:rsid w:val="00486086"/>
    <w:rsid w:val="004951D2"/>
    <w:rsid w:val="004A31A3"/>
    <w:rsid w:val="004A6727"/>
    <w:rsid w:val="004C4F85"/>
    <w:rsid w:val="004D56A6"/>
    <w:rsid w:val="0050326C"/>
    <w:rsid w:val="0051422B"/>
    <w:rsid w:val="0052622F"/>
    <w:rsid w:val="00591A5D"/>
    <w:rsid w:val="005F4EFE"/>
    <w:rsid w:val="006903F9"/>
    <w:rsid w:val="006A4784"/>
    <w:rsid w:val="006C7775"/>
    <w:rsid w:val="006D3D71"/>
    <w:rsid w:val="006F31A0"/>
    <w:rsid w:val="007104B3"/>
    <w:rsid w:val="00756C8C"/>
    <w:rsid w:val="007616B0"/>
    <w:rsid w:val="0077240E"/>
    <w:rsid w:val="007C3784"/>
    <w:rsid w:val="007C52D7"/>
    <w:rsid w:val="007C78AD"/>
    <w:rsid w:val="007D2489"/>
    <w:rsid w:val="007D7D6C"/>
    <w:rsid w:val="00814620"/>
    <w:rsid w:val="00835CA9"/>
    <w:rsid w:val="008559BB"/>
    <w:rsid w:val="00872C90"/>
    <w:rsid w:val="008901DE"/>
    <w:rsid w:val="008949AA"/>
    <w:rsid w:val="008B0628"/>
    <w:rsid w:val="008B7A39"/>
    <w:rsid w:val="008D4175"/>
    <w:rsid w:val="00911B80"/>
    <w:rsid w:val="009165DD"/>
    <w:rsid w:val="009302C0"/>
    <w:rsid w:val="00984072"/>
    <w:rsid w:val="009C15A4"/>
    <w:rsid w:val="009D7ABF"/>
    <w:rsid w:val="00A149C3"/>
    <w:rsid w:val="00A55CA9"/>
    <w:rsid w:val="00A959C7"/>
    <w:rsid w:val="00AE078A"/>
    <w:rsid w:val="00B42316"/>
    <w:rsid w:val="00B435CF"/>
    <w:rsid w:val="00C07477"/>
    <w:rsid w:val="00C253A6"/>
    <w:rsid w:val="00C44682"/>
    <w:rsid w:val="00C543AD"/>
    <w:rsid w:val="00C561AA"/>
    <w:rsid w:val="00C5770C"/>
    <w:rsid w:val="00C65841"/>
    <w:rsid w:val="00CA4117"/>
    <w:rsid w:val="00CA6255"/>
    <w:rsid w:val="00CD4DA0"/>
    <w:rsid w:val="00CE7F24"/>
    <w:rsid w:val="00CF4F52"/>
    <w:rsid w:val="00D0323B"/>
    <w:rsid w:val="00D62102"/>
    <w:rsid w:val="00D65327"/>
    <w:rsid w:val="00DA4915"/>
    <w:rsid w:val="00DC0D4D"/>
    <w:rsid w:val="00DC252A"/>
    <w:rsid w:val="00E2030F"/>
    <w:rsid w:val="00E343E5"/>
    <w:rsid w:val="00E63FE2"/>
    <w:rsid w:val="00E71216"/>
    <w:rsid w:val="00EC69A8"/>
    <w:rsid w:val="00F74A57"/>
    <w:rsid w:val="00F869BE"/>
    <w:rsid w:val="00FB4EB0"/>
    <w:rsid w:val="00FC28C9"/>
    <w:rsid w:val="00FF2BDA"/>
    <w:rsid w:val="01183111"/>
    <w:rsid w:val="0125204F"/>
    <w:rsid w:val="016210FD"/>
    <w:rsid w:val="01865733"/>
    <w:rsid w:val="01A06E9D"/>
    <w:rsid w:val="023A109F"/>
    <w:rsid w:val="02441F1E"/>
    <w:rsid w:val="0294218E"/>
    <w:rsid w:val="029A7D15"/>
    <w:rsid w:val="02D93C69"/>
    <w:rsid w:val="0305754E"/>
    <w:rsid w:val="03586C8C"/>
    <w:rsid w:val="03B80F4C"/>
    <w:rsid w:val="03B93EF4"/>
    <w:rsid w:val="03DE64EE"/>
    <w:rsid w:val="045D1075"/>
    <w:rsid w:val="046D109D"/>
    <w:rsid w:val="04AE1CD1"/>
    <w:rsid w:val="04AE6573"/>
    <w:rsid w:val="04C826FC"/>
    <w:rsid w:val="04D710AE"/>
    <w:rsid w:val="05431AC5"/>
    <w:rsid w:val="055B4129"/>
    <w:rsid w:val="058F525E"/>
    <w:rsid w:val="05D64F65"/>
    <w:rsid w:val="06303390"/>
    <w:rsid w:val="064F716B"/>
    <w:rsid w:val="068B5D38"/>
    <w:rsid w:val="06B8742D"/>
    <w:rsid w:val="06D575E9"/>
    <w:rsid w:val="06E8731C"/>
    <w:rsid w:val="06F265AD"/>
    <w:rsid w:val="06F90833"/>
    <w:rsid w:val="071E5658"/>
    <w:rsid w:val="07930250"/>
    <w:rsid w:val="07AF39D1"/>
    <w:rsid w:val="07DE28D4"/>
    <w:rsid w:val="080E4270"/>
    <w:rsid w:val="0870118C"/>
    <w:rsid w:val="087F1930"/>
    <w:rsid w:val="088272FC"/>
    <w:rsid w:val="08A7247E"/>
    <w:rsid w:val="08A728CF"/>
    <w:rsid w:val="08A84A40"/>
    <w:rsid w:val="08F834BD"/>
    <w:rsid w:val="09077DF6"/>
    <w:rsid w:val="091241C8"/>
    <w:rsid w:val="09376339"/>
    <w:rsid w:val="09B13A45"/>
    <w:rsid w:val="09BE6112"/>
    <w:rsid w:val="0A6C3DC0"/>
    <w:rsid w:val="0AAC7535"/>
    <w:rsid w:val="0AFD6D5D"/>
    <w:rsid w:val="0B3D575C"/>
    <w:rsid w:val="0B8D6294"/>
    <w:rsid w:val="0B987180"/>
    <w:rsid w:val="0BA35E5E"/>
    <w:rsid w:val="0BA70E60"/>
    <w:rsid w:val="0BD15EFA"/>
    <w:rsid w:val="0BE1433A"/>
    <w:rsid w:val="0C040E46"/>
    <w:rsid w:val="0C126BE9"/>
    <w:rsid w:val="0C6032F9"/>
    <w:rsid w:val="0C6C6699"/>
    <w:rsid w:val="0C8F023A"/>
    <w:rsid w:val="0CC52C30"/>
    <w:rsid w:val="0DD248FB"/>
    <w:rsid w:val="0DE74A3D"/>
    <w:rsid w:val="0DF0188C"/>
    <w:rsid w:val="0DF46805"/>
    <w:rsid w:val="0E071816"/>
    <w:rsid w:val="0E130328"/>
    <w:rsid w:val="0E14510B"/>
    <w:rsid w:val="0E301370"/>
    <w:rsid w:val="0E5E4367"/>
    <w:rsid w:val="0E791344"/>
    <w:rsid w:val="0E975183"/>
    <w:rsid w:val="0E9E4764"/>
    <w:rsid w:val="0EB9159E"/>
    <w:rsid w:val="0ECC7523"/>
    <w:rsid w:val="0EFB3AF7"/>
    <w:rsid w:val="0F087E2F"/>
    <w:rsid w:val="0F0E7B3C"/>
    <w:rsid w:val="0F5301E5"/>
    <w:rsid w:val="0FAD1102"/>
    <w:rsid w:val="0FBE7ED7"/>
    <w:rsid w:val="0FC91CB4"/>
    <w:rsid w:val="10953945"/>
    <w:rsid w:val="109A22B0"/>
    <w:rsid w:val="10ED0DA6"/>
    <w:rsid w:val="115B7B4E"/>
    <w:rsid w:val="119368FA"/>
    <w:rsid w:val="11A11963"/>
    <w:rsid w:val="11C03DEA"/>
    <w:rsid w:val="11C20FE9"/>
    <w:rsid w:val="11CF41B2"/>
    <w:rsid w:val="11E85901"/>
    <w:rsid w:val="126D4DDF"/>
    <w:rsid w:val="12F942BB"/>
    <w:rsid w:val="134B3AC3"/>
    <w:rsid w:val="14055456"/>
    <w:rsid w:val="1410241B"/>
    <w:rsid w:val="145A3A29"/>
    <w:rsid w:val="146A4AEC"/>
    <w:rsid w:val="14776835"/>
    <w:rsid w:val="14A1264A"/>
    <w:rsid w:val="14A14FAE"/>
    <w:rsid w:val="14A237DC"/>
    <w:rsid w:val="14C17805"/>
    <w:rsid w:val="14E24EBA"/>
    <w:rsid w:val="1578500A"/>
    <w:rsid w:val="15937A9B"/>
    <w:rsid w:val="15B716F5"/>
    <w:rsid w:val="15E23539"/>
    <w:rsid w:val="160A3D95"/>
    <w:rsid w:val="16133C89"/>
    <w:rsid w:val="169A0A5A"/>
    <w:rsid w:val="16EA10E2"/>
    <w:rsid w:val="171A2DA3"/>
    <w:rsid w:val="17364B64"/>
    <w:rsid w:val="17400B06"/>
    <w:rsid w:val="17914727"/>
    <w:rsid w:val="17A22D12"/>
    <w:rsid w:val="17A41D79"/>
    <w:rsid w:val="17D45E88"/>
    <w:rsid w:val="18657FD3"/>
    <w:rsid w:val="187F540D"/>
    <w:rsid w:val="18CA4D24"/>
    <w:rsid w:val="19167A27"/>
    <w:rsid w:val="19444033"/>
    <w:rsid w:val="194F153B"/>
    <w:rsid w:val="1980048D"/>
    <w:rsid w:val="19855E4D"/>
    <w:rsid w:val="198804EA"/>
    <w:rsid w:val="199708B4"/>
    <w:rsid w:val="19A35684"/>
    <w:rsid w:val="19A8223C"/>
    <w:rsid w:val="19C01A32"/>
    <w:rsid w:val="19C85E69"/>
    <w:rsid w:val="1A1A43C2"/>
    <w:rsid w:val="1A575D09"/>
    <w:rsid w:val="1A913C2A"/>
    <w:rsid w:val="1A9147FE"/>
    <w:rsid w:val="1AB901AA"/>
    <w:rsid w:val="1ABA3711"/>
    <w:rsid w:val="1ACC2EC5"/>
    <w:rsid w:val="1B3604F2"/>
    <w:rsid w:val="1B367A94"/>
    <w:rsid w:val="1B391536"/>
    <w:rsid w:val="1B7D7F7E"/>
    <w:rsid w:val="1C5B1F61"/>
    <w:rsid w:val="1C770035"/>
    <w:rsid w:val="1C934265"/>
    <w:rsid w:val="1CA9356C"/>
    <w:rsid w:val="1CB60D97"/>
    <w:rsid w:val="1CC41839"/>
    <w:rsid w:val="1CD540C4"/>
    <w:rsid w:val="1CE82FAE"/>
    <w:rsid w:val="1D172F01"/>
    <w:rsid w:val="1D4B7A4A"/>
    <w:rsid w:val="1D6B5FA6"/>
    <w:rsid w:val="1DE5415D"/>
    <w:rsid w:val="1E0730ED"/>
    <w:rsid w:val="1E4A23BC"/>
    <w:rsid w:val="1EC73863"/>
    <w:rsid w:val="1EFC175F"/>
    <w:rsid w:val="1FB70067"/>
    <w:rsid w:val="1FE660FF"/>
    <w:rsid w:val="201C2D22"/>
    <w:rsid w:val="204131A1"/>
    <w:rsid w:val="20462111"/>
    <w:rsid w:val="205A1343"/>
    <w:rsid w:val="206A11BC"/>
    <w:rsid w:val="20B724D5"/>
    <w:rsid w:val="21132B7C"/>
    <w:rsid w:val="215313DE"/>
    <w:rsid w:val="216E0AF3"/>
    <w:rsid w:val="21A10725"/>
    <w:rsid w:val="21D94E53"/>
    <w:rsid w:val="21E94BEF"/>
    <w:rsid w:val="22C541CF"/>
    <w:rsid w:val="22F26762"/>
    <w:rsid w:val="23A31DC3"/>
    <w:rsid w:val="23AF71DA"/>
    <w:rsid w:val="23C10B07"/>
    <w:rsid w:val="23C75000"/>
    <w:rsid w:val="23D72F83"/>
    <w:rsid w:val="24223CEC"/>
    <w:rsid w:val="247C56A2"/>
    <w:rsid w:val="248C0A40"/>
    <w:rsid w:val="24A819DF"/>
    <w:rsid w:val="24C11AF8"/>
    <w:rsid w:val="24E54A43"/>
    <w:rsid w:val="253F5D01"/>
    <w:rsid w:val="25AB104A"/>
    <w:rsid w:val="25D37B28"/>
    <w:rsid w:val="25DC263A"/>
    <w:rsid w:val="25E12217"/>
    <w:rsid w:val="26323CB8"/>
    <w:rsid w:val="26555BF8"/>
    <w:rsid w:val="269A7D3C"/>
    <w:rsid w:val="270E5FB0"/>
    <w:rsid w:val="272812F7"/>
    <w:rsid w:val="2793114F"/>
    <w:rsid w:val="27B55EFF"/>
    <w:rsid w:val="27EC5A7D"/>
    <w:rsid w:val="27F751B9"/>
    <w:rsid w:val="27FA58DE"/>
    <w:rsid w:val="281C4006"/>
    <w:rsid w:val="2841391F"/>
    <w:rsid w:val="28452D46"/>
    <w:rsid w:val="285A7104"/>
    <w:rsid w:val="2872534E"/>
    <w:rsid w:val="28A571DE"/>
    <w:rsid w:val="28BB61E6"/>
    <w:rsid w:val="28F33A63"/>
    <w:rsid w:val="29121B7F"/>
    <w:rsid w:val="29440026"/>
    <w:rsid w:val="29447DE6"/>
    <w:rsid w:val="295973BD"/>
    <w:rsid w:val="295F59C6"/>
    <w:rsid w:val="298720F0"/>
    <w:rsid w:val="29D52BB5"/>
    <w:rsid w:val="29E06696"/>
    <w:rsid w:val="29F55728"/>
    <w:rsid w:val="29FA3933"/>
    <w:rsid w:val="2A070BEE"/>
    <w:rsid w:val="2A273408"/>
    <w:rsid w:val="2A731D21"/>
    <w:rsid w:val="2A7F3244"/>
    <w:rsid w:val="2AB949A8"/>
    <w:rsid w:val="2ACD0453"/>
    <w:rsid w:val="2ACE3A90"/>
    <w:rsid w:val="2B0A5203"/>
    <w:rsid w:val="2B252A91"/>
    <w:rsid w:val="2B4017F0"/>
    <w:rsid w:val="2B6348E0"/>
    <w:rsid w:val="2B970537"/>
    <w:rsid w:val="2BD77343"/>
    <w:rsid w:val="2BE76212"/>
    <w:rsid w:val="2C09185D"/>
    <w:rsid w:val="2C0F7531"/>
    <w:rsid w:val="2C7A0167"/>
    <w:rsid w:val="2C8F33BD"/>
    <w:rsid w:val="2C8F54B1"/>
    <w:rsid w:val="2D5662C8"/>
    <w:rsid w:val="2DF56335"/>
    <w:rsid w:val="2DF9286A"/>
    <w:rsid w:val="2E8A17A7"/>
    <w:rsid w:val="2ED6443A"/>
    <w:rsid w:val="2EE138F7"/>
    <w:rsid w:val="2F0C4BE3"/>
    <w:rsid w:val="2F377CAB"/>
    <w:rsid w:val="2F4D1ED1"/>
    <w:rsid w:val="2FCB61DD"/>
    <w:rsid w:val="30952D41"/>
    <w:rsid w:val="309F69C4"/>
    <w:rsid w:val="30DD0CC4"/>
    <w:rsid w:val="30E271B6"/>
    <w:rsid w:val="30E9060F"/>
    <w:rsid w:val="31397F4B"/>
    <w:rsid w:val="31541DBA"/>
    <w:rsid w:val="317070E4"/>
    <w:rsid w:val="31775428"/>
    <w:rsid w:val="318F7220"/>
    <w:rsid w:val="31B63FAB"/>
    <w:rsid w:val="31D65E3F"/>
    <w:rsid w:val="31EB672C"/>
    <w:rsid w:val="31F02617"/>
    <w:rsid w:val="329A6E6D"/>
    <w:rsid w:val="32DC4272"/>
    <w:rsid w:val="33150BE9"/>
    <w:rsid w:val="336C775A"/>
    <w:rsid w:val="33725861"/>
    <w:rsid w:val="33CF4883"/>
    <w:rsid w:val="33D62126"/>
    <w:rsid w:val="33D75E9F"/>
    <w:rsid w:val="33DE375D"/>
    <w:rsid w:val="33F71B1A"/>
    <w:rsid w:val="342E014E"/>
    <w:rsid w:val="346A0719"/>
    <w:rsid w:val="34B306BA"/>
    <w:rsid w:val="34BC46A1"/>
    <w:rsid w:val="34D36666"/>
    <w:rsid w:val="34F146C2"/>
    <w:rsid w:val="351358AA"/>
    <w:rsid w:val="35303AB8"/>
    <w:rsid w:val="35324607"/>
    <w:rsid w:val="363277FD"/>
    <w:rsid w:val="365E57FF"/>
    <w:rsid w:val="366A70C8"/>
    <w:rsid w:val="366C6E1C"/>
    <w:rsid w:val="36AF7935"/>
    <w:rsid w:val="36B928EF"/>
    <w:rsid w:val="36D901FE"/>
    <w:rsid w:val="37164F30"/>
    <w:rsid w:val="372B7BCD"/>
    <w:rsid w:val="376728C4"/>
    <w:rsid w:val="376E08C8"/>
    <w:rsid w:val="379067CC"/>
    <w:rsid w:val="37BD480F"/>
    <w:rsid w:val="38021539"/>
    <w:rsid w:val="380A28CA"/>
    <w:rsid w:val="383A2C56"/>
    <w:rsid w:val="38514471"/>
    <w:rsid w:val="388C6E04"/>
    <w:rsid w:val="389A5030"/>
    <w:rsid w:val="38A327F3"/>
    <w:rsid w:val="38E250CA"/>
    <w:rsid w:val="39B95231"/>
    <w:rsid w:val="39E7313A"/>
    <w:rsid w:val="39EC1C54"/>
    <w:rsid w:val="3A1F19CA"/>
    <w:rsid w:val="3A8B731D"/>
    <w:rsid w:val="3A946897"/>
    <w:rsid w:val="3A9B7C32"/>
    <w:rsid w:val="3AAE4F93"/>
    <w:rsid w:val="3ACB48BB"/>
    <w:rsid w:val="3AD25272"/>
    <w:rsid w:val="3AFC6ED7"/>
    <w:rsid w:val="3B0112DE"/>
    <w:rsid w:val="3B282FD3"/>
    <w:rsid w:val="3B375346"/>
    <w:rsid w:val="3B5129DA"/>
    <w:rsid w:val="3B5B20B0"/>
    <w:rsid w:val="3BA33E48"/>
    <w:rsid w:val="3BBD0A54"/>
    <w:rsid w:val="3BBE58F0"/>
    <w:rsid w:val="3BDA41CF"/>
    <w:rsid w:val="3BE4409F"/>
    <w:rsid w:val="3C663A24"/>
    <w:rsid w:val="3C7F41CC"/>
    <w:rsid w:val="3C9F32D2"/>
    <w:rsid w:val="3CAE272D"/>
    <w:rsid w:val="3D015D3A"/>
    <w:rsid w:val="3D386234"/>
    <w:rsid w:val="3D6406AA"/>
    <w:rsid w:val="3D7B0470"/>
    <w:rsid w:val="3D9D034F"/>
    <w:rsid w:val="3DD07A03"/>
    <w:rsid w:val="3DE32F0A"/>
    <w:rsid w:val="3E23065E"/>
    <w:rsid w:val="3E585D6B"/>
    <w:rsid w:val="3EC75511"/>
    <w:rsid w:val="3F41523B"/>
    <w:rsid w:val="3F5D34CD"/>
    <w:rsid w:val="3F9B2476"/>
    <w:rsid w:val="3FC12A9B"/>
    <w:rsid w:val="40287B7C"/>
    <w:rsid w:val="403A4B1E"/>
    <w:rsid w:val="40516350"/>
    <w:rsid w:val="406C3A6F"/>
    <w:rsid w:val="4081490E"/>
    <w:rsid w:val="408F79A5"/>
    <w:rsid w:val="40B17223"/>
    <w:rsid w:val="40C96B6F"/>
    <w:rsid w:val="41B62723"/>
    <w:rsid w:val="41C474D0"/>
    <w:rsid w:val="41C71300"/>
    <w:rsid w:val="41C8474B"/>
    <w:rsid w:val="41CD47B2"/>
    <w:rsid w:val="423B584A"/>
    <w:rsid w:val="42463DF0"/>
    <w:rsid w:val="43166C1A"/>
    <w:rsid w:val="43291B47"/>
    <w:rsid w:val="432F247C"/>
    <w:rsid w:val="43625A2A"/>
    <w:rsid w:val="437F06E0"/>
    <w:rsid w:val="43C31F9B"/>
    <w:rsid w:val="43D14C90"/>
    <w:rsid w:val="44093E52"/>
    <w:rsid w:val="44475071"/>
    <w:rsid w:val="445E3AFF"/>
    <w:rsid w:val="44612E7B"/>
    <w:rsid w:val="44753B35"/>
    <w:rsid w:val="44A571E8"/>
    <w:rsid w:val="450B0AAA"/>
    <w:rsid w:val="45343151"/>
    <w:rsid w:val="456F5F37"/>
    <w:rsid w:val="45BE1410"/>
    <w:rsid w:val="45CA5863"/>
    <w:rsid w:val="45E00434"/>
    <w:rsid w:val="45F047F0"/>
    <w:rsid w:val="45F4583A"/>
    <w:rsid w:val="46054912"/>
    <w:rsid w:val="46112717"/>
    <w:rsid w:val="46307B3F"/>
    <w:rsid w:val="46317690"/>
    <w:rsid w:val="469448BA"/>
    <w:rsid w:val="46DC1289"/>
    <w:rsid w:val="472655E6"/>
    <w:rsid w:val="477D2815"/>
    <w:rsid w:val="47982EAF"/>
    <w:rsid w:val="481B63B6"/>
    <w:rsid w:val="487550B7"/>
    <w:rsid w:val="48B40105"/>
    <w:rsid w:val="48C20A74"/>
    <w:rsid w:val="48D569F9"/>
    <w:rsid w:val="48D83D6A"/>
    <w:rsid w:val="48F202EF"/>
    <w:rsid w:val="49747127"/>
    <w:rsid w:val="49B35FD2"/>
    <w:rsid w:val="49B45B0A"/>
    <w:rsid w:val="49BF07D7"/>
    <w:rsid w:val="49BF4D9E"/>
    <w:rsid w:val="49D337CF"/>
    <w:rsid w:val="4A642CF0"/>
    <w:rsid w:val="4AC565F9"/>
    <w:rsid w:val="4AF07AF1"/>
    <w:rsid w:val="4B0522CD"/>
    <w:rsid w:val="4B4439C2"/>
    <w:rsid w:val="4BD110E2"/>
    <w:rsid w:val="4C261319"/>
    <w:rsid w:val="4C261844"/>
    <w:rsid w:val="4C3E48B5"/>
    <w:rsid w:val="4C5E4F57"/>
    <w:rsid w:val="4C6F4027"/>
    <w:rsid w:val="4C975D73"/>
    <w:rsid w:val="4CDF1128"/>
    <w:rsid w:val="4D0B54AD"/>
    <w:rsid w:val="4D16026A"/>
    <w:rsid w:val="4D2A1AB4"/>
    <w:rsid w:val="4D633045"/>
    <w:rsid w:val="4DBA72D7"/>
    <w:rsid w:val="4DBD57AB"/>
    <w:rsid w:val="4E471E75"/>
    <w:rsid w:val="4E64507F"/>
    <w:rsid w:val="4E8D3684"/>
    <w:rsid w:val="4E957926"/>
    <w:rsid w:val="4F224D8D"/>
    <w:rsid w:val="4F974A08"/>
    <w:rsid w:val="4FB54E8E"/>
    <w:rsid w:val="4FCD667C"/>
    <w:rsid w:val="4FE237A9"/>
    <w:rsid w:val="501D04CE"/>
    <w:rsid w:val="501D387E"/>
    <w:rsid w:val="502E7B28"/>
    <w:rsid w:val="50493828"/>
    <w:rsid w:val="50591CBD"/>
    <w:rsid w:val="5076286F"/>
    <w:rsid w:val="50957359"/>
    <w:rsid w:val="509F6EC6"/>
    <w:rsid w:val="51043EAF"/>
    <w:rsid w:val="510D6CCE"/>
    <w:rsid w:val="511E659C"/>
    <w:rsid w:val="512B1283"/>
    <w:rsid w:val="51493A4C"/>
    <w:rsid w:val="520143BB"/>
    <w:rsid w:val="520E29DF"/>
    <w:rsid w:val="5237602E"/>
    <w:rsid w:val="52397BDB"/>
    <w:rsid w:val="5261421A"/>
    <w:rsid w:val="52874813"/>
    <w:rsid w:val="52986A2B"/>
    <w:rsid w:val="52A068B2"/>
    <w:rsid w:val="53034162"/>
    <w:rsid w:val="53182FAD"/>
    <w:rsid w:val="53283BC9"/>
    <w:rsid w:val="536F17F8"/>
    <w:rsid w:val="53874D93"/>
    <w:rsid w:val="53932FF4"/>
    <w:rsid w:val="53DC53F9"/>
    <w:rsid w:val="543071D9"/>
    <w:rsid w:val="543C16DA"/>
    <w:rsid w:val="54843081"/>
    <w:rsid w:val="54E720BB"/>
    <w:rsid w:val="551B4A12"/>
    <w:rsid w:val="5588094F"/>
    <w:rsid w:val="558A2919"/>
    <w:rsid w:val="55F17B47"/>
    <w:rsid w:val="5634588C"/>
    <w:rsid w:val="56615E0C"/>
    <w:rsid w:val="567846EC"/>
    <w:rsid w:val="56AC0B61"/>
    <w:rsid w:val="56B45E9F"/>
    <w:rsid w:val="5714693E"/>
    <w:rsid w:val="57272B15"/>
    <w:rsid w:val="575C16B2"/>
    <w:rsid w:val="57966F2A"/>
    <w:rsid w:val="57AD207D"/>
    <w:rsid w:val="5806097D"/>
    <w:rsid w:val="58134E48"/>
    <w:rsid w:val="583A6878"/>
    <w:rsid w:val="5889335C"/>
    <w:rsid w:val="58B80B09"/>
    <w:rsid w:val="58C500FD"/>
    <w:rsid w:val="58DC7930"/>
    <w:rsid w:val="590C03A2"/>
    <w:rsid w:val="596334BB"/>
    <w:rsid w:val="59727BBE"/>
    <w:rsid w:val="59964C22"/>
    <w:rsid w:val="59A97E57"/>
    <w:rsid w:val="5A112DD4"/>
    <w:rsid w:val="5A4A24F3"/>
    <w:rsid w:val="5A5B1C29"/>
    <w:rsid w:val="5A7F2300"/>
    <w:rsid w:val="5AC54378"/>
    <w:rsid w:val="5AED49A0"/>
    <w:rsid w:val="5B92709A"/>
    <w:rsid w:val="5BDA5CF3"/>
    <w:rsid w:val="5BFE0297"/>
    <w:rsid w:val="5C161EDE"/>
    <w:rsid w:val="5C207B33"/>
    <w:rsid w:val="5C880D1C"/>
    <w:rsid w:val="5CA91A5D"/>
    <w:rsid w:val="5D04082A"/>
    <w:rsid w:val="5D2914FD"/>
    <w:rsid w:val="5D3F1908"/>
    <w:rsid w:val="5D611791"/>
    <w:rsid w:val="5D755C5D"/>
    <w:rsid w:val="5DAE0264"/>
    <w:rsid w:val="5DD5494D"/>
    <w:rsid w:val="5DDE74C5"/>
    <w:rsid w:val="5E916AC6"/>
    <w:rsid w:val="5E9640DD"/>
    <w:rsid w:val="5E992621"/>
    <w:rsid w:val="5EC67DA5"/>
    <w:rsid w:val="5ED247CC"/>
    <w:rsid w:val="5F3A0F0C"/>
    <w:rsid w:val="5F58262D"/>
    <w:rsid w:val="5F6419A2"/>
    <w:rsid w:val="5F775691"/>
    <w:rsid w:val="600414DC"/>
    <w:rsid w:val="603319A6"/>
    <w:rsid w:val="605F1472"/>
    <w:rsid w:val="60A12843"/>
    <w:rsid w:val="60BA744E"/>
    <w:rsid w:val="60BB23FA"/>
    <w:rsid w:val="60FB49D2"/>
    <w:rsid w:val="61D474C9"/>
    <w:rsid w:val="62950A8E"/>
    <w:rsid w:val="629774D1"/>
    <w:rsid w:val="62BE64F4"/>
    <w:rsid w:val="62C9714A"/>
    <w:rsid w:val="635B3466"/>
    <w:rsid w:val="637B00FA"/>
    <w:rsid w:val="639456BF"/>
    <w:rsid w:val="63DC4C88"/>
    <w:rsid w:val="64234172"/>
    <w:rsid w:val="6431668F"/>
    <w:rsid w:val="646E4103"/>
    <w:rsid w:val="64803EF5"/>
    <w:rsid w:val="64835103"/>
    <w:rsid w:val="64970BAF"/>
    <w:rsid w:val="64AA6F1D"/>
    <w:rsid w:val="64F8164D"/>
    <w:rsid w:val="6502427A"/>
    <w:rsid w:val="65680A32"/>
    <w:rsid w:val="656C3DE9"/>
    <w:rsid w:val="65715BFD"/>
    <w:rsid w:val="65732D00"/>
    <w:rsid w:val="65A13BD2"/>
    <w:rsid w:val="65B34C8C"/>
    <w:rsid w:val="66050395"/>
    <w:rsid w:val="661A0932"/>
    <w:rsid w:val="66302426"/>
    <w:rsid w:val="66364452"/>
    <w:rsid w:val="6651710F"/>
    <w:rsid w:val="66624590"/>
    <w:rsid w:val="66D90189"/>
    <w:rsid w:val="66E85FB4"/>
    <w:rsid w:val="67330E86"/>
    <w:rsid w:val="674033C8"/>
    <w:rsid w:val="67614E4C"/>
    <w:rsid w:val="679C7C07"/>
    <w:rsid w:val="67B37AAD"/>
    <w:rsid w:val="67F524F3"/>
    <w:rsid w:val="67F92005"/>
    <w:rsid w:val="68025435"/>
    <w:rsid w:val="688F22C8"/>
    <w:rsid w:val="68C267B6"/>
    <w:rsid w:val="68CF738C"/>
    <w:rsid w:val="68F20812"/>
    <w:rsid w:val="69021FA8"/>
    <w:rsid w:val="690C7C82"/>
    <w:rsid w:val="69137A07"/>
    <w:rsid w:val="697415F1"/>
    <w:rsid w:val="697F3ADF"/>
    <w:rsid w:val="69DA3ABA"/>
    <w:rsid w:val="6A3762A4"/>
    <w:rsid w:val="6A631F51"/>
    <w:rsid w:val="6A887F5F"/>
    <w:rsid w:val="6AAB7162"/>
    <w:rsid w:val="6AC3566F"/>
    <w:rsid w:val="6B037C3A"/>
    <w:rsid w:val="6B2B4A32"/>
    <w:rsid w:val="6B3A67D0"/>
    <w:rsid w:val="6B4B7556"/>
    <w:rsid w:val="6B6179F5"/>
    <w:rsid w:val="6B7C13D5"/>
    <w:rsid w:val="6BD70B22"/>
    <w:rsid w:val="6BD72D2C"/>
    <w:rsid w:val="6C0652F9"/>
    <w:rsid w:val="6C53512B"/>
    <w:rsid w:val="6C560EC1"/>
    <w:rsid w:val="6C8E0AE9"/>
    <w:rsid w:val="6CA04267"/>
    <w:rsid w:val="6CA63EB8"/>
    <w:rsid w:val="6CB227F2"/>
    <w:rsid w:val="6CC30793"/>
    <w:rsid w:val="6CC8224D"/>
    <w:rsid w:val="6D18328F"/>
    <w:rsid w:val="6D8C5C0C"/>
    <w:rsid w:val="6D8D7335"/>
    <w:rsid w:val="6DF95048"/>
    <w:rsid w:val="6E0255A4"/>
    <w:rsid w:val="6E0472B5"/>
    <w:rsid w:val="6E09753D"/>
    <w:rsid w:val="6E38115B"/>
    <w:rsid w:val="6E7320EC"/>
    <w:rsid w:val="6EB73860"/>
    <w:rsid w:val="6EF255E1"/>
    <w:rsid w:val="6F3C1C82"/>
    <w:rsid w:val="6F4B5004"/>
    <w:rsid w:val="6F9E02F2"/>
    <w:rsid w:val="6FF00AC7"/>
    <w:rsid w:val="700F01D3"/>
    <w:rsid w:val="7015387B"/>
    <w:rsid w:val="705A41AE"/>
    <w:rsid w:val="70D07922"/>
    <w:rsid w:val="70E14841"/>
    <w:rsid w:val="7113156F"/>
    <w:rsid w:val="717F65F5"/>
    <w:rsid w:val="718524BB"/>
    <w:rsid w:val="718631F8"/>
    <w:rsid w:val="71CE1DE8"/>
    <w:rsid w:val="72A11576"/>
    <w:rsid w:val="72B56CCB"/>
    <w:rsid w:val="72D46929"/>
    <w:rsid w:val="72D729DB"/>
    <w:rsid w:val="72EC0317"/>
    <w:rsid w:val="73186E95"/>
    <w:rsid w:val="73353469"/>
    <w:rsid w:val="73644117"/>
    <w:rsid w:val="736D3FC9"/>
    <w:rsid w:val="73BF6E3A"/>
    <w:rsid w:val="74035919"/>
    <w:rsid w:val="741D30BD"/>
    <w:rsid w:val="74213FF1"/>
    <w:rsid w:val="74962374"/>
    <w:rsid w:val="74FB38D2"/>
    <w:rsid w:val="750E0A19"/>
    <w:rsid w:val="75245305"/>
    <w:rsid w:val="75606932"/>
    <w:rsid w:val="75685790"/>
    <w:rsid w:val="756E5918"/>
    <w:rsid w:val="75712C55"/>
    <w:rsid w:val="757B7431"/>
    <w:rsid w:val="75D7226C"/>
    <w:rsid w:val="76332FB4"/>
    <w:rsid w:val="76740D50"/>
    <w:rsid w:val="769C1001"/>
    <w:rsid w:val="76EB38E3"/>
    <w:rsid w:val="77297DB9"/>
    <w:rsid w:val="775547B2"/>
    <w:rsid w:val="777404D2"/>
    <w:rsid w:val="77F35CA4"/>
    <w:rsid w:val="781D7C27"/>
    <w:rsid w:val="78495F45"/>
    <w:rsid w:val="7875145D"/>
    <w:rsid w:val="788809AD"/>
    <w:rsid w:val="78A23E67"/>
    <w:rsid w:val="78AF7473"/>
    <w:rsid w:val="78BB3CBA"/>
    <w:rsid w:val="79291DBD"/>
    <w:rsid w:val="79463D2A"/>
    <w:rsid w:val="79584959"/>
    <w:rsid w:val="796E3278"/>
    <w:rsid w:val="79B80DE0"/>
    <w:rsid w:val="7A574C10"/>
    <w:rsid w:val="7AAC0AB8"/>
    <w:rsid w:val="7AAF2356"/>
    <w:rsid w:val="7AD06AA1"/>
    <w:rsid w:val="7B011F41"/>
    <w:rsid w:val="7B101CDA"/>
    <w:rsid w:val="7B587A97"/>
    <w:rsid w:val="7B7209AE"/>
    <w:rsid w:val="7BA004DE"/>
    <w:rsid w:val="7BD644A9"/>
    <w:rsid w:val="7C0F7657"/>
    <w:rsid w:val="7C162517"/>
    <w:rsid w:val="7C2D3A49"/>
    <w:rsid w:val="7C5950EA"/>
    <w:rsid w:val="7D657644"/>
    <w:rsid w:val="7D670C49"/>
    <w:rsid w:val="7D9A5540"/>
    <w:rsid w:val="7DB40352"/>
    <w:rsid w:val="7DF67493"/>
    <w:rsid w:val="7E3B4056"/>
    <w:rsid w:val="7E8640F9"/>
    <w:rsid w:val="7E8E06E9"/>
    <w:rsid w:val="7EA31D98"/>
    <w:rsid w:val="7EC81C39"/>
    <w:rsid w:val="7EF700DD"/>
    <w:rsid w:val="7F951BF0"/>
    <w:rsid w:val="7FBD6760"/>
    <w:rsid w:val="EEB3F4F2"/>
    <w:rsid w:val="F97FD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link w:val="33"/>
    <w:autoRedefine/>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3">
    <w:name w:val="heading 2"/>
    <w:basedOn w:val="1"/>
    <w:next w:val="1"/>
    <w:link w:val="34"/>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4">
    <w:name w:val="heading 3"/>
    <w:basedOn w:val="1"/>
    <w:next w:val="1"/>
    <w:link w:val="35"/>
    <w:autoRedefine/>
    <w:unhideWhenUsed/>
    <w:qFormat/>
    <w:uiPriority w:val="9"/>
    <w:pPr>
      <w:keepNext/>
      <w:keepLines/>
      <w:outlineLvl w:val="2"/>
    </w:pPr>
    <w:rPr>
      <w:b/>
      <w:bCs/>
      <w:szCs w:val="32"/>
    </w:rPr>
  </w:style>
  <w:style w:type="paragraph" w:styleId="5">
    <w:name w:val="heading 6"/>
    <w:basedOn w:val="1"/>
    <w:next w:val="1"/>
    <w:autoRedefine/>
    <w:unhideWhenUsed/>
    <w:qFormat/>
    <w:uiPriority w:val="9"/>
    <w:pPr>
      <w:keepNext/>
      <w:keepLines/>
      <w:outlineLvl w:val="5"/>
    </w:pPr>
    <w:rPr>
      <w:rFonts w:ascii="Cambria" w:hAnsi="Cambria"/>
      <w:bCs/>
      <w:sz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caption"/>
    <w:basedOn w:val="1"/>
    <w:next w:val="1"/>
    <w:autoRedefine/>
    <w:unhideWhenUsed/>
    <w:qFormat/>
    <w:uiPriority w:val="0"/>
    <w:rPr>
      <w:rFonts w:eastAsia="黑体" w:asciiTheme="majorHAnsi" w:hAnsiTheme="majorHAnsi" w:cstheme="majorBidi"/>
      <w:sz w:val="20"/>
      <w:szCs w:val="20"/>
    </w:rPr>
  </w:style>
  <w:style w:type="paragraph" w:styleId="7">
    <w:name w:val="annotation text"/>
    <w:basedOn w:val="1"/>
    <w:link w:val="37"/>
    <w:autoRedefine/>
    <w:semiHidden/>
    <w:unhideWhenUsed/>
    <w:qFormat/>
    <w:uiPriority w:val="99"/>
    <w:pPr>
      <w:jc w:val="left"/>
    </w:pPr>
  </w:style>
  <w:style w:type="paragraph" w:styleId="8">
    <w:name w:val="Body Text"/>
    <w:basedOn w:val="1"/>
    <w:next w:val="1"/>
    <w:autoRedefine/>
    <w:qFormat/>
    <w:uiPriority w:val="99"/>
    <w:rPr>
      <w:szCs w:val="21"/>
    </w:rPr>
  </w:style>
  <w:style w:type="paragraph" w:styleId="9">
    <w:name w:val="Body Text Indent"/>
    <w:basedOn w:val="1"/>
    <w:autoRedefine/>
    <w:qFormat/>
    <w:uiPriority w:val="0"/>
    <w:pPr>
      <w:ind w:left="200" w:leftChars="200"/>
    </w:pPr>
    <w:rPr>
      <w:szCs w:val="21"/>
    </w:rPr>
  </w:style>
  <w:style w:type="paragraph" w:styleId="10">
    <w:name w:val="Plain Text"/>
    <w:basedOn w:val="1"/>
    <w:autoRedefine/>
    <w:qFormat/>
    <w:uiPriority w:val="0"/>
    <w:rPr>
      <w:rFonts w:hint="eastAsia" w:ascii="宋体" w:hAnsi="Courier New" w:eastAsia="宋体" w:cs="Times New Roman"/>
      <w:szCs w:val="20"/>
    </w:rPr>
  </w:style>
  <w:style w:type="paragraph" w:styleId="11">
    <w:name w:val="Body Text Indent 2"/>
    <w:basedOn w:val="1"/>
    <w:next w:val="10"/>
    <w:autoRedefine/>
    <w:qFormat/>
    <w:uiPriority w:val="0"/>
    <w:pPr>
      <w:ind w:left="-718" w:leftChars="-342" w:firstLine="720" w:firstLineChars="225"/>
      <w:jc w:val="left"/>
    </w:pPr>
    <w:rPr>
      <w:sz w:val="32"/>
      <w:szCs w:val="32"/>
    </w:rPr>
  </w:style>
  <w:style w:type="paragraph" w:styleId="12">
    <w:name w:val="footer"/>
    <w:basedOn w:val="1"/>
    <w:link w:val="31"/>
    <w:autoRedefine/>
    <w:unhideWhenUsed/>
    <w:qFormat/>
    <w:uiPriority w:val="99"/>
    <w:pPr>
      <w:tabs>
        <w:tab w:val="center" w:pos="4153"/>
        <w:tab w:val="right" w:pos="8306"/>
      </w:tabs>
      <w:snapToGrid w:val="0"/>
      <w:jc w:val="left"/>
    </w:pPr>
    <w:rPr>
      <w:sz w:val="18"/>
      <w:szCs w:val="18"/>
    </w:rPr>
  </w:style>
  <w:style w:type="paragraph" w:styleId="13">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tabs>
        <w:tab w:val="right" w:leader="dot" w:pos="8296"/>
      </w:tabs>
      <w:ind w:firstLine="0" w:firstLineChars="0"/>
    </w:pPr>
    <w:rPr>
      <w:rFonts w:hAnsi="宋体"/>
      <w:b/>
      <w:bCs/>
    </w:rPr>
  </w:style>
  <w:style w:type="paragraph" w:styleId="15">
    <w:name w:val="toc 2"/>
    <w:basedOn w:val="1"/>
    <w:next w:val="1"/>
    <w:autoRedefine/>
    <w:unhideWhenUsed/>
    <w:qFormat/>
    <w:uiPriority w:val="39"/>
    <w:pPr>
      <w:tabs>
        <w:tab w:val="right" w:leader="dot" w:pos="8296"/>
      </w:tabs>
      <w:ind w:left="560" w:leftChars="200" w:firstLine="0" w:firstLineChars="0"/>
    </w:pPr>
  </w:style>
  <w:style w:type="paragraph" w:styleId="16">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7">
    <w:name w:val="Normal (Web)"/>
    <w:basedOn w:val="1"/>
    <w:autoRedefine/>
    <w:semiHidden/>
    <w:unhideWhenUsed/>
    <w:qFormat/>
    <w:uiPriority w:val="99"/>
    <w:pPr>
      <w:spacing w:beforeAutospacing="1" w:afterAutospacing="1"/>
      <w:jc w:val="left"/>
    </w:pPr>
    <w:rPr>
      <w:rFonts w:cs="Times New Roman"/>
      <w:kern w:val="0"/>
      <w:sz w:val="24"/>
    </w:rPr>
  </w:style>
  <w:style w:type="paragraph" w:styleId="18">
    <w:name w:val="index 1"/>
    <w:basedOn w:val="1"/>
    <w:next w:val="1"/>
    <w:autoRedefine/>
    <w:qFormat/>
    <w:uiPriority w:val="0"/>
  </w:style>
  <w:style w:type="paragraph" w:styleId="19">
    <w:name w:val="annotation subject"/>
    <w:basedOn w:val="7"/>
    <w:next w:val="7"/>
    <w:link w:val="38"/>
    <w:autoRedefine/>
    <w:semiHidden/>
    <w:unhideWhenUsed/>
    <w:qFormat/>
    <w:uiPriority w:val="99"/>
    <w:rPr>
      <w:b/>
      <w:bCs/>
    </w:rPr>
  </w:style>
  <w:style w:type="paragraph" w:styleId="20">
    <w:name w:val="Body Text First Indent"/>
    <w:basedOn w:val="8"/>
    <w:autoRedefine/>
    <w:qFormat/>
    <w:uiPriority w:val="0"/>
    <w:pPr>
      <w:spacing w:before="100" w:beforeAutospacing="1"/>
      <w:ind w:firstLine="420"/>
    </w:pPr>
  </w:style>
  <w:style w:type="table" w:styleId="22">
    <w:name w:val="Table Grid"/>
    <w:basedOn w:val="2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99"/>
    <w:rPr>
      <w:rFonts w:hint="default" w:ascii="Times New Roman" w:hAnsi="Times New Roman" w:cs="Times New Roman"/>
      <w:b/>
      <w:bCs/>
    </w:rPr>
  </w:style>
  <w:style w:type="character" w:styleId="25">
    <w:name w:val="Hyperlink"/>
    <w:basedOn w:val="23"/>
    <w:autoRedefine/>
    <w:unhideWhenUsed/>
    <w:qFormat/>
    <w:uiPriority w:val="99"/>
    <w:rPr>
      <w:color w:val="0563C1" w:themeColor="hyperlink"/>
      <w:u w:val="single"/>
      <w14:textFill>
        <w14:solidFill>
          <w14:schemeClr w14:val="hlink"/>
        </w14:solidFill>
      </w14:textFill>
    </w:rPr>
  </w:style>
  <w:style w:type="character" w:styleId="26">
    <w:name w:val="annotation reference"/>
    <w:basedOn w:val="23"/>
    <w:autoRedefine/>
    <w:semiHidden/>
    <w:unhideWhenUsed/>
    <w:qFormat/>
    <w:uiPriority w:val="99"/>
    <w:rPr>
      <w:sz w:val="21"/>
      <w:szCs w:val="21"/>
    </w:rPr>
  </w:style>
  <w:style w:type="paragraph" w:customStyle="1" w:styleId="27">
    <w:name w:val="Body Text First Indent 2"/>
    <w:basedOn w:val="1"/>
    <w:autoRedefine/>
    <w:qFormat/>
    <w:uiPriority w:val="0"/>
    <w:pPr>
      <w:ind w:left="420" w:leftChars="200" w:firstLine="420" w:firstLineChars="200"/>
    </w:pPr>
  </w:style>
  <w:style w:type="paragraph" w:customStyle="1" w:styleId="28">
    <w:name w:val="Body Text First Indent 21"/>
    <w:basedOn w:val="1"/>
    <w:autoRedefine/>
    <w:qFormat/>
    <w:uiPriority w:val="0"/>
    <w:pPr>
      <w:ind w:left="420" w:leftChars="200" w:firstLine="420" w:firstLineChars="200"/>
    </w:pPr>
  </w:style>
  <w:style w:type="paragraph" w:customStyle="1" w:styleId="29">
    <w:name w:val="BodyTextIndent"/>
    <w:basedOn w:val="1"/>
    <w:autoRedefine/>
    <w:qFormat/>
    <w:uiPriority w:val="0"/>
    <w:pPr>
      <w:widowControl/>
      <w:ind w:left="200" w:leftChars="200"/>
      <w:jc w:val="both"/>
      <w:textAlignment w:val="baseline"/>
    </w:pPr>
    <w:rPr>
      <w:kern w:val="2"/>
      <w:sz w:val="21"/>
      <w:szCs w:val="21"/>
      <w:lang w:val="en-US" w:eastAsia="zh-CN" w:bidi="ar-SA"/>
    </w:rPr>
  </w:style>
  <w:style w:type="character" w:customStyle="1" w:styleId="30">
    <w:name w:val="页眉 字符"/>
    <w:basedOn w:val="23"/>
    <w:link w:val="13"/>
    <w:autoRedefine/>
    <w:qFormat/>
    <w:uiPriority w:val="99"/>
    <w:rPr>
      <w:sz w:val="18"/>
      <w:szCs w:val="18"/>
    </w:rPr>
  </w:style>
  <w:style w:type="character" w:customStyle="1" w:styleId="31">
    <w:name w:val="页脚 字符"/>
    <w:basedOn w:val="23"/>
    <w:link w:val="12"/>
    <w:autoRedefine/>
    <w:qFormat/>
    <w:uiPriority w:val="99"/>
    <w:rPr>
      <w:sz w:val="18"/>
      <w:szCs w:val="18"/>
    </w:rPr>
  </w:style>
  <w:style w:type="paragraph" w:customStyle="1" w:styleId="32">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3">
    <w:name w:val="标题 1 字符"/>
    <w:basedOn w:val="23"/>
    <w:link w:val="2"/>
    <w:autoRedefine/>
    <w:qFormat/>
    <w:uiPriority w:val="9"/>
    <w:rPr>
      <w:rFonts w:ascii="黑体" w:hAnsi="黑体" w:eastAsia="黑体"/>
      <w:b/>
      <w:bCs/>
      <w:kern w:val="44"/>
      <w:sz w:val="32"/>
      <w:szCs w:val="44"/>
    </w:rPr>
  </w:style>
  <w:style w:type="character" w:customStyle="1" w:styleId="34">
    <w:name w:val="标题 2 字符"/>
    <w:basedOn w:val="23"/>
    <w:link w:val="3"/>
    <w:autoRedefine/>
    <w:qFormat/>
    <w:uiPriority w:val="9"/>
    <w:rPr>
      <w:rFonts w:ascii="楷体" w:hAnsi="楷体" w:eastAsia="楷体" w:cstheme="majorBidi"/>
      <w:b/>
      <w:bCs/>
      <w:sz w:val="32"/>
      <w:szCs w:val="32"/>
    </w:rPr>
  </w:style>
  <w:style w:type="character" w:customStyle="1" w:styleId="35">
    <w:name w:val="标题 3 字符"/>
    <w:basedOn w:val="23"/>
    <w:link w:val="4"/>
    <w:autoRedefine/>
    <w:qFormat/>
    <w:uiPriority w:val="9"/>
    <w:rPr>
      <w:rFonts w:ascii="仿宋_GB2312" w:hAnsi="仿宋_GB2312" w:eastAsia="仿宋_GB2312"/>
      <w:b/>
      <w:bCs/>
      <w:sz w:val="28"/>
      <w:szCs w:val="32"/>
    </w:rPr>
  </w:style>
  <w:style w:type="character" w:customStyle="1" w:styleId="36">
    <w:name w:val="font01"/>
    <w:basedOn w:val="23"/>
    <w:autoRedefine/>
    <w:qFormat/>
    <w:uiPriority w:val="0"/>
    <w:rPr>
      <w:rFonts w:hint="eastAsia" w:ascii="宋体" w:hAnsi="宋体" w:eastAsia="宋体" w:cs="宋体"/>
      <w:color w:val="000000"/>
      <w:sz w:val="21"/>
      <w:szCs w:val="21"/>
      <w:u w:val="none"/>
    </w:rPr>
  </w:style>
  <w:style w:type="character" w:customStyle="1" w:styleId="37">
    <w:name w:val="批注文字 字符"/>
    <w:basedOn w:val="23"/>
    <w:link w:val="7"/>
    <w:autoRedefine/>
    <w:semiHidden/>
    <w:qFormat/>
    <w:uiPriority w:val="99"/>
    <w:rPr>
      <w:rFonts w:ascii="仿宋_GB2312" w:hAnsi="仿宋_GB2312" w:eastAsia="仿宋_GB2312" w:cstheme="minorBidi"/>
      <w:kern w:val="2"/>
      <w:sz w:val="28"/>
      <w:szCs w:val="22"/>
    </w:rPr>
  </w:style>
  <w:style w:type="character" w:customStyle="1" w:styleId="38">
    <w:name w:val="批注主题 字符"/>
    <w:basedOn w:val="37"/>
    <w:link w:val="19"/>
    <w:autoRedefine/>
    <w:semiHidden/>
    <w:qFormat/>
    <w:uiPriority w:val="99"/>
    <w:rPr>
      <w:rFonts w:ascii="仿宋_GB2312" w:hAnsi="仿宋_GB2312" w:eastAsia="仿宋_GB2312" w:cstheme="minorBidi"/>
      <w:b/>
      <w:bCs/>
      <w:kern w:val="2"/>
      <w:sz w:val="28"/>
      <w:szCs w:val="22"/>
    </w:rPr>
  </w:style>
  <w:style w:type="paragraph" w:customStyle="1" w:styleId="39">
    <w:name w:val="NormalIndent"/>
    <w:basedOn w:val="1"/>
    <w:autoRedefine/>
    <w:qFormat/>
    <w:uiPriority w:val="99"/>
    <w:pPr>
      <w:ind w:firstLine="420" w:firstLineChars="200"/>
      <w:textAlignment w:val="baseline"/>
    </w:pPr>
    <w:rPr>
      <w:szCs w:val="21"/>
    </w:rPr>
  </w:style>
  <w:style w:type="character" w:customStyle="1" w:styleId="40">
    <w:name w:val="content1"/>
    <w:basedOn w:val="23"/>
    <w:autoRedefine/>
    <w:qFormat/>
    <w:uiPriority w:val="0"/>
    <w:rPr>
      <w:rFonts w:hint="default"/>
      <w:sz w:val="21"/>
    </w:rPr>
  </w:style>
  <w:style w:type="paragraph" w:customStyle="1" w:styleId="41">
    <w:name w:val="Char2"/>
    <w:basedOn w:val="1"/>
    <w:autoRedefine/>
    <w:qFormat/>
    <w:uiPriority w:val="0"/>
    <w:rPr>
      <w:rFonts w:ascii="Courier" w:hAnsi="Courier" w:cs="Courier"/>
      <w:szCs w:val="21"/>
    </w:rPr>
  </w:style>
  <w:style w:type="character" w:customStyle="1" w:styleId="42">
    <w:name w:val="NormalCharacter"/>
    <w:autoRedefine/>
    <w:semiHidden/>
    <w:qFormat/>
    <w:uiPriority w:val="0"/>
  </w:style>
  <w:style w:type="paragraph" w:customStyle="1" w:styleId="43">
    <w:name w:val="Normal Indent1"/>
    <w:basedOn w:val="1"/>
    <w:autoRedefine/>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10563</Words>
  <Characters>11814</Characters>
  <Lines>132</Lines>
  <Paragraphs>37</Paragraphs>
  <TotalTime>6</TotalTime>
  <ScaleCrop>false</ScaleCrop>
  <LinksUpToDate>false</LinksUpToDate>
  <CharactersWithSpaces>11951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Administrator</cp:lastModifiedBy>
  <cp:lastPrinted>2021-04-25T06:46:00Z</cp:lastPrinted>
  <dcterms:modified xsi:type="dcterms:W3CDTF">2024-08-12T07:51:49Z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C9EF0E82468C42B68BAF01B8CBA1F5C0_13</vt:lpwstr>
  </property>
</Properties>
</file>