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4728F">
      <w:pPr>
        <w:spacing w:line="480" w:lineRule="auto"/>
        <w:ind w:firstLine="883"/>
        <w:jc w:val="center"/>
        <w:rPr>
          <w:rFonts w:ascii="宋体" w:hAnsi="宋体" w:eastAsia="宋体"/>
          <w:b/>
          <w:bCs/>
          <w:sz w:val="44"/>
          <w:szCs w:val="44"/>
        </w:rPr>
      </w:pPr>
    </w:p>
    <w:p w14:paraId="2FBD31EB">
      <w:pPr>
        <w:spacing w:line="480" w:lineRule="auto"/>
        <w:ind w:firstLine="883"/>
        <w:jc w:val="center"/>
        <w:rPr>
          <w:rFonts w:ascii="宋体" w:hAnsi="宋体" w:eastAsia="宋体"/>
          <w:b/>
          <w:bCs/>
          <w:sz w:val="44"/>
          <w:szCs w:val="44"/>
        </w:rPr>
      </w:pPr>
    </w:p>
    <w:p w14:paraId="12BB3A77">
      <w:pPr>
        <w:spacing w:line="480" w:lineRule="auto"/>
        <w:ind w:firstLine="883"/>
        <w:jc w:val="center"/>
        <w:rPr>
          <w:rFonts w:ascii="宋体" w:hAnsi="宋体" w:eastAsia="宋体"/>
          <w:b/>
          <w:bCs/>
          <w:sz w:val="44"/>
          <w:szCs w:val="44"/>
        </w:rPr>
      </w:pPr>
    </w:p>
    <w:p w14:paraId="272362E2">
      <w:pPr>
        <w:spacing w:line="720" w:lineRule="auto"/>
        <w:ind w:firstLine="0" w:firstLineChars="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年度</w:t>
      </w:r>
      <w:r>
        <w:rPr>
          <w:rFonts w:hint="eastAsia" w:ascii="黑体" w:hAnsi="黑体" w:eastAsia="黑体" w:cs="黑体"/>
          <w:b/>
          <w:bCs/>
          <w:sz w:val="44"/>
          <w:szCs w:val="44"/>
          <w:lang w:eastAsia="zh-CN"/>
        </w:rPr>
        <w:t>兰州市红古区人民法院</w:t>
      </w:r>
    </w:p>
    <w:p w14:paraId="6C674AB5">
      <w:pPr>
        <w:spacing w:line="720" w:lineRule="auto"/>
        <w:ind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预算执行情况</w:t>
      </w:r>
      <w:r>
        <w:rPr>
          <w:rFonts w:hint="eastAsia" w:ascii="黑体" w:hAnsi="黑体" w:eastAsia="黑体" w:cs="黑体"/>
          <w:b/>
          <w:bCs/>
          <w:sz w:val="44"/>
          <w:szCs w:val="44"/>
          <w:lang w:eastAsia="zh-CN"/>
        </w:rPr>
        <w:t>绩效</w:t>
      </w:r>
      <w:r>
        <w:rPr>
          <w:rFonts w:hint="eastAsia" w:ascii="黑体" w:hAnsi="黑体" w:eastAsia="黑体" w:cs="黑体"/>
          <w:b/>
          <w:bCs/>
          <w:sz w:val="44"/>
          <w:szCs w:val="44"/>
        </w:rPr>
        <w:t>自评报告</w:t>
      </w:r>
    </w:p>
    <w:p w14:paraId="2C5B4C5A">
      <w:pPr>
        <w:widowControl/>
        <w:spacing w:line="240" w:lineRule="auto"/>
        <w:ind w:firstLine="0" w:firstLineChars="0"/>
        <w:jc w:val="left"/>
        <w:rPr>
          <w:rFonts w:ascii="宋体" w:hAnsi="宋体" w:eastAsia="宋体"/>
          <w:b/>
          <w:bCs/>
          <w:sz w:val="44"/>
          <w:szCs w:val="44"/>
        </w:rPr>
      </w:pPr>
    </w:p>
    <w:p w14:paraId="49B36C4E">
      <w:pPr>
        <w:ind w:firstLine="883"/>
        <w:jc w:val="center"/>
        <w:rPr>
          <w:rFonts w:ascii="宋体" w:hAnsi="宋体" w:eastAsia="宋体"/>
          <w:b/>
          <w:bCs/>
          <w:sz w:val="44"/>
          <w:szCs w:val="44"/>
        </w:rPr>
      </w:pPr>
    </w:p>
    <w:p w14:paraId="1742431D">
      <w:pPr>
        <w:ind w:firstLine="883"/>
        <w:jc w:val="center"/>
        <w:rPr>
          <w:rFonts w:ascii="宋体" w:hAnsi="宋体" w:eastAsia="宋体"/>
          <w:b/>
          <w:bCs/>
          <w:sz w:val="44"/>
          <w:szCs w:val="44"/>
        </w:rPr>
      </w:pPr>
    </w:p>
    <w:p w14:paraId="004BE0EE">
      <w:pPr>
        <w:ind w:firstLine="883"/>
        <w:jc w:val="center"/>
        <w:rPr>
          <w:rFonts w:ascii="宋体" w:hAnsi="宋体" w:eastAsia="宋体"/>
          <w:b/>
          <w:bCs/>
          <w:sz w:val="44"/>
          <w:szCs w:val="44"/>
        </w:rPr>
      </w:pPr>
    </w:p>
    <w:p w14:paraId="2BE66CC0">
      <w:pPr>
        <w:ind w:firstLine="883"/>
        <w:jc w:val="center"/>
        <w:rPr>
          <w:rFonts w:ascii="宋体" w:hAnsi="宋体" w:eastAsia="宋体"/>
          <w:b/>
          <w:bCs/>
          <w:sz w:val="44"/>
          <w:szCs w:val="44"/>
        </w:rPr>
      </w:pPr>
    </w:p>
    <w:p w14:paraId="0856DB2A">
      <w:pPr>
        <w:ind w:firstLine="883"/>
        <w:jc w:val="center"/>
        <w:rPr>
          <w:rFonts w:ascii="宋体" w:hAnsi="宋体" w:eastAsia="宋体"/>
          <w:b/>
          <w:bCs/>
          <w:sz w:val="44"/>
          <w:szCs w:val="44"/>
        </w:rPr>
      </w:pPr>
    </w:p>
    <w:p w14:paraId="66EBFE1D">
      <w:pPr>
        <w:ind w:firstLine="883"/>
        <w:jc w:val="center"/>
        <w:rPr>
          <w:rFonts w:ascii="宋体" w:hAnsi="宋体" w:eastAsia="宋体"/>
          <w:b/>
          <w:bCs/>
          <w:sz w:val="44"/>
          <w:szCs w:val="44"/>
        </w:rPr>
      </w:pPr>
    </w:p>
    <w:p w14:paraId="66F40564">
      <w:pPr>
        <w:ind w:firstLine="883"/>
        <w:jc w:val="center"/>
        <w:rPr>
          <w:rFonts w:ascii="宋体" w:hAnsi="宋体" w:eastAsia="宋体"/>
          <w:b/>
          <w:bCs/>
          <w:sz w:val="44"/>
          <w:szCs w:val="44"/>
        </w:rPr>
      </w:pPr>
    </w:p>
    <w:p w14:paraId="718CB7D0">
      <w:pPr>
        <w:ind w:firstLine="883"/>
        <w:jc w:val="center"/>
        <w:rPr>
          <w:rFonts w:ascii="宋体" w:hAnsi="宋体" w:eastAsia="宋体"/>
          <w:b/>
          <w:bCs/>
          <w:sz w:val="44"/>
          <w:szCs w:val="44"/>
        </w:rPr>
      </w:pPr>
    </w:p>
    <w:p w14:paraId="0DB28F1C">
      <w:pPr>
        <w:ind w:firstLine="883"/>
        <w:jc w:val="center"/>
        <w:rPr>
          <w:rFonts w:ascii="宋体" w:hAnsi="宋体" w:eastAsia="宋体"/>
          <w:b/>
          <w:bCs/>
          <w:sz w:val="44"/>
          <w:szCs w:val="44"/>
        </w:rPr>
      </w:pPr>
    </w:p>
    <w:p w14:paraId="6C7647B3">
      <w:pPr>
        <w:ind w:firstLine="883"/>
        <w:jc w:val="center"/>
        <w:rPr>
          <w:rFonts w:ascii="宋体" w:hAnsi="宋体" w:eastAsia="宋体"/>
          <w:b/>
          <w:bCs/>
          <w:sz w:val="44"/>
          <w:szCs w:val="44"/>
        </w:rPr>
      </w:pPr>
    </w:p>
    <w:p w14:paraId="2BD54E15">
      <w:pPr>
        <w:ind w:firstLine="883"/>
        <w:jc w:val="center"/>
        <w:rPr>
          <w:rFonts w:ascii="宋体" w:hAnsi="宋体" w:eastAsia="宋体"/>
          <w:b/>
          <w:bCs/>
          <w:sz w:val="44"/>
          <w:szCs w:val="44"/>
        </w:rPr>
      </w:pPr>
    </w:p>
    <w:p w14:paraId="30A1115F">
      <w:pPr>
        <w:ind w:firstLine="0" w:firstLineChars="0"/>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兰州市红古区人民法院</w:t>
      </w:r>
    </w:p>
    <w:p w14:paraId="02767D1E">
      <w:pPr>
        <w:ind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月</w:t>
      </w:r>
    </w:p>
    <w:p w14:paraId="2E505200">
      <w:pPr>
        <w:ind w:firstLine="560"/>
      </w:pPr>
    </w:p>
    <w:p w14:paraId="7B9D0395">
      <w:pPr>
        <w:pStyle w:val="32"/>
        <w:spacing w:line="360" w:lineRule="auto"/>
        <w:ind w:firstLine="560"/>
        <w:jc w:val="center"/>
        <w:rPr>
          <w:rFonts w:ascii="仿宋_GB2312" w:hAnsi="仿宋_GB2312" w:eastAsia="仿宋_GB2312" w:cstheme="minorBidi"/>
          <w:color w:val="auto"/>
          <w:kern w:val="2"/>
          <w:sz w:val="28"/>
          <w:szCs w:val="22"/>
          <w:lang w:val="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55A84AB3">
          <w:pPr>
            <w:pStyle w:val="32"/>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14:paraId="4BA6BF3F">
          <w:pPr>
            <w:pStyle w:val="14"/>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_Toc9004 </w:instrText>
          </w:r>
          <w:r>
            <w:fldChar w:fldCharType="separate"/>
          </w:r>
          <w:r>
            <w:rPr>
              <w:rFonts w:hint="eastAsia"/>
            </w:rPr>
            <w:t>一、基本情况</w:t>
          </w:r>
          <w:r>
            <w:tab/>
          </w:r>
          <w:r>
            <w:fldChar w:fldCharType="begin"/>
          </w:r>
          <w:r>
            <w:instrText xml:space="preserve"> PAGEREF _Toc9004 \h </w:instrText>
          </w:r>
          <w:r>
            <w:fldChar w:fldCharType="separate"/>
          </w:r>
          <w:r>
            <w:t>1</w:t>
          </w:r>
          <w:r>
            <w:fldChar w:fldCharType="end"/>
          </w:r>
          <w:r>
            <w:fldChar w:fldCharType="end"/>
          </w:r>
        </w:p>
        <w:p w14:paraId="4A43C518">
          <w:pPr>
            <w:pStyle w:val="15"/>
            <w:tabs>
              <w:tab w:val="right" w:leader="dot" w:pos="8306"/>
              <w:tab w:val="clear" w:pos="8296"/>
            </w:tabs>
          </w:pPr>
          <w:r>
            <w:fldChar w:fldCharType="begin"/>
          </w:r>
          <w:r>
            <w:instrText xml:space="preserve"> HYPERLINK \l _Toc24544 </w:instrText>
          </w:r>
          <w:r>
            <w:fldChar w:fldCharType="separate"/>
          </w:r>
          <w:r>
            <w:rPr>
              <w:rFonts w:hint="eastAsia"/>
            </w:rPr>
            <w:t>（一）部门主要职能</w:t>
          </w:r>
          <w:r>
            <w:tab/>
          </w:r>
          <w:r>
            <w:fldChar w:fldCharType="begin"/>
          </w:r>
          <w:r>
            <w:instrText xml:space="preserve"> PAGEREF _Toc24544 \h </w:instrText>
          </w:r>
          <w:r>
            <w:fldChar w:fldCharType="separate"/>
          </w:r>
          <w:r>
            <w:t>1</w:t>
          </w:r>
          <w:r>
            <w:fldChar w:fldCharType="end"/>
          </w:r>
          <w:r>
            <w:fldChar w:fldCharType="end"/>
          </w:r>
        </w:p>
        <w:p w14:paraId="6711F4DC">
          <w:pPr>
            <w:pStyle w:val="15"/>
            <w:tabs>
              <w:tab w:val="right" w:leader="dot" w:pos="8306"/>
              <w:tab w:val="clear" w:pos="8296"/>
            </w:tabs>
          </w:pPr>
          <w:r>
            <w:fldChar w:fldCharType="begin"/>
          </w:r>
          <w:r>
            <w:instrText xml:space="preserve"> HYPERLINK \l _Toc27737 </w:instrText>
          </w:r>
          <w:r>
            <w:fldChar w:fldCharType="separate"/>
          </w:r>
          <w:r>
            <w:rPr>
              <w:rFonts w:hint="eastAsia"/>
            </w:rPr>
            <w:t>（二）内设机构</w:t>
          </w:r>
          <w:r>
            <w:rPr>
              <w:rFonts w:hint="eastAsia"/>
              <w:lang w:eastAsia="zh-CN"/>
            </w:rPr>
            <w:t>、</w:t>
          </w:r>
          <w:r>
            <w:rPr>
              <w:rFonts w:hint="eastAsia"/>
              <w:lang w:val="en-US" w:eastAsia="zh-CN"/>
            </w:rPr>
            <w:t>人员情况</w:t>
          </w:r>
          <w:r>
            <w:rPr>
              <w:rFonts w:hint="eastAsia"/>
            </w:rPr>
            <w:t>及所属</w:t>
          </w:r>
          <w:r>
            <w:rPr>
              <w:rFonts w:hint="eastAsia"/>
              <w:lang w:eastAsia="zh-CN"/>
            </w:rPr>
            <w:t>部门</w:t>
          </w:r>
          <w:r>
            <w:rPr>
              <w:rFonts w:hint="eastAsia"/>
            </w:rPr>
            <w:t>概况</w:t>
          </w:r>
          <w:r>
            <w:tab/>
          </w:r>
          <w:r>
            <w:fldChar w:fldCharType="begin"/>
          </w:r>
          <w:r>
            <w:instrText xml:space="preserve"> PAGEREF _Toc27737 \h </w:instrText>
          </w:r>
          <w:r>
            <w:fldChar w:fldCharType="separate"/>
          </w:r>
          <w:r>
            <w:t>1</w:t>
          </w:r>
          <w:r>
            <w:fldChar w:fldCharType="end"/>
          </w:r>
          <w:r>
            <w:fldChar w:fldCharType="end"/>
          </w:r>
        </w:p>
        <w:p w14:paraId="13D41D93">
          <w:pPr>
            <w:pStyle w:val="14"/>
            <w:tabs>
              <w:tab w:val="right" w:leader="dot" w:pos="8306"/>
              <w:tab w:val="clear" w:pos="8296"/>
            </w:tabs>
          </w:pPr>
          <w:r>
            <w:fldChar w:fldCharType="begin"/>
          </w:r>
          <w:r>
            <w:instrText xml:space="preserve"> HYPERLINK \l _Toc17631 </w:instrText>
          </w:r>
          <w:r>
            <w:fldChar w:fldCharType="separate"/>
          </w:r>
          <w:r>
            <w:rPr>
              <w:rFonts w:hint="eastAsia"/>
            </w:rPr>
            <w:t>二、绩效自评工作组织开展情况</w:t>
          </w:r>
          <w:r>
            <w:tab/>
          </w:r>
          <w:r>
            <w:fldChar w:fldCharType="begin"/>
          </w:r>
          <w:r>
            <w:instrText xml:space="preserve"> PAGEREF _Toc17631 \h </w:instrText>
          </w:r>
          <w:r>
            <w:fldChar w:fldCharType="separate"/>
          </w:r>
          <w:r>
            <w:t>2</w:t>
          </w:r>
          <w:r>
            <w:fldChar w:fldCharType="end"/>
          </w:r>
          <w:r>
            <w:fldChar w:fldCharType="end"/>
          </w:r>
        </w:p>
        <w:p w14:paraId="22CD7DEA">
          <w:pPr>
            <w:pStyle w:val="15"/>
            <w:tabs>
              <w:tab w:val="right" w:leader="dot" w:pos="8306"/>
              <w:tab w:val="clear" w:pos="8296"/>
            </w:tabs>
          </w:pPr>
          <w:r>
            <w:fldChar w:fldCharType="begin"/>
          </w:r>
          <w:r>
            <w:instrText xml:space="preserve"> HYPERLINK \l _Toc12400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_Toc12400 \h </w:instrText>
          </w:r>
          <w:r>
            <w:fldChar w:fldCharType="separate"/>
          </w:r>
          <w:r>
            <w:t>2</w:t>
          </w:r>
          <w:r>
            <w:fldChar w:fldCharType="end"/>
          </w:r>
          <w:r>
            <w:fldChar w:fldCharType="end"/>
          </w:r>
        </w:p>
        <w:p w14:paraId="0AA033CA">
          <w:pPr>
            <w:pStyle w:val="15"/>
            <w:tabs>
              <w:tab w:val="right" w:leader="dot" w:pos="8306"/>
              <w:tab w:val="clear" w:pos="8296"/>
            </w:tabs>
          </w:pPr>
          <w:r>
            <w:fldChar w:fldCharType="begin"/>
          </w:r>
          <w:r>
            <w:instrText xml:space="preserve"> HYPERLINK \l _Toc387 </w:instrText>
          </w:r>
          <w:r>
            <w:fldChar w:fldCharType="separate"/>
          </w:r>
          <w:r>
            <w:rPr>
              <w:rFonts w:hint="eastAsia"/>
              <w:szCs w:val="32"/>
              <w:highlight w:val="none"/>
              <w:lang w:eastAsia="zh-CN"/>
            </w:rPr>
            <w:t>（</w:t>
          </w:r>
          <w:r>
            <w:rPr>
              <w:rFonts w:hint="eastAsia"/>
              <w:szCs w:val="32"/>
              <w:highlight w:val="none"/>
              <w:lang w:val="en-US" w:eastAsia="zh-CN"/>
            </w:rPr>
            <w:t>二</w:t>
          </w:r>
          <w:r>
            <w:rPr>
              <w:rFonts w:hint="eastAsia"/>
              <w:szCs w:val="32"/>
              <w:highlight w:val="none"/>
              <w:lang w:eastAsia="zh-CN"/>
            </w:rPr>
            <w:t>）</w:t>
          </w:r>
          <w:r>
            <w:rPr>
              <w:rFonts w:hint="eastAsia"/>
              <w:szCs w:val="32"/>
              <w:highlight w:val="none"/>
            </w:rPr>
            <w:t>自评范围</w:t>
          </w:r>
          <w:r>
            <w:tab/>
          </w:r>
          <w:r>
            <w:fldChar w:fldCharType="begin"/>
          </w:r>
          <w:r>
            <w:instrText xml:space="preserve"> PAGEREF _Toc387 \h </w:instrText>
          </w:r>
          <w:r>
            <w:fldChar w:fldCharType="separate"/>
          </w:r>
          <w:r>
            <w:t>3</w:t>
          </w:r>
          <w:r>
            <w:fldChar w:fldCharType="end"/>
          </w:r>
          <w:r>
            <w:fldChar w:fldCharType="end"/>
          </w:r>
        </w:p>
        <w:p w14:paraId="09FC5D39">
          <w:pPr>
            <w:pStyle w:val="15"/>
            <w:tabs>
              <w:tab w:val="right" w:leader="dot" w:pos="8306"/>
              <w:tab w:val="clear" w:pos="8296"/>
            </w:tabs>
          </w:pPr>
          <w:r>
            <w:fldChar w:fldCharType="begin"/>
          </w:r>
          <w:r>
            <w:instrText xml:space="preserve"> HYPERLINK \l _Toc14693 </w:instrText>
          </w:r>
          <w:r>
            <w:fldChar w:fldCharType="separate"/>
          </w:r>
          <w:r>
            <w:rPr>
              <w:rFonts w:hint="eastAsia"/>
              <w:szCs w:val="32"/>
              <w:highlight w:val="none"/>
              <w:lang w:eastAsia="zh-CN"/>
            </w:rPr>
            <w:t>（</w:t>
          </w:r>
          <w:r>
            <w:rPr>
              <w:rFonts w:hint="eastAsia"/>
              <w:szCs w:val="32"/>
              <w:highlight w:val="none"/>
              <w:lang w:val="en-US" w:eastAsia="zh-CN"/>
            </w:rPr>
            <w:t>三</w:t>
          </w:r>
          <w:r>
            <w:rPr>
              <w:rFonts w:hint="eastAsia"/>
              <w:szCs w:val="32"/>
              <w:highlight w:val="none"/>
              <w:lang w:eastAsia="zh-CN"/>
            </w:rPr>
            <w:t>）</w:t>
          </w:r>
          <w:r>
            <w:rPr>
              <w:rFonts w:hint="eastAsia"/>
              <w:szCs w:val="32"/>
              <w:highlight w:val="none"/>
            </w:rPr>
            <w:t>自评工作程序</w:t>
          </w:r>
          <w:r>
            <w:tab/>
          </w:r>
          <w:r>
            <w:fldChar w:fldCharType="begin"/>
          </w:r>
          <w:r>
            <w:instrText xml:space="preserve"> PAGEREF _Toc14693 \h </w:instrText>
          </w:r>
          <w:r>
            <w:fldChar w:fldCharType="separate"/>
          </w:r>
          <w:r>
            <w:t>3</w:t>
          </w:r>
          <w:r>
            <w:fldChar w:fldCharType="end"/>
          </w:r>
          <w:r>
            <w:fldChar w:fldCharType="end"/>
          </w:r>
        </w:p>
        <w:p w14:paraId="1E4CBFE6">
          <w:pPr>
            <w:pStyle w:val="14"/>
            <w:tabs>
              <w:tab w:val="right" w:leader="dot" w:pos="8306"/>
              <w:tab w:val="clear" w:pos="8296"/>
            </w:tabs>
          </w:pPr>
          <w:r>
            <w:fldChar w:fldCharType="begin"/>
          </w:r>
          <w:r>
            <w:instrText xml:space="preserve"> HYPERLINK \l _Toc7454 </w:instrText>
          </w:r>
          <w:r>
            <w:fldChar w:fldCharType="separate"/>
          </w:r>
          <w:r>
            <w:rPr>
              <w:rFonts w:hint="eastAsia"/>
              <w:szCs w:val="32"/>
            </w:rPr>
            <w:t>三、部门整体支出绩效自评情况分析</w:t>
          </w:r>
          <w:r>
            <w:tab/>
          </w:r>
          <w:r>
            <w:fldChar w:fldCharType="begin"/>
          </w:r>
          <w:r>
            <w:instrText xml:space="preserve"> PAGEREF _Toc7454 \h </w:instrText>
          </w:r>
          <w:r>
            <w:fldChar w:fldCharType="separate"/>
          </w:r>
          <w:r>
            <w:t>4</w:t>
          </w:r>
          <w:r>
            <w:fldChar w:fldCharType="end"/>
          </w:r>
          <w:r>
            <w:fldChar w:fldCharType="end"/>
          </w:r>
        </w:p>
        <w:p w14:paraId="776C4195">
          <w:pPr>
            <w:pStyle w:val="15"/>
            <w:tabs>
              <w:tab w:val="right" w:leader="dot" w:pos="8306"/>
              <w:tab w:val="clear" w:pos="8296"/>
            </w:tabs>
          </w:pPr>
          <w:r>
            <w:fldChar w:fldCharType="begin"/>
          </w:r>
          <w:r>
            <w:instrText xml:space="preserve"> HYPERLINK \l _Toc27080 </w:instrText>
          </w:r>
          <w:r>
            <w:fldChar w:fldCharType="separate"/>
          </w:r>
          <w:r>
            <w:rPr>
              <w:rFonts w:hint="eastAsia"/>
              <w:szCs w:val="32"/>
            </w:rPr>
            <w:t>（一）部门决算情况</w:t>
          </w:r>
          <w:r>
            <w:tab/>
          </w:r>
          <w:r>
            <w:fldChar w:fldCharType="begin"/>
          </w:r>
          <w:r>
            <w:instrText xml:space="preserve"> PAGEREF _Toc27080 \h </w:instrText>
          </w:r>
          <w:r>
            <w:fldChar w:fldCharType="separate"/>
          </w:r>
          <w:r>
            <w:t>4</w:t>
          </w:r>
          <w:r>
            <w:fldChar w:fldCharType="end"/>
          </w:r>
          <w:r>
            <w:fldChar w:fldCharType="end"/>
          </w:r>
        </w:p>
        <w:p w14:paraId="7EB50212">
          <w:pPr>
            <w:pStyle w:val="15"/>
            <w:tabs>
              <w:tab w:val="right" w:leader="dot" w:pos="8306"/>
              <w:tab w:val="clear" w:pos="8296"/>
            </w:tabs>
          </w:pPr>
          <w:r>
            <w:fldChar w:fldCharType="begin"/>
          </w:r>
          <w:r>
            <w:instrText xml:space="preserve"> HYPERLINK \l _Toc3702 </w:instrText>
          </w:r>
          <w:r>
            <w:fldChar w:fldCharType="separate"/>
          </w:r>
          <w:r>
            <w:rPr>
              <w:rFonts w:hint="eastAsia"/>
              <w:szCs w:val="32"/>
            </w:rPr>
            <w:t>（二）总体绩效目标完成情况分析</w:t>
          </w:r>
          <w:r>
            <w:tab/>
          </w:r>
          <w:r>
            <w:fldChar w:fldCharType="begin"/>
          </w:r>
          <w:r>
            <w:instrText xml:space="preserve"> PAGEREF _Toc3702 \h </w:instrText>
          </w:r>
          <w:r>
            <w:fldChar w:fldCharType="separate"/>
          </w:r>
          <w:r>
            <w:t>4</w:t>
          </w:r>
          <w:r>
            <w:fldChar w:fldCharType="end"/>
          </w:r>
          <w:r>
            <w:fldChar w:fldCharType="end"/>
          </w:r>
        </w:p>
        <w:p w14:paraId="78D1E829">
          <w:pPr>
            <w:pStyle w:val="15"/>
            <w:tabs>
              <w:tab w:val="right" w:leader="dot" w:pos="8306"/>
              <w:tab w:val="clear" w:pos="8296"/>
            </w:tabs>
          </w:pPr>
          <w:r>
            <w:fldChar w:fldCharType="begin"/>
          </w:r>
          <w:r>
            <w:instrText xml:space="preserve"> HYPERLINK \l _Toc27099 </w:instrText>
          </w:r>
          <w:r>
            <w:fldChar w:fldCharType="separate"/>
          </w:r>
          <w:r>
            <w:rPr>
              <w:rFonts w:hint="eastAsia"/>
              <w:szCs w:val="32"/>
            </w:rPr>
            <w:t>（三）各项指标完成情况分析</w:t>
          </w:r>
          <w:r>
            <w:tab/>
          </w:r>
          <w:r>
            <w:fldChar w:fldCharType="begin"/>
          </w:r>
          <w:r>
            <w:instrText xml:space="preserve"> PAGEREF _Toc27099 \h </w:instrText>
          </w:r>
          <w:r>
            <w:fldChar w:fldCharType="separate"/>
          </w:r>
          <w:r>
            <w:t>6</w:t>
          </w:r>
          <w:r>
            <w:fldChar w:fldCharType="end"/>
          </w:r>
          <w:r>
            <w:fldChar w:fldCharType="end"/>
          </w:r>
        </w:p>
        <w:p w14:paraId="5B39CBF0">
          <w:pPr>
            <w:pStyle w:val="15"/>
            <w:tabs>
              <w:tab w:val="right" w:leader="dot" w:pos="8306"/>
              <w:tab w:val="clear" w:pos="8296"/>
            </w:tabs>
          </w:pPr>
          <w:r>
            <w:fldChar w:fldCharType="begin"/>
          </w:r>
          <w:r>
            <w:instrText xml:space="preserve"> HYPERLINK \l _Toc32531 </w:instrText>
          </w:r>
          <w:r>
            <w:fldChar w:fldCharType="separate"/>
          </w:r>
          <w:r>
            <w:rPr>
              <w:rFonts w:hint="eastAsia"/>
              <w:szCs w:val="32"/>
              <w:highlight w:val="none"/>
              <w:lang w:eastAsia="zh-CN"/>
            </w:rPr>
            <w:t>（四）</w:t>
          </w:r>
          <w:r>
            <w:rPr>
              <w:rFonts w:hint="eastAsia"/>
              <w:szCs w:val="32"/>
              <w:highlight w:val="none"/>
            </w:rPr>
            <w:t>偏离绩效目标的原因及下一步改进措施</w:t>
          </w:r>
          <w:r>
            <w:tab/>
          </w:r>
          <w:r>
            <w:fldChar w:fldCharType="begin"/>
          </w:r>
          <w:r>
            <w:instrText xml:space="preserve"> PAGEREF _Toc32531 \h </w:instrText>
          </w:r>
          <w:r>
            <w:fldChar w:fldCharType="separate"/>
          </w:r>
          <w:r>
            <w:t>13</w:t>
          </w:r>
          <w:r>
            <w:fldChar w:fldCharType="end"/>
          </w:r>
          <w:r>
            <w:fldChar w:fldCharType="end"/>
          </w:r>
        </w:p>
        <w:p w14:paraId="4B05DD9B">
          <w:pPr>
            <w:pStyle w:val="14"/>
            <w:tabs>
              <w:tab w:val="right" w:leader="dot" w:pos="8306"/>
              <w:tab w:val="clear" w:pos="8296"/>
            </w:tabs>
          </w:pPr>
          <w:r>
            <w:fldChar w:fldCharType="begin"/>
          </w:r>
          <w:r>
            <w:instrText xml:space="preserve"> HYPERLINK \l _Toc32289 </w:instrText>
          </w:r>
          <w:r>
            <w:fldChar w:fldCharType="separate"/>
          </w:r>
          <w:r>
            <w:rPr>
              <w:rFonts w:hint="eastAsia"/>
              <w:szCs w:val="32"/>
            </w:rPr>
            <w:t>四、部门预算项目支出绩效自评情况分析</w:t>
          </w:r>
          <w:r>
            <w:tab/>
          </w:r>
          <w:r>
            <w:fldChar w:fldCharType="begin"/>
          </w:r>
          <w:r>
            <w:instrText xml:space="preserve"> PAGEREF _Toc32289 \h </w:instrText>
          </w:r>
          <w:r>
            <w:fldChar w:fldCharType="separate"/>
          </w:r>
          <w:r>
            <w:t>13</w:t>
          </w:r>
          <w:r>
            <w:fldChar w:fldCharType="end"/>
          </w:r>
          <w:r>
            <w:fldChar w:fldCharType="end"/>
          </w:r>
        </w:p>
        <w:p w14:paraId="496D4F27">
          <w:pPr>
            <w:pStyle w:val="15"/>
            <w:tabs>
              <w:tab w:val="right" w:leader="dot" w:pos="8306"/>
              <w:tab w:val="clear" w:pos="8296"/>
            </w:tabs>
          </w:pPr>
          <w:r>
            <w:fldChar w:fldCharType="begin"/>
          </w:r>
          <w:r>
            <w:instrText xml:space="preserve"> HYPERLINK \l _Toc26116 </w:instrText>
          </w:r>
          <w:r>
            <w:fldChar w:fldCharType="separate"/>
          </w:r>
          <w:r>
            <w:rPr>
              <w:rFonts w:hint="eastAsia"/>
              <w:szCs w:val="32"/>
              <w:lang w:eastAsia="zh-CN"/>
            </w:rPr>
            <w:t>（一）</w:t>
          </w:r>
          <w:r>
            <w:rPr>
              <w:rFonts w:hint="eastAsia"/>
              <w:szCs w:val="32"/>
              <w:highlight w:val="none"/>
              <w:lang w:val="en-US" w:eastAsia="zh-CN"/>
            </w:rPr>
            <w:t>全省法院业务费</w:t>
          </w:r>
          <w:r>
            <w:tab/>
          </w:r>
          <w:r>
            <w:fldChar w:fldCharType="begin"/>
          </w:r>
          <w:r>
            <w:instrText xml:space="preserve"> PAGEREF _Toc26116 \h </w:instrText>
          </w:r>
          <w:r>
            <w:fldChar w:fldCharType="separate"/>
          </w:r>
          <w:r>
            <w:t>14</w:t>
          </w:r>
          <w:r>
            <w:fldChar w:fldCharType="end"/>
          </w:r>
          <w:r>
            <w:fldChar w:fldCharType="end"/>
          </w:r>
        </w:p>
        <w:p w14:paraId="77F13FE5">
          <w:pPr>
            <w:pStyle w:val="15"/>
            <w:tabs>
              <w:tab w:val="right" w:leader="dot" w:pos="8306"/>
              <w:tab w:val="clear" w:pos="8296"/>
            </w:tabs>
          </w:pPr>
          <w:r>
            <w:fldChar w:fldCharType="begin"/>
          </w:r>
          <w:r>
            <w:instrText xml:space="preserve"> HYPERLINK \l _Toc23462 </w:instrText>
          </w:r>
          <w:r>
            <w:fldChar w:fldCharType="separate"/>
          </w:r>
          <w:r>
            <w:rPr>
              <w:rFonts w:hint="eastAsia"/>
              <w:szCs w:val="32"/>
            </w:rPr>
            <w:t>（二）</w:t>
          </w:r>
          <w:r>
            <w:rPr>
              <w:rFonts w:hint="eastAsia"/>
              <w:szCs w:val="32"/>
              <w:lang w:val="en-US" w:eastAsia="zh-CN"/>
            </w:rPr>
            <w:t>法庭运维</w:t>
          </w:r>
          <w:r>
            <w:rPr>
              <w:rFonts w:hint="eastAsia"/>
              <w:szCs w:val="32"/>
            </w:rPr>
            <w:t>费</w:t>
          </w:r>
          <w:r>
            <w:tab/>
          </w:r>
          <w:r>
            <w:fldChar w:fldCharType="begin"/>
          </w:r>
          <w:r>
            <w:instrText xml:space="preserve"> PAGEREF _Toc23462 \h </w:instrText>
          </w:r>
          <w:r>
            <w:fldChar w:fldCharType="separate"/>
          </w:r>
          <w:r>
            <w:t>18</w:t>
          </w:r>
          <w:r>
            <w:fldChar w:fldCharType="end"/>
          </w:r>
          <w:r>
            <w:fldChar w:fldCharType="end"/>
          </w:r>
        </w:p>
        <w:p w14:paraId="7F09A2B9">
          <w:pPr>
            <w:pStyle w:val="14"/>
            <w:tabs>
              <w:tab w:val="right" w:leader="dot" w:pos="8306"/>
              <w:tab w:val="clear" w:pos="8296"/>
            </w:tabs>
          </w:pPr>
          <w:r>
            <w:fldChar w:fldCharType="begin"/>
          </w:r>
          <w:r>
            <w:instrText xml:space="preserve"> HYPERLINK \l _Toc29620 </w:instrText>
          </w:r>
          <w:r>
            <w:fldChar w:fldCharType="separate"/>
          </w:r>
          <w:r>
            <w:rPr>
              <w:rFonts w:hint="eastAsia"/>
              <w:lang w:eastAsia="zh-CN"/>
            </w:rPr>
            <w:t>五</w:t>
          </w:r>
          <w:r>
            <w:rPr>
              <w:rFonts w:hint="eastAsia"/>
              <w:szCs w:val="32"/>
              <w:highlight w:val="none"/>
            </w:rPr>
            <w:t>、绩效自评结果拟应用和公开情况</w:t>
          </w:r>
          <w:r>
            <w:tab/>
          </w:r>
          <w:r>
            <w:fldChar w:fldCharType="begin"/>
          </w:r>
          <w:r>
            <w:instrText xml:space="preserve"> PAGEREF _Toc29620 \h </w:instrText>
          </w:r>
          <w:r>
            <w:fldChar w:fldCharType="separate"/>
          </w:r>
          <w:r>
            <w:t>21</w:t>
          </w:r>
          <w:r>
            <w:fldChar w:fldCharType="end"/>
          </w:r>
          <w:r>
            <w:fldChar w:fldCharType="end"/>
          </w:r>
        </w:p>
        <w:p w14:paraId="4EEE71BD">
          <w:pPr>
            <w:pStyle w:val="14"/>
            <w:tabs>
              <w:tab w:val="right" w:leader="dot" w:pos="8306"/>
              <w:tab w:val="clear" w:pos="8296"/>
            </w:tabs>
          </w:pPr>
          <w:r>
            <w:fldChar w:fldCharType="begin"/>
          </w:r>
          <w:r>
            <w:instrText xml:space="preserve"> HYPERLINK \l _Toc30982 </w:instrText>
          </w:r>
          <w:r>
            <w:fldChar w:fldCharType="separate"/>
          </w:r>
          <w:r>
            <w:rPr>
              <w:rFonts w:hint="eastAsia"/>
              <w:lang w:eastAsia="zh-CN"/>
            </w:rPr>
            <w:t>六</w:t>
          </w:r>
          <w:r>
            <w:rPr>
              <w:rFonts w:hint="eastAsia"/>
              <w:szCs w:val="32"/>
              <w:lang w:val="en-US" w:eastAsia="zh-CN"/>
            </w:rPr>
            <w:t>、</w:t>
          </w:r>
          <w:r>
            <w:rPr>
              <w:rFonts w:hint="eastAsia"/>
              <w:szCs w:val="32"/>
            </w:rPr>
            <w:t>其他需要说明的问</w:t>
          </w:r>
          <w:r>
            <w:rPr>
              <w:rFonts w:hint="eastAsia"/>
              <w:szCs w:val="32"/>
              <w:lang w:val="en-US" w:eastAsia="zh-CN"/>
            </w:rPr>
            <w:t>题</w:t>
          </w:r>
          <w:r>
            <w:tab/>
          </w:r>
          <w:r>
            <w:fldChar w:fldCharType="begin"/>
          </w:r>
          <w:r>
            <w:instrText xml:space="preserve"> PAGEREF _Toc30982 \h </w:instrText>
          </w:r>
          <w:r>
            <w:fldChar w:fldCharType="separate"/>
          </w:r>
          <w:r>
            <w:t>22</w:t>
          </w:r>
          <w:r>
            <w:fldChar w:fldCharType="end"/>
          </w:r>
          <w:r>
            <w:fldChar w:fldCharType="end"/>
          </w:r>
        </w:p>
        <w:p w14:paraId="0B7327C5">
          <w:pPr>
            <w:ind w:firstLine="0" w:firstLineChars="0"/>
          </w:pPr>
          <w:r>
            <w:fldChar w:fldCharType="end"/>
          </w:r>
        </w:p>
      </w:sdtContent>
    </w:sdt>
    <w:p w14:paraId="3D3383DA">
      <w:pPr>
        <w:widowControl/>
        <w:spacing w:line="240" w:lineRule="auto"/>
        <w:ind w:firstLine="0" w:firstLineChars="0"/>
        <w:jc w:val="center"/>
        <w:rPr>
          <w:rFonts w:hint="eastAsia" w:ascii="宋体" w:hAnsi="宋体" w:eastAsia="宋体" w:cs="Arial"/>
          <w:b/>
          <w:bCs/>
          <w:sz w:val="44"/>
          <w:szCs w:val="44"/>
          <w:highlight w:val="none"/>
          <w:lang w:val="en-US" w:eastAsia="zh-CN"/>
        </w:rPr>
        <w:sectPr>
          <w:footerReference r:id="rId7" w:type="default"/>
          <w:pgSz w:w="11906" w:h="16838"/>
          <w:pgMar w:top="1440" w:right="1800" w:bottom="1440" w:left="1800" w:header="851" w:footer="737" w:gutter="0"/>
          <w:pgNumType w:fmt="decimal" w:start="1"/>
          <w:cols w:space="425" w:num="1"/>
          <w:docGrid w:type="lines" w:linePitch="312" w:charSpace="0"/>
        </w:sectPr>
      </w:pPr>
      <w:bookmarkStart w:id="0" w:name="_Toc4040"/>
      <w:bookmarkStart w:id="1" w:name="_Toc13158"/>
      <w:bookmarkStart w:id="2" w:name="_Toc22477"/>
      <w:bookmarkStart w:id="3" w:name="_Toc28671"/>
      <w:bookmarkStart w:id="4" w:name="_Toc18188"/>
      <w:bookmarkStart w:id="94" w:name="_GoBack"/>
      <w:bookmarkEnd w:id="94"/>
    </w:p>
    <w:p w14:paraId="07F6C5E1">
      <w:pPr>
        <w:widowControl/>
        <w:spacing w:line="240" w:lineRule="auto"/>
        <w:ind w:firstLine="0" w:firstLineChars="0"/>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val="en-US" w:eastAsia="zh-CN"/>
        </w:rPr>
        <w:t>兰州市红古区人民法院</w:t>
      </w:r>
      <w:r>
        <w:rPr>
          <w:rFonts w:hint="eastAsia" w:ascii="黑体" w:hAnsi="黑体" w:eastAsia="黑体" w:cs="黑体"/>
          <w:b/>
          <w:bCs/>
          <w:sz w:val="44"/>
          <w:szCs w:val="44"/>
          <w:highlight w:val="none"/>
        </w:rPr>
        <w:t>202</w:t>
      </w:r>
      <w:r>
        <w:rPr>
          <w:rFonts w:hint="eastAsia" w:ascii="黑体" w:hAnsi="黑体" w:eastAsia="黑体" w:cs="黑体"/>
          <w:b/>
          <w:bCs/>
          <w:sz w:val="44"/>
          <w:szCs w:val="44"/>
          <w:highlight w:val="none"/>
          <w:lang w:val="en-US" w:eastAsia="zh-CN"/>
        </w:rPr>
        <w:t>3</w:t>
      </w:r>
      <w:r>
        <w:rPr>
          <w:rFonts w:hint="eastAsia" w:ascii="黑体" w:hAnsi="黑体" w:eastAsia="黑体" w:cs="黑体"/>
          <w:b/>
          <w:bCs/>
          <w:sz w:val="44"/>
          <w:szCs w:val="44"/>
          <w:highlight w:val="none"/>
        </w:rPr>
        <w:t>年度</w:t>
      </w:r>
    </w:p>
    <w:p w14:paraId="448DA9A1">
      <w:pPr>
        <w:widowControl/>
        <w:spacing w:line="240" w:lineRule="auto"/>
        <w:ind w:firstLine="0" w:firstLineChars="0"/>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预算执行情况自评报告</w:t>
      </w:r>
      <w:bookmarkEnd w:id="0"/>
      <w:bookmarkEnd w:id="1"/>
    </w:p>
    <w:p w14:paraId="2637FEED">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pPr>
      <w:bookmarkStart w:id="5" w:name="_Toc9004"/>
      <w:r>
        <w:rPr>
          <w:rFonts w:hint="eastAsia"/>
        </w:rPr>
        <w:t>一、基本情况</w:t>
      </w:r>
      <w:bookmarkEnd w:id="2"/>
      <w:bookmarkEnd w:id="3"/>
      <w:bookmarkEnd w:id="4"/>
      <w:bookmarkEnd w:id="5"/>
    </w:p>
    <w:p w14:paraId="3988F8D4">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pPr>
      <w:bookmarkStart w:id="6" w:name="_Toc18868"/>
      <w:bookmarkStart w:id="7" w:name="_Toc819"/>
      <w:bookmarkStart w:id="8" w:name="_Toc24636"/>
      <w:bookmarkStart w:id="9" w:name="_Toc24544"/>
      <w:r>
        <w:rPr>
          <w:rFonts w:hint="eastAsia"/>
        </w:rPr>
        <w:t>（一）部门主要职能</w:t>
      </w:r>
      <w:bookmarkEnd w:id="6"/>
      <w:bookmarkEnd w:id="7"/>
      <w:bookmarkEnd w:id="8"/>
      <w:bookmarkEnd w:id="9"/>
    </w:p>
    <w:p w14:paraId="486EA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bookmarkStart w:id="10" w:name="_Toc7151"/>
      <w:bookmarkStart w:id="11" w:name="_Toc20782"/>
      <w:bookmarkStart w:id="12" w:name="_Toc25335"/>
      <w:r>
        <w:rPr>
          <w:rFonts w:hint="eastAsia" w:hAnsi="宋体"/>
          <w:sz w:val="32"/>
          <w:szCs w:val="32"/>
          <w:highlight w:val="none"/>
        </w:rPr>
        <w:t>红古区人民法院</w:t>
      </w:r>
      <w:r>
        <w:rPr>
          <w:rFonts w:hint="eastAsia" w:hAnsi="宋体"/>
          <w:sz w:val="32"/>
          <w:szCs w:val="32"/>
          <w:highlight w:val="none"/>
          <w:lang w:eastAsia="zh-CN"/>
        </w:rPr>
        <w:t>（</w:t>
      </w:r>
      <w:r>
        <w:rPr>
          <w:rFonts w:hint="eastAsia" w:hAnsi="宋体"/>
          <w:sz w:val="32"/>
          <w:szCs w:val="32"/>
          <w:highlight w:val="none"/>
          <w:lang w:val="en-US" w:eastAsia="zh-CN"/>
        </w:rPr>
        <w:t>以下简称：我院</w:t>
      </w:r>
      <w:r>
        <w:rPr>
          <w:rFonts w:hint="eastAsia" w:hAnsi="宋体"/>
          <w:sz w:val="32"/>
          <w:szCs w:val="32"/>
          <w:highlight w:val="none"/>
          <w:lang w:eastAsia="zh-CN"/>
        </w:rPr>
        <w:t>）</w:t>
      </w:r>
      <w:r>
        <w:rPr>
          <w:rFonts w:hint="eastAsia" w:hAnsi="宋体"/>
          <w:sz w:val="32"/>
          <w:szCs w:val="32"/>
          <w:highlight w:val="none"/>
        </w:rPr>
        <w:t>是国家审判机关，依法独立行使审判权，对区人民代表大会及其常务委员会负责并报告工作。主要职责是：</w:t>
      </w:r>
    </w:p>
    <w:p w14:paraId="53308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hAnsi="宋体"/>
          <w:sz w:val="32"/>
          <w:szCs w:val="32"/>
          <w:highlight w:val="none"/>
        </w:rPr>
        <w:t>1</w:t>
      </w:r>
      <w:r>
        <w:rPr>
          <w:rFonts w:hint="eastAsia" w:hAnsi="宋体"/>
          <w:sz w:val="32"/>
          <w:szCs w:val="32"/>
          <w:highlight w:val="none"/>
          <w:lang w:val="en-US" w:eastAsia="zh-CN"/>
        </w:rPr>
        <w:t>.</w:t>
      </w:r>
      <w:r>
        <w:rPr>
          <w:rFonts w:hint="eastAsia" w:hAnsi="宋体"/>
          <w:sz w:val="32"/>
          <w:szCs w:val="32"/>
          <w:highlight w:val="none"/>
        </w:rPr>
        <w:t>审判法律规定由红古区人民法院管辖和其认为应当由自己审判的案件。</w:t>
      </w:r>
    </w:p>
    <w:p w14:paraId="1139D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hAnsi="宋体"/>
          <w:sz w:val="32"/>
          <w:szCs w:val="32"/>
          <w:highlight w:val="none"/>
        </w:rPr>
        <w:t>2</w:t>
      </w:r>
      <w:r>
        <w:rPr>
          <w:rFonts w:hint="eastAsia" w:hAnsi="宋体"/>
          <w:sz w:val="32"/>
          <w:szCs w:val="32"/>
          <w:highlight w:val="none"/>
          <w:lang w:val="en-US" w:eastAsia="zh-CN"/>
        </w:rPr>
        <w:t>.</w:t>
      </w:r>
      <w:r>
        <w:rPr>
          <w:rFonts w:hint="eastAsia" w:hAnsi="宋体"/>
          <w:sz w:val="32"/>
          <w:szCs w:val="32"/>
          <w:highlight w:val="none"/>
        </w:rPr>
        <w:t>审判由上级人民法院交由本院审判的刑事、民事、行政案件。</w:t>
      </w:r>
    </w:p>
    <w:p w14:paraId="45712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eastAsia="仿宋_GB2312"/>
          <w:sz w:val="32"/>
          <w:szCs w:val="32"/>
          <w:highlight w:val="none"/>
          <w:lang w:val="en-US" w:eastAsia="zh-CN"/>
        </w:rPr>
      </w:pPr>
      <w:r>
        <w:rPr>
          <w:rFonts w:hint="eastAsia" w:hAnsi="宋体"/>
          <w:sz w:val="32"/>
          <w:szCs w:val="32"/>
          <w:highlight w:val="none"/>
        </w:rPr>
        <w:t>3</w:t>
      </w:r>
      <w:r>
        <w:rPr>
          <w:rFonts w:hint="eastAsia" w:hAnsi="宋体"/>
          <w:sz w:val="32"/>
          <w:szCs w:val="32"/>
          <w:highlight w:val="none"/>
          <w:lang w:val="en-US" w:eastAsia="zh-CN"/>
        </w:rPr>
        <w:t>.</w:t>
      </w:r>
      <w:r>
        <w:rPr>
          <w:rFonts w:hint="eastAsia" w:hAnsi="宋体"/>
          <w:sz w:val="32"/>
          <w:szCs w:val="32"/>
          <w:highlight w:val="none"/>
        </w:rPr>
        <w:t>依法行使司法执行权和司法决定权，执行本院已经发生法律效力的判决、裁定以及国家行政机关申请执行的案件和外地法院委托执行的案件</w:t>
      </w:r>
      <w:r>
        <w:rPr>
          <w:rFonts w:hint="eastAsia" w:hAnsi="宋体"/>
          <w:sz w:val="32"/>
          <w:szCs w:val="32"/>
          <w:highlight w:val="none"/>
          <w:lang w:eastAsia="zh-CN"/>
        </w:rPr>
        <w:t>。</w:t>
      </w:r>
    </w:p>
    <w:p w14:paraId="552F8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eastAsia="仿宋_GB2312"/>
          <w:sz w:val="32"/>
          <w:szCs w:val="32"/>
          <w:highlight w:val="none"/>
          <w:lang w:eastAsia="zh-CN"/>
        </w:rPr>
      </w:pPr>
      <w:r>
        <w:rPr>
          <w:rFonts w:hint="eastAsia" w:hAnsi="宋体"/>
          <w:sz w:val="32"/>
          <w:szCs w:val="32"/>
          <w:highlight w:val="none"/>
        </w:rPr>
        <w:t>4</w:t>
      </w:r>
      <w:r>
        <w:rPr>
          <w:rFonts w:hint="eastAsia" w:hAnsi="宋体"/>
          <w:sz w:val="32"/>
          <w:szCs w:val="32"/>
          <w:highlight w:val="none"/>
          <w:lang w:val="en-US" w:eastAsia="zh-CN"/>
        </w:rPr>
        <w:t>.</w:t>
      </w:r>
      <w:r>
        <w:rPr>
          <w:rFonts w:hint="eastAsia" w:hAnsi="宋体"/>
          <w:sz w:val="32"/>
          <w:szCs w:val="32"/>
          <w:highlight w:val="none"/>
        </w:rPr>
        <w:t>调查研究审判工作中的法律、法规、规章、政策及疑难问题，针对案件审理中发现的问题提出司法建议</w:t>
      </w:r>
      <w:r>
        <w:rPr>
          <w:rFonts w:hint="eastAsia" w:hAnsi="宋体"/>
          <w:sz w:val="32"/>
          <w:szCs w:val="32"/>
          <w:highlight w:val="none"/>
          <w:lang w:eastAsia="zh-CN"/>
        </w:rPr>
        <w:t>。</w:t>
      </w:r>
    </w:p>
    <w:p w14:paraId="63E93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hAnsi="宋体"/>
          <w:sz w:val="32"/>
          <w:szCs w:val="32"/>
          <w:highlight w:val="none"/>
        </w:rPr>
        <w:t>5</w:t>
      </w:r>
      <w:r>
        <w:rPr>
          <w:rFonts w:hint="eastAsia" w:hAnsi="宋体"/>
          <w:sz w:val="32"/>
          <w:szCs w:val="32"/>
          <w:highlight w:val="none"/>
          <w:lang w:val="en-US" w:eastAsia="zh-CN"/>
        </w:rPr>
        <w:t>.</w:t>
      </w:r>
      <w:r>
        <w:rPr>
          <w:rFonts w:hint="eastAsia" w:hAnsi="宋体"/>
          <w:sz w:val="32"/>
          <w:szCs w:val="32"/>
          <w:highlight w:val="none"/>
        </w:rPr>
        <w:t>对区人民法院的法官和其他工作人员进行思想政治教育、组织专业培训；按照权限管理法官和其他工作人员。</w:t>
      </w:r>
    </w:p>
    <w:p w14:paraId="5A384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hAnsi="宋体"/>
          <w:sz w:val="32"/>
          <w:szCs w:val="32"/>
          <w:highlight w:val="none"/>
        </w:rPr>
        <w:t>6</w:t>
      </w:r>
      <w:r>
        <w:rPr>
          <w:rFonts w:hint="eastAsia" w:hAnsi="宋体"/>
          <w:sz w:val="32"/>
          <w:szCs w:val="32"/>
          <w:highlight w:val="none"/>
          <w:lang w:val="en-US" w:eastAsia="zh-CN"/>
        </w:rPr>
        <w:t>.</w:t>
      </w:r>
      <w:r>
        <w:rPr>
          <w:rFonts w:hint="eastAsia" w:hAnsi="宋体"/>
          <w:sz w:val="32"/>
          <w:szCs w:val="32"/>
          <w:highlight w:val="none"/>
        </w:rPr>
        <w:t>管理区人民法院的有关经费和物资装备。</w:t>
      </w:r>
    </w:p>
    <w:p w14:paraId="1BDBC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hAnsi="宋体"/>
          <w:sz w:val="32"/>
          <w:szCs w:val="32"/>
          <w:highlight w:val="none"/>
        </w:rPr>
        <w:t>7</w:t>
      </w:r>
      <w:r>
        <w:rPr>
          <w:rFonts w:hint="eastAsia" w:hAnsi="宋体"/>
          <w:sz w:val="32"/>
          <w:szCs w:val="32"/>
          <w:highlight w:val="none"/>
          <w:lang w:val="en-US" w:eastAsia="zh-CN"/>
        </w:rPr>
        <w:t>.</w:t>
      </w:r>
      <w:r>
        <w:rPr>
          <w:rFonts w:hint="eastAsia" w:hAnsi="宋体"/>
          <w:sz w:val="32"/>
          <w:szCs w:val="32"/>
          <w:highlight w:val="none"/>
        </w:rPr>
        <w:t>参与社会治安综合治理工作，在审判工作中宣传法制，教育公民自觉遵守宪法、法律、法规和社会公德。</w:t>
      </w:r>
    </w:p>
    <w:p w14:paraId="487F2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hAnsi="宋体"/>
          <w:sz w:val="32"/>
          <w:szCs w:val="32"/>
          <w:highlight w:val="none"/>
        </w:rPr>
        <w:t>8</w:t>
      </w:r>
      <w:r>
        <w:rPr>
          <w:rFonts w:hint="eastAsia" w:hAnsi="宋体"/>
          <w:sz w:val="32"/>
          <w:szCs w:val="32"/>
          <w:highlight w:val="none"/>
          <w:lang w:val="en-US" w:eastAsia="zh-CN"/>
        </w:rPr>
        <w:t>.</w:t>
      </w:r>
      <w:r>
        <w:rPr>
          <w:rFonts w:hint="eastAsia" w:hAnsi="宋体"/>
          <w:sz w:val="32"/>
          <w:szCs w:val="32"/>
          <w:highlight w:val="none"/>
        </w:rPr>
        <w:t>承办其他应由区人民法院负责的工作</w:t>
      </w:r>
      <w:r>
        <w:rPr>
          <w:rFonts w:hint="eastAsia" w:ascii="仿宋_GB2312" w:hAnsi="仿宋" w:eastAsia="仿宋_GB2312"/>
          <w:sz w:val="32"/>
          <w:szCs w:val="32"/>
        </w:rPr>
        <w:t>。</w:t>
      </w:r>
    </w:p>
    <w:p w14:paraId="1F45C7AA">
      <w:pPr>
        <w:pStyle w:val="4"/>
        <w:pageBreakBefore w:val="0"/>
        <w:widowControl w:val="0"/>
        <w:kinsoku/>
        <w:wordWrap/>
        <w:overflowPunct/>
        <w:topLinePunct w:val="0"/>
        <w:autoSpaceDE/>
        <w:autoSpaceDN/>
        <w:bidi w:val="0"/>
        <w:adjustRightInd/>
        <w:snapToGrid/>
        <w:spacing w:line="560" w:lineRule="exact"/>
        <w:ind w:firstLine="643" w:firstLineChars="200"/>
        <w:textAlignment w:val="auto"/>
      </w:pPr>
      <w:bookmarkStart w:id="13" w:name="_Toc27737"/>
      <w:r>
        <w:rPr>
          <w:rFonts w:hint="eastAsia"/>
        </w:rPr>
        <w:t>（二）内设机构</w:t>
      </w:r>
      <w:r>
        <w:rPr>
          <w:rFonts w:hint="eastAsia"/>
          <w:lang w:eastAsia="zh-CN"/>
        </w:rPr>
        <w:t>、</w:t>
      </w:r>
      <w:r>
        <w:rPr>
          <w:rFonts w:hint="eastAsia"/>
          <w:lang w:val="en-US" w:eastAsia="zh-CN"/>
        </w:rPr>
        <w:t>人员情况</w:t>
      </w:r>
      <w:r>
        <w:rPr>
          <w:rFonts w:hint="eastAsia"/>
        </w:rPr>
        <w:t>及所属</w:t>
      </w:r>
      <w:r>
        <w:rPr>
          <w:rFonts w:hint="eastAsia"/>
          <w:lang w:eastAsia="zh-CN"/>
        </w:rPr>
        <w:t>部门</w:t>
      </w:r>
      <w:r>
        <w:rPr>
          <w:rFonts w:hint="eastAsia"/>
        </w:rPr>
        <w:t>概况</w:t>
      </w:r>
      <w:bookmarkEnd w:id="10"/>
      <w:bookmarkEnd w:id="11"/>
      <w:bookmarkEnd w:id="12"/>
      <w:bookmarkEnd w:id="13"/>
    </w:p>
    <w:p w14:paraId="1E61533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24"/>
          <w:lang w:val="en-US" w:eastAsia="zh-CN"/>
        </w:rPr>
      </w:pPr>
      <w:bookmarkStart w:id="14" w:name="_Toc28217"/>
      <w:r>
        <w:rPr>
          <w:rFonts w:hint="eastAsia"/>
          <w:b/>
          <w:bCs/>
          <w:sz w:val="32"/>
          <w:szCs w:val="24"/>
          <w:lang w:val="en-US" w:eastAsia="zh-CN"/>
        </w:rPr>
        <w:t>1.内设机构</w:t>
      </w:r>
      <w:bookmarkEnd w:id="14"/>
    </w:p>
    <w:p w14:paraId="5CC154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bookmarkStart w:id="15" w:name="_Toc5008"/>
      <w:r>
        <w:rPr>
          <w:rFonts w:hint="eastAsia" w:hAnsi="宋体"/>
          <w:sz w:val="32"/>
          <w:szCs w:val="32"/>
          <w:highlight w:val="none"/>
        </w:rPr>
        <w:t>红古区人民法院内设机构</w:t>
      </w:r>
      <w:r>
        <w:rPr>
          <w:rFonts w:hint="eastAsia" w:hAnsi="宋体"/>
          <w:sz w:val="32"/>
          <w:szCs w:val="32"/>
          <w:highlight w:val="none"/>
          <w:lang w:val="en-US" w:eastAsia="zh-CN"/>
        </w:rPr>
        <w:t>9</w:t>
      </w:r>
      <w:r>
        <w:rPr>
          <w:rFonts w:hint="eastAsia" w:hAnsi="宋体"/>
          <w:sz w:val="32"/>
          <w:szCs w:val="32"/>
          <w:highlight w:val="none"/>
        </w:rPr>
        <w:t>个，包括</w:t>
      </w:r>
      <w:r>
        <w:rPr>
          <w:rFonts w:hint="eastAsia" w:hAnsi="宋体"/>
          <w:sz w:val="32"/>
          <w:szCs w:val="32"/>
          <w:highlight w:val="none"/>
          <w:lang w:eastAsia="zh-CN"/>
        </w:rPr>
        <w:t>：</w:t>
      </w:r>
      <w:r>
        <w:rPr>
          <w:rFonts w:hint="eastAsia" w:hAnsi="宋体"/>
          <w:sz w:val="32"/>
          <w:szCs w:val="32"/>
          <w:highlight w:val="none"/>
        </w:rPr>
        <w:t>立案庭（诉讼服务中心）、刑事审判庭、民事审判庭、行政审判庭（综合审判庭）、执行庭、审监庭、综合办公室（司法警察大队）、政治部（机关党委）、监察室等内设机构</w:t>
      </w:r>
      <w:r>
        <w:rPr>
          <w:rFonts w:hint="eastAsia" w:hAnsi="宋体"/>
          <w:sz w:val="32"/>
          <w:szCs w:val="32"/>
          <w:highlight w:val="none"/>
          <w:lang w:eastAsia="zh-CN"/>
        </w:rPr>
        <w:t>。</w:t>
      </w:r>
      <w:r>
        <w:rPr>
          <w:rFonts w:hint="eastAsia" w:hAnsi="宋体"/>
          <w:sz w:val="32"/>
          <w:szCs w:val="32"/>
          <w:highlight w:val="none"/>
          <w:lang w:val="en-US" w:eastAsia="zh-CN"/>
        </w:rPr>
        <w:t>内设</w:t>
      </w:r>
      <w:r>
        <w:rPr>
          <w:rFonts w:hint="eastAsia" w:hAnsi="宋体"/>
          <w:sz w:val="32"/>
          <w:szCs w:val="32"/>
          <w:highlight w:val="none"/>
        </w:rPr>
        <w:t>基层人民法庭</w:t>
      </w:r>
      <w:r>
        <w:rPr>
          <w:rFonts w:hint="eastAsia" w:hAnsi="宋体"/>
          <w:sz w:val="32"/>
          <w:szCs w:val="32"/>
          <w:highlight w:val="none"/>
          <w:lang w:val="en-US" w:eastAsia="zh-CN"/>
        </w:rPr>
        <w:t>3</w:t>
      </w:r>
      <w:r>
        <w:rPr>
          <w:rFonts w:hint="eastAsia" w:hAnsi="宋体"/>
          <w:sz w:val="32"/>
          <w:szCs w:val="32"/>
          <w:highlight w:val="none"/>
        </w:rPr>
        <w:t>个</w:t>
      </w:r>
      <w:r>
        <w:rPr>
          <w:rFonts w:hint="eastAsia" w:hAnsi="宋体"/>
          <w:sz w:val="32"/>
          <w:szCs w:val="32"/>
          <w:highlight w:val="none"/>
          <w:lang w:eastAsia="zh-CN"/>
        </w:rPr>
        <w:t>，</w:t>
      </w:r>
      <w:r>
        <w:rPr>
          <w:rFonts w:hint="eastAsia" w:hAnsi="宋体"/>
          <w:sz w:val="32"/>
          <w:szCs w:val="32"/>
          <w:highlight w:val="none"/>
          <w:lang w:val="en-US" w:eastAsia="zh-CN"/>
        </w:rPr>
        <w:t>包括：</w:t>
      </w:r>
      <w:r>
        <w:rPr>
          <w:rFonts w:hint="eastAsia" w:hAnsi="宋体"/>
          <w:sz w:val="32"/>
          <w:szCs w:val="32"/>
          <w:highlight w:val="none"/>
        </w:rPr>
        <w:t>窑街人民法庭、花庄人民法庭、红古人民法庭三个基层人民法庭。</w:t>
      </w:r>
    </w:p>
    <w:p w14:paraId="5E55162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24"/>
          <w:lang w:val="en-US" w:eastAsia="zh-CN"/>
        </w:rPr>
      </w:pPr>
      <w:r>
        <w:rPr>
          <w:rFonts w:hint="eastAsia"/>
          <w:b/>
          <w:bCs/>
          <w:sz w:val="32"/>
          <w:szCs w:val="24"/>
          <w:lang w:val="en-US" w:eastAsia="zh-CN"/>
        </w:rPr>
        <w:t>2.人员情况</w:t>
      </w:r>
    </w:p>
    <w:p w14:paraId="7C4D045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22"/>
          <w:highlight w:val="none"/>
          <w:lang w:val="en-US" w:eastAsia="zh-CN"/>
        </w:rPr>
      </w:pPr>
      <w:r>
        <w:rPr>
          <w:rFonts w:hint="default"/>
          <w:sz w:val="32"/>
          <w:szCs w:val="22"/>
          <w:highlight w:val="none"/>
          <w:lang w:val="en-US" w:eastAsia="zh-CN"/>
        </w:rPr>
        <w:t>截至2023年12月31日，兰州市红古区人民法院核定编制人员63人，其中，政法人员58名，事业人员4名，工勤人员1名，现实有在编人员55名（其中员额法官18人），省聘书记员20人，自聘人员18人。</w:t>
      </w:r>
    </w:p>
    <w:p w14:paraId="7CF7A7B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24"/>
          <w:lang w:val="en-US" w:eastAsia="zh-CN"/>
        </w:rPr>
      </w:pPr>
      <w:r>
        <w:rPr>
          <w:rFonts w:hint="eastAsia"/>
          <w:b/>
          <w:bCs/>
          <w:sz w:val="32"/>
          <w:szCs w:val="24"/>
          <w:lang w:val="en-US" w:eastAsia="zh-CN"/>
        </w:rPr>
        <w:t>3.所属部门概况</w:t>
      </w:r>
      <w:bookmarkEnd w:id="15"/>
    </w:p>
    <w:p w14:paraId="71B5A9F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lang w:val="en-US" w:eastAsia="zh-CN"/>
        </w:rPr>
      </w:pPr>
      <w:r>
        <w:rPr>
          <w:rFonts w:hint="eastAsia" w:hAnsi="宋体"/>
          <w:sz w:val="32"/>
          <w:szCs w:val="32"/>
          <w:highlight w:val="none"/>
          <w:lang w:val="en-US" w:eastAsia="zh-CN"/>
        </w:rPr>
        <w:t>我院无直属事业部门。</w:t>
      </w:r>
    </w:p>
    <w:p w14:paraId="74C95CDD">
      <w:pPr>
        <w:pStyle w:val="3"/>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pPr>
      <w:bookmarkStart w:id="16" w:name="_Toc4574"/>
      <w:bookmarkStart w:id="17" w:name="_Toc18193"/>
      <w:bookmarkStart w:id="18" w:name="_Toc17631"/>
      <w:bookmarkStart w:id="19" w:name="_Toc13794"/>
      <w:r>
        <w:rPr>
          <w:rFonts w:hint="eastAsia"/>
        </w:rPr>
        <w:t>二、绩效自评工作组织开展情况</w:t>
      </w:r>
      <w:bookmarkEnd w:id="16"/>
      <w:bookmarkEnd w:id="17"/>
      <w:bookmarkEnd w:id="18"/>
      <w:bookmarkEnd w:id="19"/>
    </w:p>
    <w:p w14:paraId="7B69E141">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highlight w:val="none"/>
        </w:rPr>
      </w:pPr>
      <w:bookmarkStart w:id="20" w:name="_Toc12400"/>
      <w:bookmarkStart w:id="21" w:name="_Toc11147"/>
      <w:bookmarkStart w:id="22" w:name="_Toc4177"/>
      <w:bookmarkStart w:id="23" w:name="_Toc31965"/>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20"/>
    </w:p>
    <w:p w14:paraId="368E41F1">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hAnsi="宋体"/>
          <w:sz w:val="32"/>
          <w:szCs w:val="32"/>
          <w:highlight w:val="none"/>
        </w:rPr>
        <w:t>我院</w:t>
      </w:r>
      <w:r>
        <w:rPr>
          <w:rFonts w:hint="eastAsia" w:hAnsi="宋体"/>
          <w:sz w:val="32"/>
          <w:szCs w:val="32"/>
        </w:rPr>
        <w:t>十分重视此次绩效评价工作，要求财务部门严格按照省上有关文件精神，科学分析，精准评价，确保绩效评价客观公正。</w:t>
      </w:r>
      <w:r>
        <w:rPr>
          <w:rFonts w:hint="eastAsia"/>
          <w:sz w:val="32"/>
          <w:szCs w:val="32"/>
        </w:rPr>
        <w:t>工作启动后，</w:t>
      </w:r>
      <w:r>
        <w:rPr>
          <w:rFonts w:hint="eastAsia" w:hAnsi="宋体"/>
          <w:sz w:val="32"/>
          <w:szCs w:val="32"/>
        </w:rPr>
        <w:t>严格按照《中华人民共和国预算法》《中华人民共和国预算法实施条例》《中共中央国务院关于全面实施预算绩效管理的意见》（中发〔2018〕34号）、《中共甘肃省委 甘肃省人民政府关于全面实施预算绩效管理的实施意见》（</w:t>
      </w:r>
      <w:r>
        <w:rPr>
          <w:rFonts w:hint="eastAsia" w:hAnsi="宋体"/>
          <w:sz w:val="32"/>
          <w:szCs w:val="32"/>
          <w:lang w:val="en-US" w:eastAsia="zh-CN"/>
        </w:rPr>
        <w:t>甘</w:t>
      </w:r>
      <w:r>
        <w:rPr>
          <w:rFonts w:hint="eastAsia" w:hAnsi="宋体"/>
          <w:sz w:val="32"/>
          <w:szCs w:val="32"/>
        </w:rPr>
        <w:t>发〔2018〕32号）、《甘肃省省级预算绩效管理办法》（甘财绩〔2020〕5号）</w:t>
      </w:r>
      <w:r>
        <w:rPr>
          <w:sz w:val="32"/>
          <w:szCs w:val="32"/>
        </w:rPr>
        <w:t>等文件的要求，联合各相关</w:t>
      </w:r>
      <w:r>
        <w:rPr>
          <w:rFonts w:hint="eastAsia"/>
          <w:sz w:val="32"/>
          <w:szCs w:val="32"/>
          <w:lang w:eastAsia="zh-CN"/>
        </w:rPr>
        <w:t>业务部门</w:t>
      </w:r>
      <w:r>
        <w:rPr>
          <w:sz w:val="32"/>
          <w:szCs w:val="32"/>
        </w:rPr>
        <w:t>共同完成此次自评</w:t>
      </w:r>
      <w:r>
        <w:rPr>
          <w:rFonts w:hint="eastAsia"/>
          <w:sz w:val="32"/>
          <w:szCs w:val="32"/>
        </w:rPr>
        <w:t>工作。</w:t>
      </w:r>
      <w:r>
        <w:rPr>
          <w:rFonts w:hint="eastAsia"/>
          <w:sz w:val="32"/>
          <w:szCs w:val="32"/>
          <w:highlight w:val="none"/>
        </w:rPr>
        <w:t>自评工作遵循科学公正、统筹兼顾、激励约束和公开透明的原则，以</w:t>
      </w:r>
      <w:r>
        <w:rPr>
          <w:rFonts w:hint="eastAsia"/>
          <w:sz w:val="32"/>
          <w:szCs w:val="32"/>
          <w:highlight w:val="none"/>
          <w:lang w:val="en-US" w:eastAsia="zh-CN"/>
        </w:rPr>
        <w:t>我院</w:t>
      </w:r>
      <w:r>
        <w:rPr>
          <w:rFonts w:hint="eastAsia"/>
          <w:sz w:val="32"/>
          <w:szCs w:val="32"/>
          <w:highlight w:val="none"/>
          <w:lang w:eastAsia="zh-CN"/>
        </w:rPr>
        <w:t>2023年</w:t>
      </w:r>
      <w:r>
        <w:rPr>
          <w:rFonts w:hint="eastAsia"/>
          <w:sz w:val="32"/>
          <w:szCs w:val="32"/>
          <w:highlight w:val="none"/>
        </w:rPr>
        <w:t>初设定的绩效目标及相关法律法规、政策要求、行业规划、部门职责等为依据，运用定量和定性相结合的评价方法，对</w:t>
      </w:r>
      <w:r>
        <w:rPr>
          <w:rFonts w:hint="eastAsia"/>
          <w:sz w:val="32"/>
          <w:szCs w:val="32"/>
          <w:highlight w:val="none"/>
          <w:lang w:val="en-US" w:eastAsia="zh-CN"/>
        </w:rPr>
        <w:t>我院</w:t>
      </w:r>
      <w:r>
        <w:rPr>
          <w:rFonts w:hint="eastAsia"/>
          <w:sz w:val="32"/>
          <w:szCs w:val="32"/>
          <w:highlight w:val="none"/>
          <w:lang w:eastAsia="zh-CN"/>
        </w:rPr>
        <w:t>2023年度</w:t>
      </w:r>
      <w:r>
        <w:rPr>
          <w:rFonts w:hint="eastAsia"/>
          <w:sz w:val="32"/>
          <w:szCs w:val="32"/>
          <w:highlight w:val="none"/>
        </w:rPr>
        <w:t>省级预算执行情况的经济性、效率性、效益性进行客观公正的分析评价。</w:t>
      </w:r>
    </w:p>
    <w:p w14:paraId="09123567">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4" w:name="_Toc28216"/>
      <w:bookmarkStart w:id="25" w:name="_Toc26980"/>
      <w:bookmarkStart w:id="26" w:name="_Toc13356"/>
      <w:bookmarkStart w:id="27" w:name="_Toc387"/>
      <w:bookmarkStart w:id="28" w:name="_Toc29448"/>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rPr>
        <w:t>自评范围</w:t>
      </w:r>
      <w:bookmarkEnd w:id="24"/>
      <w:bookmarkEnd w:id="25"/>
      <w:bookmarkEnd w:id="26"/>
      <w:bookmarkEnd w:id="27"/>
      <w:bookmarkEnd w:id="28"/>
    </w:p>
    <w:p w14:paraId="6ED725D0">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rPr>
        <w:t>本次预算绩效自评，按照省级部门项目支出、省对市县转移支付、部门整体支出三类评价对象全覆盖的原则，结合</w:t>
      </w:r>
      <w:r>
        <w:rPr>
          <w:rFonts w:hint="eastAsia"/>
          <w:sz w:val="32"/>
          <w:szCs w:val="32"/>
          <w:lang w:eastAsia="zh-CN"/>
        </w:rPr>
        <w:t>我院</w:t>
      </w:r>
      <w:r>
        <w:rPr>
          <w:sz w:val="32"/>
          <w:szCs w:val="32"/>
        </w:rPr>
        <w:t>实际情况，自评所有对象为</w:t>
      </w:r>
      <w:r>
        <w:rPr>
          <w:rFonts w:hint="eastAsia"/>
          <w:sz w:val="32"/>
          <w:szCs w:val="32"/>
          <w:highlight w:val="none"/>
          <w:lang w:val="en-US" w:eastAsia="zh-CN"/>
        </w:rPr>
        <w:t>法庭运维费</w:t>
      </w:r>
      <w:r>
        <w:rPr>
          <w:sz w:val="32"/>
          <w:szCs w:val="32"/>
          <w:highlight w:val="none"/>
        </w:rPr>
        <w:t>、</w:t>
      </w:r>
      <w:r>
        <w:rPr>
          <w:rFonts w:hint="eastAsia"/>
          <w:sz w:val="32"/>
          <w:szCs w:val="32"/>
          <w:highlight w:val="none"/>
        </w:rPr>
        <w:t>业务费</w:t>
      </w:r>
      <w:r>
        <w:rPr>
          <w:rFonts w:hint="eastAsia"/>
          <w:sz w:val="32"/>
          <w:szCs w:val="32"/>
          <w:highlight w:val="none"/>
          <w:lang w:eastAsia="zh-CN"/>
        </w:rPr>
        <w:t>两</w:t>
      </w:r>
      <w:r>
        <w:rPr>
          <w:sz w:val="32"/>
          <w:szCs w:val="32"/>
          <w:highlight w:val="none"/>
        </w:rPr>
        <w:t>个</w:t>
      </w:r>
      <w:r>
        <w:rPr>
          <w:sz w:val="32"/>
          <w:szCs w:val="32"/>
        </w:rPr>
        <w:t>项目自评</w:t>
      </w:r>
      <w:r>
        <w:rPr>
          <w:rFonts w:hint="eastAsia" w:hAnsi="宋体"/>
          <w:sz w:val="32"/>
          <w:szCs w:val="32"/>
        </w:rPr>
        <w:t>和</w:t>
      </w:r>
      <w:r>
        <w:rPr>
          <w:rFonts w:hint="eastAsia" w:hAnsi="宋体"/>
          <w:sz w:val="32"/>
          <w:szCs w:val="32"/>
          <w:lang w:eastAsia="zh-CN"/>
        </w:rPr>
        <w:t>部门</w:t>
      </w:r>
      <w:r>
        <w:rPr>
          <w:rFonts w:hint="eastAsia" w:hAnsi="宋体"/>
          <w:sz w:val="32"/>
          <w:szCs w:val="32"/>
        </w:rPr>
        <w:t>整体支出自评。</w:t>
      </w:r>
    </w:p>
    <w:p w14:paraId="0836D369">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9" w:name="_Toc25429"/>
      <w:bookmarkStart w:id="30" w:name="_Toc14693"/>
      <w:bookmarkStart w:id="31" w:name="_Toc22785"/>
      <w:bookmarkStart w:id="32" w:name="_Toc18694"/>
      <w:bookmarkStart w:id="33" w:name="_Toc25203"/>
      <w:r>
        <w:rPr>
          <w:rFonts w:hint="eastAsia"/>
          <w:sz w:val="32"/>
          <w:szCs w:val="32"/>
          <w:highlight w:val="none"/>
          <w:lang w:eastAsia="zh-CN"/>
        </w:rPr>
        <w:t>（</w:t>
      </w:r>
      <w:r>
        <w:rPr>
          <w:rFonts w:hint="eastAsia"/>
          <w:sz w:val="32"/>
          <w:szCs w:val="32"/>
          <w:highlight w:val="none"/>
          <w:lang w:val="en-US" w:eastAsia="zh-CN"/>
        </w:rPr>
        <w:t>三</w:t>
      </w:r>
      <w:r>
        <w:rPr>
          <w:rFonts w:hint="eastAsia"/>
          <w:sz w:val="32"/>
          <w:szCs w:val="32"/>
          <w:highlight w:val="none"/>
          <w:lang w:eastAsia="zh-CN"/>
        </w:rPr>
        <w:t>）</w:t>
      </w:r>
      <w:r>
        <w:rPr>
          <w:rFonts w:hint="eastAsia"/>
          <w:sz w:val="32"/>
          <w:szCs w:val="32"/>
          <w:highlight w:val="none"/>
        </w:rPr>
        <w:t>自评工作程序</w:t>
      </w:r>
      <w:bookmarkEnd w:id="29"/>
      <w:bookmarkEnd w:id="30"/>
      <w:bookmarkEnd w:id="31"/>
      <w:bookmarkEnd w:id="32"/>
      <w:bookmarkEnd w:id="33"/>
    </w:p>
    <w:p w14:paraId="596DF06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rFonts w:hint="eastAsia"/>
          <w:sz w:val="32"/>
          <w:szCs w:val="32"/>
          <w:highlight w:val="none"/>
        </w:rPr>
        <w:t>本次绩效自评工作主要包括以下工作程序</w:t>
      </w:r>
      <w:r>
        <w:rPr>
          <w:rFonts w:hint="eastAsia"/>
          <w:sz w:val="32"/>
          <w:szCs w:val="32"/>
          <w:highlight w:val="none"/>
          <w:lang w:eastAsia="zh-CN"/>
        </w:rPr>
        <w:t>：</w:t>
      </w:r>
    </w:p>
    <w:p w14:paraId="6A795435">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1.根据</w:t>
      </w:r>
      <w:r>
        <w:rPr>
          <w:rFonts w:hint="eastAsia"/>
          <w:sz w:val="32"/>
          <w:szCs w:val="32"/>
          <w:highlight w:val="none"/>
          <w:lang w:val="en-US" w:eastAsia="zh-CN"/>
        </w:rPr>
        <w:t>我院</w:t>
      </w:r>
      <w:r>
        <w:rPr>
          <w:rFonts w:hint="eastAsia"/>
          <w:sz w:val="32"/>
          <w:szCs w:val="32"/>
          <w:highlight w:val="none"/>
        </w:rPr>
        <w:t>整体</w:t>
      </w:r>
      <w:r>
        <w:rPr>
          <w:sz w:val="32"/>
          <w:szCs w:val="32"/>
          <w:highlight w:val="none"/>
        </w:rPr>
        <w:t>支出和</w:t>
      </w:r>
      <w:r>
        <w:rPr>
          <w:rFonts w:hint="eastAsia"/>
          <w:sz w:val="32"/>
          <w:szCs w:val="32"/>
          <w:highlight w:val="none"/>
        </w:rPr>
        <w:t>项目支出绩效目标的设定情况，通过各业务</w:t>
      </w:r>
      <w:r>
        <w:rPr>
          <w:rFonts w:hint="eastAsia"/>
          <w:sz w:val="32"/>
          <w:szCs w:val="32"/>
          <w:highlight w:val="none"/>
          <w:lang w:val="en-US" w:eastAsia="zh-CN"/>
        </w:rPr>
        <w:t>部门</w:t>
      </w:r>
      <w:r>
        <w:rPr>
          <w:rFonts w:hint="eastAsia"/>
          <w:sz w:val="32"/>
          <w:szCs w:val="32"/>
          <w:highlight w:val="none"/>
        </w:rPr>
        <w:t>收集</w:t>
      </w:r>
      <w:r>
        <w:rPr>
          <w:sz w:val="32"/>
          <w:szCs w:val="32"/>
          <w:highlight w:val="none"/>
        </w:rPr>
        <w:t>绩效目标</w:t>
      </w:r>
      <w:r>
        <w:rPr>
          <w:rFonts w:hint="eastAsia"/>
          <w:sz w:val="32"/>
          <w:szCs w:val="32"/>
          <w:highlight w:val="none"/>
        </w:rPr>
        <w:t>实现程度</w:t>
      </w:r>
      <w:r>
        <w:rPr>
          <w:sz w:val="32"/>
          <w:szCs w:val="32"/>
          <w:highlight w:val="none"/>
        </w:rPr>
        <w:t>、预算执行进度</w:t>
      </w:r>
      <w:r>
        <w:rPr>
          <w:rFonts w:hint="eastAsia"/>
          <w:sz w:val="32"/>
          <w:szCs w:val="32"/>
          <w:highlight w:val="none"/>
        </w:rPr>
        <w:t>等绩效评价</w:t>
      </w:r>
      <w:r>
        <w:rPr>
          <w:sz w:val="32"/>
          <w:szCs w:val="32"/>
          <w:highlight w:val="none"/>
        </w:rPr>
        <w:t>基础</w:t>
      </w:r>
      <w:r>
        <w:rPr>
          <w:rFonts w:hint="eastAsia"/>
          <w:sz w:val="32"/>
          <w:szCs w:val="32"/>
          <w:highlight w:val="none"/>
        </w:rPr>
        <w:t>资料。</w:t>
      </w:r>
    </w:p>
    <w:p w14:paraId="00FAB3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val="en-US" w:eastAsia="zh-CN"/>
        </w:rPr>
      </w:pPr>
      <w:r>
        <w:rPr>
          <w:sz w:val="32"/>
          <w:szCs w:val="32"/>
          <w:highlight w:val="none"/>
        </w:rPr>
        <w:t>2.</w:t>
      </w:r>
      <w:r>
        <w:rPr>
          <w:rFonts w:hint="eastAsia"/>
          <w:sz w:val="32"/>
          <w:szCs w:val="32"/>
          <w:highlight w:val="none"/>
        </w:rPr>
        <w:t>整理分析相关资料，统计财政资金预算执行情况和各项</w:t>
      </w:r>
      <w:r>
        <w:rPr>
          <w:sz w:val="32"/>
          <w:szCs w:val="32"/>
          <w:highlight w:val="none"/>
        </w:rPr>
        <w:t>绩效目标完成</w:t>
      </w:r>
      <w:r>
        <w:rPr>
          <w:rFonts w:hint="eastAsia"/>
          <w:sz w:val="32"/>
          <w:szCs w:val="32"/>
          <w:highlight w:val="none"/>
        </w:rPr>
        <w:t>情况，对年初</w:t>
      </w:r>
      <w:r>
        <w:rPr>
          <w:sz w:val="32"/>
          <w:szCs w:val="32"/>
          <w:highlight w:val="none"/>
        </w:rPr>
        <w:t>设定的</w:t>
      </w:r>
      <w:r>
        <w:rPr>
          <w:rFonts w:hint="eastAsia"/>
          <w:sz w:val="32"/>
          <w:szCs w:val="32"/>
          <w:highlight w:val="none"/>
        </w:rPr>
        <w:t>绩效指标及各项指标完成情况进行对比分析，填写《202</w:t>
      </w:r>
      <w:r>
        <w:rPr>
          <w:rFonts w:hint="eastAsia"/>
          <w:sz w:val="32"/>
          <w:szCs w:val="32"/>
          <w:highlight w:val="none"/>
          <w:lang w:val="en-US" w:eastAsia="zh-CN"/>
        </w:rPr>
        <w:t>3</w:t>
      </w:r>
      <w:r>
        <w:rPr>
          <w:rFonts w:hint="eastAsia"/>
          <w:sz w:val="32"/>
          <w:szCs w:val="32"/>
          <w:highlight w:val="none"/>
        </w:rPr>
        <w:t>年度部门预算执行情况绩效自评报表》</w:t>
      </w:r>
      <w:r>
        <w:rPr>
          <w:rFonts w:hint="eastAsia"/>
          <w:sz w:val="32"/>
          <w:szCs w:val="32"/>
          <w:highlight w:val="none"/>
          <w:lang w:eastAsia="zh-CN"/>
        </w:rPr>
        <w:t>。</w:t>
      </w:r>
    </w:p>
    <w:p w14:paraId="48D272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r>
        <w:rPr>
          <w:sz w:val="32"/>
          <w:szCs w:val="32"/>
          <w:highlight w:val="none"/>
        </w:rPr>
        <w:t>3.</w:t>
      </w:r>
      <w:r>
        <w:rPr>
          <w:rFonts w:hint="eastAsia"/>
          <w:sz w:val="32"/>
          <w:szCs w:val="32"/>
          <w:highlight w:val="none"/>
        </w:rPr>
        <w:t>总结评价结论，归纳问题，分析原因，提出改进</w:t>
      </w:r>
      <w:r>
        <w:rPr>
          <w:sz w:val="32"/>
          <w:szCs w:val="32"/>
          <w:highlight w:val="none"/>
        </w:rPr>
        <w:t>措施</w:t>
      </w:r>
      <w:r>
        <w:rPr>
          <w:rFonts w:hint="eastAsia"/>
          <w:sz w:val="32"/>
          <w:szCs w:val="32"/>
          <w:highlight w:val="none"/>
        </w:rPr>
        <w:t>，完成《202</w:t>
      </w:r>
      <w:r>
        <w:rPr>
          <w:rFonts w:hint="eastAsia"/>
          <w:sz w:val="32"/>
          <w:szCs w:val="32"/>
          <w:highlight w:val="none"/>
          <w:lang w:val="en-US" w:eastAsia="zh-CN"/>
        </w:rPr>
        <w:t>3</w:t>
      </w:r>
      <w:r>
        <w:rPr>
          <w:rFonts w:hint="eastAsia"/>
          <w:sz w:val="32"/>
          <w:szCs w:val="32"/>
          <w:highlight w:val="none"/>
        </w:rPr>
        <w:t>年度预算执行情况自评报告》</w:t>
      </w:r>
      <w:r>
        <w:rPr>
          <w:rFonts w:hint="eastAsia"/>
          <w:sz w:val="32"/>
          <w:szCs w:val="32"/>
          <w:highlight w:val="none"/>
          <w:lang w:val="en-US" w:eastAsia="zh-CN"/>
        </w:rPr>
        <w:t>撰写</w:t>
      </w:r>
      <w:r>
        <w:rPr>
          <w:rFonts w:hint="eastAsia"/>
          <w:sz w:val="32"/>
          <w:szCs w:val="32"/>
          <w:highlight w:val="none"/>
        </w:rPr>
        <w:t>。</w:t>
      </w:r>
    </w:p>
    <w:p w14:paraId="157AC146">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highlight w:val="none"/>
          <w:lang w:val="en-US" w:eastAsia="zh-CN"/>
        </w:rPr>
        <w:t>4.</w:t>
      </w:r>
      <w:r>
        <w:rPr>
          <w:rFonts w:hint="eastAsia"/>
          <w:sz w:val="32"/>
          <w:szCs w:val="32"/>
        </w:rPr>
        <w:t>自评表和自评报告完成之后，进行内部审核，对自评表的真实性、完整性、合理性和客观性进行初步审核，并对发现的问题及时反馈和修改，修改完善后报送审核备案。</w:t>
      </w:r>
    </w:p>
    <w:bookmarkEnd w:id="21"/>
    <w:bookmarkEnd w:id="22"/>
    <w:bookmarkEnd w:id="23"/>
    <w:p w14:paraId="756502A8">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34" w:name="_Toc7454"/>
      <w:bookmarkStart w:id="35" w:name="_Toc26000"/>
      <w:bookmarkStart w:id="36" w:name="_Toc31556"/>
      <w:bookmarkStart w:id="37" w:name="_Toc17042"/>
      <w:r>
        <w:rPr>
          <w:rFonts w:hint="eastAsia"/>
          <w:sz w:val="32"/>
          <w:szCs w:val="32"/>
        </w:rPr>
        <w:t>三、部门整体支出绩效自评情况分析</w:t>
      </w:r>
      <w:bookmarkEnd w:id="34"/>
      <w:bookmarkEnd w:id="35"/>
      <w:bookmarkEnd w:id="36"/>
      <w:bookmarkEnd w:id="37"/>
      <w:r>
        <w:rPr>
          <w:sz w:val="32"/>
          <w:szCs w:val="32"/>
        </w:rPr>
        <w:tab/>
      </w:r>
    </w:p>
    <w:p w14:paraId="03AC07FC">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eastAsia="zh-CN"/>
        </w:rPr>
      </w:pPr>
      <w:bookmarkStart w:id="38" w:name="_Toc8171"/>
      <w:bookmarkStart w:id="39" w:name="_Toc32623"/>
      <w:bookmarkStart w:id="40" w:name="_Toc3483"/>
      <w:bookmarkStart w:id="41" w:name="_Toc27080"/>
      <w:r>
        <w:rPr>
          <w:rFonts w:hint="eastAsia"/>
          <w:sz w:val="32"/>
          <w:szCs w:val="32"/>
        </w:rPr>
        <w:t>（一）部门决算情况</w:t>
      </w:r>
      <w:bookmarkEnd w:id="38"/>
      <w:bookmarkEnd w:id="39"/>
      <w:bookmarkEnd w:id="40"/>
      <w:bookmarkEnd w:id="41"/>
    </w:p>
    <w:p w14:paraId="079DB96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highlight w:val="none"/>
          <w:lang w:val="en-US" w:eastAsia="zh-CN"/>
        </w:rPr>
      </w:pPr>
      <w:r>
        <w:rPr>
          <w:rFonts w:hint="eastAsia"/>
          <w:sz w:val="32"/>
          <w:szCs w:val="32"/>
          <w:highlight w:val="none"/>
          <w:lang w:val="en-US" w:eastAsia="zh-CN"/>
        </w:rPr>
        <w:t>2023年度，我院年初预算1,833.30万元</w:t>
      </w:r>
      <w:r>
        <w:rPr>
          <w:rFonts w:hint="eastAsia"/>
          <w:sz w:val="32"/>
          <w:szCs w:val="32"/>
          <w:highlight w:val="none"/>
          <w:lang w:eastAsia="zh-CN"/>
        </w:rPr>
        <w:t>，</w:t>
      </w:r>
      <w:r>
        <w:rPr>
          <w:rFonts w:hint="eastAsia"/>
          <w:sz w:val="32"/>
          <w:szCs w:val="32"/>
          <w:highlight w:val="none"/>
        </w:rPr>
        <w:t>全年预算</w:t>
      </w:r>
      <w:r>
        <w:rPr>
          <w:rFonts w:hint="eastAsia"/>
          <w:sz w:val="32"/>
          <w:szCs w:val="32"/>
          <w:highlight w:val="none"/>
          <w:lang w:val="en-US" w:eastAsia="zh-CN"/>
        </w:rPr>
        <w:t>2,540.05万元，实际支出2,109.13万元，</w:t>
      </w:r>
      <w:r>
        <w:rPr>
          <w:rFonts w:hint="eastAsia"/>
          <w:sz w:val="32"/>
          <w:szCs w:val="32"/>
          <w:highlight w:val="none"/>
        </w:rPr>
        <w:t>部门整体支出预算执行率为8</w:t>
      </w:r>
      <w:r>
        <w:rPr>
          <w:rFonts w:hint="eastAsia"/>
          <w:sz w:val="32"/>
          <w:szCs w:val="32"/>
          <w:highlight w:val="none"/>
          <w:lang w:val="en-US" w:eastAsia="zh-CN"/>
        </w:rPr>
        <w:t>3.03</w:t>
      </w:r>
      <w:r>
        <w:rPr>
          <w:rFonts w:hint="eastAsia"/>
          <w:sz w:val="32"/>
          <w:szCs w:val="32"/>
          <w:highlight w:val="none"/>
        </w:rPr>
        <w:t>%</w:t>
      </w:r>
      <w:r>
        <w:rPr>
          <w:rFonts w:hint="eastAsia"/>
          <w:sz w:val="32"/>
          <w:szCs w:val="32"/>
          <w:highlight w:val="none"/>
          <w:lang w:val="en-US" w:eastAsia="zh-CN"/>
        </w:rPr>
        <w:t>。</w:t>
      </w:r>
    </w:p>
    <w:p w14:paraId="01C09D84">
      <w:pPr>
        <w:pStyle w:val="4"/>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sz w:val="32"/>
          <w:szCs w:val="32"/>
        </w:rPr>
      </w:pPr>
      <w:bookmarkStart w:id="42" w:name="_Toc10769"/>
      <w:bookmarkStart w:id="43" w:name="_Toc21423"/>
      <w:bookmarkStart w:id="44" w:name="_Toc22782"/>
      <w:bookmarkStart w:id="45" w:name="_Toc3702"/>
      <w:r>
        <w:rPr>
          <w:rFonts w:hint="eastAsia"/>
          <w:sz w:val="32"/>
          <w:szCs w:val="32"/>
        </w:rPr>
        <w:t>（二）总体绩效目标完成情况分析</w:t>
      </w:r>
      <w:bookmarkEnd w:id="42"/>
      <w:bookmarkEnd w:id="43"/>
      <w:bookmarkEnd w:id="44"/>
      <w:bookmarkEnd w:id="45"/>
    </w:p>
    <w:p w14:paraId="4EA7200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sz w:val="32"/>
          <w:szCs w:val="32"/>
        </w:rPr>
        <w:t>经综合评价与分析，</w:t>
      </w:r>
      <w:r>
        <w:rPr>
          <w:rFonts w:hint="eastAsia"/>
          <w:sz w:val="32"/>
          <w:szCs w:val="32"/>
          <w:lang w:val="en-US" w:eastAsia="zh-CN"/>
        </w:rPr>
        <w:t>我</w:t>
      </w:r>
      <w:r>
        <w:rPr>
          <w:rFonts w:hint="eastAsia"/>
          <w:sz w:val="32"/>
          <w:szCs w:val="32"/>
          <w:lang w:eastAsia="zh-CN"/>
        </w:rPr>
        <w:t>院202</w:t>
      </w:r>
      <w:r>
        <w:rPr>
          <w:rFonts w:hint="eastAsia"/>
          <w:sz w:val="32"/>
          <w:szCs w:val="32"/>
          <w:lang w:val="en-US" w:eastAsia="zh-CN"/>
        </w:rPr>
        <w:t>3</w:t>
      </w:r>
      <w:r>
        <w:rPr>
          <w:sz w:val="32"/>
          <w:szCs w:val="32"/>
        </w:rPr>
        <w:t>年度部门整体支出绩效评价最终得分为</w:t>
      </w:r>
      <w:r>
        <w:rPr>
          <w:rFonts w:hint="eastAsia"/>
          <w:sz w:val="32"/>
          <w:szCs w:val="32"/>
        </w:rPr>
        <w:t>9</w:t>
      </w:r>
      <w:r>
        <w:rPr>
          <w:rFonts w:hint="eastAsia"/>
          <w:sz w:val="32"/>
          <w:szCs w:val="32"/>
          <w:lang w:val="en-US" w:eastAsia="zh-CN"/>
        </w:rPr>
        <w:t>0</w:t>
      </w:r>
      <w:r>
        <w:rPr>
          <w:rFonts w:hint="eastAsia"/>
          <w:sz w:val="32"/>
          <w:szCs w:val="32"/>
        </w:rPr>
        <w:t>.</w:t>
      </w:r>
      <w:r>
        <w:rPr>
          <w:rFonts w:hint="eastAsia"/>
          <w:sz w:val="32"/>
          <w:szCs w:val="32"/>
          <w:lang w:val="en-US" w:eastAsia="zh-CN"/>
        </w:rPr>
        <w:t>16</w:t>
      </w:r>
      <w:r>
        <w:rPr>
          <w:sz w:val="32"/>
          <w:szCs w:val="32"/>
        </w:rPr>
        <w:t>分，评价结果为“</w:t>
      </w:r>
      <w:r>
        <w:rPr>
          <w:rFonts w:hint="eastAsia"/>
          <w:sz w:val="32"/>
          <w:szCs w:val="32"/>
          <w:lang w:eastAsia="zh-CN"/>
        </w:rPr>
        <w:t>优</w:t>
      </w:r>
      <w:r>
        <w:rPr>
          <w:sz w:val="32"/>
          <w:szCs w:val="32"/>
        </w:rPr>
        <w:t>”。最终评分结果如</w:t>
      </w:r>
      <w:r>
        <w:rPr>
          <w:rFonts w:hint="eastAsia"/>
          <w:sz w:val="32"/>
          <w:szCs w:val="32"/>
        </w:rPr>
        <w:t>下</w:t>
      </w:r>
      <w:r>
        <w:rPr>
          <w:sz w:val="32"/>
          <w:szCs w:val="32"/>
        </w:rPr>
        <w:t>表所示</w:t>
      </w:r>
      <w:r>
        <w:rPr>
          <w:rFonts w:hint="eastAsia"/>
          <w:sz w:val="32"/>
          <w:szCs w:val="32"/>
        </w:rPr>
        <w:t>：</w:t>
      </w:r>
    </w:p>
    <w:p w14:paraId="3EE6F695">
      <w:pPr>
        <w:jc w:val="center"/>
        <w:rPr>
          <w:rFonts w:ascii="宋体" w:hAnsi="宋体"/>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年度部门整体支出绩效评价指标得分情况</w:t>
      </w:r>
    </w:p>
    <w:tbl>
      <w:tblPr>
        <w:tblStyle w:val="21"/>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78D848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0873DB7E">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701" w:type="dxa"/>
            <w:shd w:val="clear" w:color="auto" w:fill="BDD6EE"/>
            <w:vAlign w:val="center"/>
          </w:tcPr>
          <w:p w14:paraId="431745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分值</w:t>
            </w:r>
          </w:p>
        </w:tc>
        <w:tc>
          <w:tcPr>
            <w:tcW w:w="1701" w:type="dxa"/>
            <w:shd w:val="clear" w:color="auto" w:fill="BDD6EE"/>
            <w:vAlign w:val="center"/>
          </w:tcPr>
          <w:p w14:paraId="1C8D84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1701" w:type="dxa"/>
            <w:shd w:val="clear" w:color="auto" w:fill="BDD6EE"/>
            <w:vAlign w:val="center"/>
          </w:tcPr>
          <w:p w14:paraId="22C415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得分率</w:t>
            </w:r>
          </w:p>
        </w:tc>
      </w:tr>
      <w:tr w14:paraId="3B0367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7F3D56A9">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预算执行率</w:t>
            </w:r>
          </w:p>
        </w:tc>
        <w:tc>
          <w:tcPr>
            <w:tcW w:w="1701" w:type="dxa"/>
            <w:vAlign w:val="center"/>
          </w:tcPr>
          <w:p w14:paraId="117F99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701" w:type="dxa"/>
            <w:vAlign w:val="center"/>
          </w:tcPr>
          <w:p w14:paraId="05AE1646">
            <w:pPr>
              <w:keepNext w:val="0"/>
              <w:keepLines w:val="0"/>
              <w:widowControl/>
              <w:suppressLineNumbers w:val="0"/>
              <w:ind w:firstLine="480" w:firstLineChars="200"/>
              <w:jc w:val="both"/>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8.30</w:t>
            </w:r>
          </w:p>
        </w:tc>
        <w:tc>
          <w:tcPr>
            <w:tcW w:w="1701" w:type="dxa"/>
            <w:vAlign w:val="center"/>
          </w:tcPr>
          <w:p w14:paraId="529445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83.00%</w:t>
            </w:r>
          </w:p>
        </w:tc>
      </w:tr>
      <w:tr w14:paraId="707BC0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6910594">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部门管理</w:t>
            </w:r>
          </w:p>
        </w:tc>
        <w:tc>
          <w:tcPr>
            <w:tcW w:w="1701" w:type="dxa"/>
            <w:vAlign w:val="center"/>
          </w:tcPr>
          <w:p w14:paraId="19484B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701" w:type="dxa"/>
            <w:vAlign w:val="center"/>
          </w:tcPr>
          <w:p w14:paraId="1D6C95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17.16</w:t>
            </w:r>
          </w:p>
        </w:tc>
        <w:tc>
          <w:tcPr>
            <w:tcW w:w="1701" w:type="dxa"/>
            <w:vAlign w:val="center"/>
          </w:tcPr>
          <w:p w14:paraId="2AC6B1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85.80%</w:t>
            </w:r>
          </w:p>
        </w:tc>
      </w:tr>
      <w:tr w14:paraId="749283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72A23B6">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履职效果</w:t>
            </w:r>
          </w:p>
        </w:tc>
        <w:tc>
          <w:tcPr>
            <w:tcW w:w="1701" w:type="dxa"/>
            <w:vAlign w:val="center"/>
          </w:tcPr>
          <w:p w14:paraId="464F31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60</w:t>
            </w:r>
          </w:p>
        </w:tc>
        <w:tc>
          <w:tcPr>
            <w:tcW w:w="1701" w:type="dxa"/>
            <w:vAlign w:val="center"/>
          </w:tcPr>
          <w:p w14:paraId="683638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54.7</w:t>
            </w:r>
          </w:p>
        </w:tc>
        <w:tc>
          <w:tcPr>
            <w:tcW w:w="1701" w:type="dxa"/>
            <w:vAlign w:val="center"/>
          </w:tcPr>
          <w:p w14:paraId="0A4D9E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91.17%</w:t>
            </w:r>
          </w:p>
        </w:tc>
      </w:tr>
      <w:tr w14:paraId="4C0F86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006B1D45">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能力建设</w:t>
            </w:r>
          </w:p>
        </w:tc>
        <w:tc>
          <w:tcPr>
            <w:tcW w:w="1701" w:type="dxa"/>
            <w:vAlign w:val="center"/>
          </w:tcPr>
          <w:p w14:paraId="625114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1701" w:type="dxa"/>
            <w:vAlign w:val="center"/>
          </w:tcPr>
          <w:p w14:paraId="5E603E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01" w:type="dxa"/>
            <w:vAlign w:val="center"/>
          </w:tcPr>
          <w:p w14:paraId="7B3EA4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w:t>
            </w:r>
          </w:p>
        </w:tc>
      </w:tr>
      <w:tr w14:paraId="6868C6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51844A73">
            <w:pPr>
              <w:keepNext w:val="0"/>
              <w:keepLines w:val="0"/>
              <w:widowControl/>
              <w:suppressLineNumbers w:val="0"/>
              <w:ind w:firstLine="482" w:firstLineChars="20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合计</w:t>
            </w:r>
          </w:p>
        </w:tc>
        <w:tc>
          <w:tcPr>
            <w:tcW w:w="1701" w:type="dxa"/>
            <w:shd w:val="clear" w:color="auto" w:fill="BDD6EE"/>
            <w:vAlign w:val="center"/>
          </w:tcPr>
          <w:p w14:paraId="14971D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100</w:t>
            </w:r>
          </w:p>
        </w:tc>
        <w:tc>
          <w:tcPr>
            <w:tcW w:w="1701" w:type="dxa"/>
            <w:shd w:val="clear" w:color="auto" w:fill="BDD6EE"/>
            <w:vAlign w:val="center"/>
          </w:tcPr>
          <w:p w14:paraId="3334EB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90.16</w:t>
            </w:r>
          </w:p>
        </w:tc>
        <w:tc>
          <w:tcPr>
            <w:tcW w:w="1701" w:type="dxa"/>
            <w:shd w:val="clear" w:color="auto" w:fill="BDD6EE"/>
            <w:vAlign w:val="center"/>
          </w:tcPr>
          <w:p w14:paraId="6CA3D3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90.16</w:t>
            </w:r>
            <w:r>
              <w:rPr>
                <w:rFonts w:hint="eastAsia" w:ascii="仿宋" w:hAnsi="仿宋" w:eastAsia="仿宋" w:cs="仿宋"/>
                <w:b/>
                <w:bCs/>
                <w:i w:val="0"/>
                <w:iCs w:val="0"/>
                <w:color w:val="000000"/>
                <w:kern w:val="0"/>
                <w:sz w:val="24"/>
                <w:szCs w:val="24"/>
                <w:u w:val="none"/>
                <w:lang w:val="en-US" w:eastAsia="zh-CN" w:bidi="ar"/>
              </w:rPr>
              <w:t>%</w:t>
            </w:r>
          </w:p>
        </w:tc>
      </w:tr>
    </w:tbl>
    <w:p w14:paraId="5E5D174C">
      <w:pPr>
        <w:pStyle w:val="5"/>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eastAsia"/>
          <w:sz w:val="32"/>
          <w:szCs w:val="32"/>
          <w:highlight w:val="none"/>
          <w:lang w:val="en-US" w:eastAsia="zh-CN"/>
        </w:rPr>
        <w:t>2023年主要工作成果及总体绩效目标完成情况</w:t>
      </w:r>
    </w:p>
    <w:p w14:paraId="5F05CE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b/>
          <w:bCs/>
          <w:sz w:val="32"/>
          <w:szCs w:val="32"/>
          <w:highlight w:val="none"/>
          <w:lang w:val="en-US" w:eastAsia="zh-CN"/>
        </w:rPr>
      </w:pPr>
      <w:r>
        <w:rPr>
          <w:rFonts w:hint="eastAsia"/>
          <w:b/>
          <w:bCs/>
          <w:sz w:val="32"/>
          <w:szCs w:val="32"/>
          <w:highlight w:val="none"/>
          <w:lang w:val="en-US" w:eastAsia="zh-CN"/>
        </w:rPr>
        <w:t>1.总体绩效目标</w:t>
      </w:r>
    </w:p>
    <w:p w14:paraId="3265A078">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sz w:val="32"/>
          <w:szCs w:val="32"/>
          <w:highlight w:val="none"/>
          <w:lang w:eastAsia="zh-CN"/>
        </w:rPr>
      </w:pPr>
      <w:r>
        <w:rPr>
          <w:rFonts w:hint="eastAsia"/>
          <w:b w:val="0"/>
          <w:bCs w:val="0"/>
          <w:sz w:val="32"/>
          <w:szCs w:val="32"/>
          <w:highlight w:val="none"/>
          <w:lang w:eastAsia="zh-CN"/>
        </w:rPr>
        <w:t>（</w:t>
      </w:r>
      <w:r>
        <w:rPr>
          <w:rFonts w:hint="eastAsia"/>
          <w:b w:val="0"/>
          <w:bCs w:val="0"/>
          <w:sz w:val="32"/>
          <w:szCs w:val="32"/>
          <w:highlight w:val="none"/>
          <w:lang w:val="en-US" w:eastAsia="zh-CN"/>
        </w:rPr>
        <w:t>1</w:t>
      </w:r>
      <w:r>
        <w:rPr>
          <w:rFonts w:hint="eastAsia"/>
          <w:b w:val="0"/>
          <w:bCs w:val="0"/>
          <w:sz w:val="32"/>
          <w:szCs w:val="32"/>
          <w:highlight w:val="none"/>
          <w:lang w:eastAsia="zh-CN"/>
        </w:rPr>
        <w:t>）聚焦中心服务大局，以“能动司法”维护社会稳定护航经济发展</w:t>
      </w:r>
      <w:r>
        <w:rPr>
          <w:rFonts w:hint="eastAsia"/>
          <w:b w:val="0"/>
          <w:bCs w:val="0"/>
          <w:sz w:val="32"/>
          <w:szCs w:val="32"/>
          <w:highlight w:val="none"/>
          <w:lang w:val="en-US" w:eastAsia="zh-CN"/>
        </w:rPr>
        <w:t>。</w:t>
      </w:r>
    </w:p>
    <w:p w14:paraId="0D860B1F">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heme="minorBidi"/>
          <w:b w:val="0"/>
          <w:bCs w:val="0"/>
          <w:kern w:val="2"/>
          <w:sz w:val="32"/>
          <w:szCs w:val="32"/>
          <w:highlight w:val="none"/>
          <w:lang w:val="en-US" w:eastAsia="zh-CN" w:bidi="ar-SA"/>
        </w:rPr>
      </w:pPr>
      <w:r>
        <w:rPr>
          <w:rFonts w:hint="eastAsia"/>
          <w:b w:val="0"/>
          <w:bCs w:val="0"/>
          <w:sz w:val="32"/>
          <w:szCs w:val="32"/>
          <w:highlight w:val="none"/>
          <w:lang w:eastAsia="zh-CN"/>
        </w:rPr>
        <w:t>（</w:t>
      </w:r>
      <w:r>
        <w:rPr>
          <w:rFonts w:hint="eastAsia"/>
          <w:b w:val="0"/>
          <w:bCs w:val="0"/>
          <w:sz w:val="32"/>
          <w:szCs w:val="32"/>
          <w:highlight w:val="none"/>
          <w:lang w:val="en-US" w:eastAsia="zh-CN"/>
        </w:rPr>
        <w:t>2</w:t>
      </w:r>
      <w:r>
        <w:rPr>
          <w:rFonts w:hint="eastAsia"/>
          <w:b w:val="0"/>
          <w:bCs w:val="0"/>
          <w:sz w:val="32"/>
          <w:szCs w:val="32"/>
          <w:highlight w:val="none"/>
          <w:lang w:eastAsia="zh-CN"/>
        </w:rPr>
        <w:t>）保障民生福祉，多举措破解执行难题，聚合力推进积案清理</w:t>
      </w:r>
      <w:r>
        <w:rPr>
          <w:rFonts w:hint="eastAsia" w:ascii="仿宋_GB2312" w:hAnsi="仿宋_GB2312" w:eastAsia="仿宋_GB2312" w:cstheme="minorBidi"/>
          <w:b w:val="0"/>
          <w:bCs w:val="0"/>
          <w:kern w:val="2"/>
          <w:sz w:val="32"/>
          <w:szCs w:val="32"/>
          <w:highlight w:val="none"/>
          <w:lang w:val="en-US" w:eastAsia="zh-CN" w:bidi="ar-SA"/>
        </w:rPr>
        <w:t>。</w:t>
      </w:r>
    </w:p>
    <w:p w14:paraId="13AC2164">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sz w:val="32"/>
          <w:szCs w:val="32"/>
          <w:highlight w:val="none"/>
          <w:lang w:eastAsia="zh-CN"/>
        </w:rPr>
      </w:pPr>
      <w:r>
        <w:rPr>
          <w:rFonts w:hint="eastAsia" w:cstheme="minorBidi"/>
          <w:b w:val="0"/>
          <w:bCs w:val="0"/>
          <w:kern w:val="2"/>
          <w:sz w:val="32"/>
          <w:szCs w:val="32"/>
          <w:highlight w:val="none"/>
          <w:lang w:val="en-US" w:eastAsia="zh-CN" w:bidi="ar-SA"/>
        </w:rPr>
        <w:t>（3）深化司法改革，发扬优势打造特色法庭</w:t>
      </w:r>
      <w:r>
        <w:rPr>
          <w:rFonts w:hint="eastAsia"/>
          <w:b w:val="0"/>
          <w:bCs w:val="0"/>
          <w:sz w:val="32"/>
          <w:szCs w:val="32"/>
          <w:highlight w:val="none"/>
          <w:lang w:eastAsia="zh-CN"/>
        </w:rPr>
        <w:t>。</w:t>
      </w:r>
    </w:p>
    <w:p w14:paraId="022BD77D">
      <w:pPr>
        <w:pageBreakBefore w:val="0"/>
        <w:kinsoku/>
        <w:wordWrap/>
        <w:overflowPunct/>
        <w:topLinePunct w:val="0"/>
        <w:autoSpaceDE/>
        <w:autoSpaceDN/>
        <w:bidi w:val="0"/>
        <w:adjustRightInd/>
        <w:snapToGrid/>
        <w:spacing w:line="560" w:lineRule="exact"/>
        <w:ind w:firstLine="562"/>
        <w:textAlignment w:val="auto"/>
        <w:rPr>
          <w:rFonts w:hint="eastAsia"/>
          <w:b/>
          <w:bCs/>
          <w:sz w:val="32"/>
          <w:szCs w:val="32"/>
          <w:highlight w:val="none"/>
        </w:rPr>
      </w:pPr>
      <w:r>
        <w:rPr>
          <w:rFonts w:hint="eastAsia"/>
          <w:b/>
          <w:bCs/>
          <w:sz w:val="32"/>
          <w:szCs w:val="32"/>
          <w:highlight w:val="none"/>
          <w:lang w:val="en-US" w:eastAsia="zh-CN"/>
        </w:rPr>
        <w:t>2.</w:t>
      </w:r>
      <w:r>
        <w:rPr>
          <w:rFonts w:hint="eastAsia"/>
          <w:b/>
          <w:bCs/>
          <w:sz w:val="32"/>
          <w:szCs w:val="32"/>
          <w:highlight w:val="none"/>
        </w:rPr>
        <w:t>实际完成情况</w:t>
      </w:r>
    </w:p>
    <w:p w14:paraId="3B4E8E9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heme="minorBidi"/>
          <w:b w:val="0"/>
          <w:bCs w:val="0"/>
          <w:kern w:val="2"/>
          <w:sz w:val="32"/>
          <w:szCs w:val="32"/>
          <w:highlight w:val="none"/>
          <w:lang w:val="en-US" w:eastAsia="zh-CN" w:bidi="ar-SA"/>
        </w:rPr>
      </w:pPr>
      <w:r>
        <w:rPr>
          <w:rFonts w:hint="eastAsia" w:ascii="仿宋_GB2312" w:hAnsi="仿宋_GB2312" w:eastAsia="仿宋_GB2312" w:cstheme="minorBidi"/>
          <w:b w:val="0"/>
          <w:bCs w:val="0"/>
          <w:kern w:val="2"/>
          <w:sz w:val="32"/>
          <w:szCs w:val="32"/>
          <w:highlight w:val="none"/>
          <w:lang w:val="en-US" w:eastAsia="zh-CN" w:bidi="ar-SA"/>
        </w:rPr>
        <w:t>（1）</w:t>
      </w:r>
      <w:r>
        <w:rPr>
          <w:rFonts w:hint="eastAsia" w:cstheme="minorBidi"/>
          <w:b w:val="0"/>
          <w:bCs w:val="0"/>
          <w:kern w:val="2"/>
          <w:sz w:val="32"/>
          <w:szCs w:val="32"/>
          <w:highlight w:val="none"/>
          <w:lang w:val="en-US" w:eastAsia="zh-CN" w:bidi="ar-SA"/>
        </w:rPr>
        <w:t>我院</w:t>
      </w:r>
      <w:r>
        <w:rPr>
          <w:rFonts w:hint="eastAsia" w:ascii="仿宋_GB2312" w:hAnsi="仿宋_GB2312" w:eastAsia="仿宋_GB2312" w:cstheme="minorBidi"/>
          <w:b w:val="0"/>
          <w:bCs w:val="0"/>
          <w:kern w:val="2"/>
          <w:sz w:val="32"/>
          <w:szCs w:val="32"/>
          <w:highlight w:val="none"/>
          <w:lang w:val="en-US" w:eastAsia="zh-CN" w:bidi="ar-SA"/>
        </w:rPr>
        <w:t>着力维护国家安全，全方位开展《反有组织犯罪法》宣贯，常态化开展扫黑除恶斗争，“黑财”累计执行到位113.75万元；坚持以刑事“利剑”严惩暴力犯罪，审结故意杀人、强奸等暴力犯罪案件18件；紧盯人民群众“舌尖”上的安全，审结危害食品安全、侵犯知识产权等犯罪案件4件；紧盯人民群众“钱袋子”安全，审结掩隐、帮信等涉电诈犯罪关联案件54件；紧盯人民群众“身心”安全，审结毒品、传播淫秽物品等犯罪案件8件；紧盯人民群众“信息”安全，审结刘某等侵犯公民个人信息罪案件2件；紧盯人民群众“养老”安全，扎实开展涉养老诈骗专项整治活动</w:t>
      </w:r>
      <w:r>
        <w:rPr>
          <w:rFonts w:hint="eastAsia" w:cstheme="minorBidi"/>
          <w:b w:val="0"/>
          <w:bCs w:val="0"/>
          <w:kern w:val="2"/>
          <w:sz w:val="32"/>
          <w:szCs w:val="32"/>
          <w:highlight w:val="none"/>
          <w:lang w:val="en-US" w:eastAsia="zh-CN" w:bidi="ar-SA"/>
        </w:rPr>
        <w:t>，维护社会安全稳定</w:t>
      </w:r>
      <w:r>
        <w:rPr>
          <w:rFonts w:hint="eastAsia" w:ascii="仿宋_GB2312" w:hAnsi="仿宋_GB2312" w:eastAsia="仿宋_GB2312" w:cstheme="minorBidi"/>
          <w:b w:val="0"/>
          <w:bCs w:val="0"/>
          <w:kern w:val="2"/>
          <w:sz w:val="32"/>
          <w:szCs w:val="32"/>
          <w:highlight w:val="none"/>
          <w:lang w:val="en-US" w:eastAsia="zh-CN" w:bidi="ar-SA"/>
        </w:rPr>
        <w:t>。</w:t>
      </w:r>
    </w:p>
    <w:p w14:paraId="5B5A90DB">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heme="minorBidi"/>
          <w:b w:val="0"/>
          <w:bCs w:val="0"/>
          <w:kern w:val="2"/>
          <w:sz w:val="32"/>
          <w:szCs w:val="32"/>
          <w:highlight w:val="none"/>
          <w:lang w:val="en-US" w:eastAsia="zh-CN" w:bidi="ar-SA"/>
        </w:rPr>
      </w:pPr>
      <w:r>
        <w:rPr>
          <w:rFonts w:hint="eastAsia" w:ascii="仿宋_GB2312" w:hAnsi="仿宋_GB2312" w:eastAsia="仿宋_GB2312" w:cstheme="minorBidi"/>
          <w:b w:val="0"/>
          <w:bCs w:val="0"/>
          <w:kern w:val="2"/>
          <w:sz w:val="32"/>
          <w:szCs w:val="32"/>
          <w:highlight w:val="none"/>
          <w:lang w:val="en-US" w:eastAsia="zh-CN" w:bidi="ar-SA"/>
        </w:rPr>
        <w:t>旗帜鲜明把优化营商环境作为“头号工程”，高度关注企业司法需求，设立驻经济园区法官工作室，坚持以“四个一”行动深度落实“万名干警联万企”活动，深入辖区57户企业和20户农业合作社问需献策，帮助企业提升风险防范化解能力。以理念转变为牵引，采取“活封活扣”等措施，妥善处理涉企纠纷案件1053件，一体推进“助企、护企、惠企、安企”工作。</w:t>
      </w:r>
    </w:p>
    <w:p w14:paraId="59E7775E">
      <w:pPr>
        <w:pStyle w:val="2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theme="minorBidi"/>
          <w:b w:val="0"/>
          <w:bCs w:val="0"/>
          <w:kern w:val="2"/>
          <w:sz w:val="32"/>
          <w:szCs w:val="32"/>
          <w:highlight w:val="none"/>
          <w:lang w:val="en-US" w:eastAsia="zh-CN" w:bidi="ar-SA"/>
        </w:rPr>
      </w:pPr>
      <w:r>
        <w:rPr>
          <w:rFonts w:hint="eastAsia" w:ascii="仿宋_GB2312" w:hAnsi="仿宋_GB2312" w:eastAsia="仿宋_GB2312" w:cstheme="minorBidi"/>
          <w:b w:val="0"/>
          <w:bCs w:val="0"/>
          <w:kern w:val="2"/>
          <w:sz w:val="32"/>
          <w:szCs w:val="32"/>
          <w:highlight w:val="none"/>
          <w:lang w:val="en-US" w:eastAsia="zh-CN" w:bidi="ar-SA"/>
        </w:rPr>
        <w:t>（2）</w:t>
      </w:r>
      <w:r>
        <w:rPr>
          <w:rFonts w:hint="eastAsia" w:cstheme="minorBidi"/>
          <w:b w:val="0"/>
          <w:bCs w:val="0"/>
          <w:kern w:val="2"/>
          <w:sz w:val="32"/>
          <w:szCs w:val="32"/>
          <w:highlight w:val="none"/>
          <w:lang w:val="en-US" w:eastAsia="zh-CN" w:bidi="ar-SA"/>
        </w:rPr>
        <w:t>我院</w:t>
      </w:r>
      <w:r>
        <w:rPr>
          <w:rFonts w:hint="eastAsia" w:ascii="仿宋_GB2312" w:hAnsi="仿宋_GB2312" w:eastAsia="仿宋_GB2312" w:cstheme="minorBidi"/>
          <w:b w:val="0"/>
          <w:bCs w:val="0"/>
          <w:kern w:val="2"/>
          <w:sz w:val="32"/>
          <w:szCs w:val="32"/>
          <w:highlight w:val="none"/>
          <w:lang w:val="en-US" w:eastAsia="zh-CN" w:bidi="ar-SA"/>
        </w:rPr>
        <w:t>时刻牢记“感受司法公正的主体是人民群众”，以“如我在诉”理念回应群众急难愁盼。高度关注“登记难”“保交楼”等涉民生案件，全力守护“万家灯火”，依法妥善解决辖区涉房地产系列案件。深入推进“切实解决执行难”，执结案件2181件，执行到位3.3亿余元。坚持善意文明执行，灵活运用和解分期履行等方式为企业纾困解难，妥善处理某房地产公司强制执行等案件，让企业“动起来、活下去”。坚持把积案清理作为“民生工程”抓紧抓实，672件积案9月底前全部完成清结目标，清积率100%。</w:t>
      </w:r>
    </w:p>
    <w:p w14:paraId="0B4090AB">
      <w:pPr>
        <w:pStyle w:val="2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32"/>
          <w:highlight w:val="none"/>
          <w:lang w:eastAsia="zh-CN"/>
        </w:rPr>
      </w:pPr>
      <w:r>
        <w:rPr>
          <w:rFonts w:hint="eastAsia" w:ascii="仿宋_GB2312" w:hAnsi="仿宋_GB2312" w:eastAsia="仿宋_GB2312" w:cstheme="minorBidi"/>
          <w:b w:val="0"/>
          <w:bCs w:val="0"/>
          <w:kern w:val="2"/>
          <w:sz w:val="32"/>
          <w:szCs w:val="32"/>
          <w:highlight w:val="none"/>
          <w:lang w:val="en-US" w:eastAsia="zh-CN" w:bidi="ar-SA"/>
        </w:rPr>
        <w:t>（3）</w:t>
      </w:r>
      <w:r>
        <w:rPr>
          <w:rFonts w:hint="eastAsia" w:cstheme="minorBidi"/>
          <w:b w:val="0"/>
          <w:bCs w:val="0"/>
          <w:kern w:val="2"/>
          <w:sz w:val="32"/>
          <w:szCs w:val="32"/>
          <w:highlight w:val="none"/>
          <w:lang w:val="en-US" w:eastAsia="zh-CN" w:bidi="ar-SA"/>
        </w:rPr>
        <w:t>我院</w:t>
      </w:r>
      <w:r>
        <w:rPr>
          <w:rFonts w:hint="eastAsia" w:ascii="仿宋_GB2312" w:hAnsi="仿宋_GB2312" w:eastAsia="仿宋_GB2312" w:cstheme="minorBidi"/>
          <w:b w:val="0"/>
          <w:bCs w:val="0"/>
          <w:kern w:val="2"/>
          <w:sz w:val="32"/>
          <w:szCs w:val="32"/>
          <w:highlight w:val="none"/>
          <w:lang w:val="en-US" w:eastAsia="zh-CN" w:bidi="ar-SA"/>
        </w:rPr>
        <w:t>持续推进政法大数据办案平台常态化运用，流转案件115件。强化审判委员会和专业法官会议常态化实质化运行，统一裁判尺度，提升司法公信。健全审限预警、通报督办、专项评查等制度，规范司法鉴定流程机制。全面深化“案件分流、繁简分审”工作机制，组建15个新型审判团队，简易程序适用率达90%，案件平均办理天数由63天下降至41天，均居全市第一。抓实省法院确立的我院花庄法庭打造“审理涉企纠纷案件专业化人民法庭”争先创优项目，深度打造“以护航营商环境为特色、助力乡村振兴为底色、便民利民为本色”的“三合一”专业化人民法庭。</w:t>
      </w:r>
    </w:p>
    <w:p w14:paraId="7F94C527">
      <w:pPr>
        <w:pStyle w:val="4"/>
        <w:pageBreakBefore w:val="0"/>
        <w:kinsoku/>
        <w:wordWrap/>
        <w:overflowPunct/>
        <w:topLinePunct w:val="0"/>
        <w:autoSpaceDE/>
        <w:autoSpaceDN/>
        <w:bidi w:val="0"/>
        <w:adjustRightInd/>
        <w:snapToGrid/>
        <w:spacing w:before="0" w:after="0" w:line="560" w:lineRule="exact"/>
        <w:textAlignment w:val="auto"/>
        <w:rPr>
          <w:sz w:val="32"/>
          <w:szCs w:val="32"/>
        </w:rPr>
      </w:pPr>
      <w:bookmarkStart w:id="46" w:name="_Toc18553"/>
      <w:bookmarkStart w:id="47" w:name="_Toc17819"/>
      <w:bookmarkStart w:id="48" w:name="_Toc27099"/>
      <w:bookmarkStart w:id="49" w:name="_Toc7799"/>
      <w:r>
        <w:rPr>
          <w:rFonts w:hint="eastAsia"/>
          <w:sz w:val="32"/>
          <w:szCs w:val="32"/>
        </w:rPr>
        <w:t>（三）各项指标完成情况分析</w:t>
      </w:r>
      <w:bookmarkEnd w:id="46"/>
      <w:bookmarkEnd w:id="47"/>
      <w:bookmarkEnd w:id="48"/>
      <w:bookmarkEnd w:id="49"/>
    </w:p>
    <w:p w14:paraId="09212F73">
      <w:pPr>
        <w:pStyle w:val="5"/>
        <w:pageBreakBefore w:val="0"/>
        <w:kinsoku/>
        <w:wordWrap/>
        <w:overflowPunct/>
        <w:topLinePunct w:val="0"/>
        <w:autoSpaceDE/>
        <w:autoSpaceDN/>
        <w:bidi w:val="0"/>
        <w:adjustRightInd/>
        <w:snapToGrid/>
        <w:spacing w:line="560" w:lineRule="exact"/>
        <w:ind w:firstLine="562"/>
        <w:textAlignment w:val="auto"/>
        <w:rPr>
          <w:rFonts w:hint="default" w:eastAsia="仿宋_GB2312"/>
          <w:sz w:val="32"/>
          <w:szCs w:val="32"/>
          <w:lang w:val="en-US" w:eastAsia="zh-CN"/>
        </w:rPr>
      </w:pPr>
      <w:r>
        <w:rPr>
          <w:sz w:val="32"/>
          <w:szCs w:val="32"/>
        </w:rPr>
        <w:t>1</w:t>
      </w:r>
      <w:r>
        <w:rPr>
          <w:rFonts w:hint="eastAsia"/>
          <w:sz w:val="32"/>
          <w:szCs w:val="32"/>
          <w:lang w:eastAsia="zh-CN"/>
        </w:rPr>
        <w:t>.</w:t>
      </w:r>
      <w:r>
        <w:rPr>
          <w:rFonts w:hint="eastAsia"/>
          <w:sz w:val="32"/>
          <w:szCs w:val="32"/>
          <w:lang w:val="en-US" w:eastAsia="zh-CN"/>
        </w:rPr>
        <w:t>部门整体支出</w:t>
      </w:r>
      <w:r>
        <w:rPr>
          <w:sz w:val="32"/>
          <w:szCs w:val="32"/>
        </w:rPr>
        <w:t>预算执行率</w:t>
      </w:r>
      <w:r>
        <w:rPr>
          <w:rFonts w:hint="eastAsia"/>
          <w:sz w:val="32"/>
          <w:szCs w:val="32"/>
          <w:lang w:val="en-US" w:eastAsia="zh-CN"/>
        </w:rPr>
        <w:t>完成情况分析</w:t>
      </w:r>
    </w:p>
    <w:p w14:paraId="16CB2970">
      <w:pPr>
        <w:pageBreakBefore w:val="0"/>
        <w:kinsoku/>
        <w:wordWrap/>
        <w:overflowPunct/>
        <w:topLinePunct w:val="0"/>
        <w:autoSpaceDE/>
        <w:autoSpaceDN/>
        <w:bidi w:val="0"/>
        <w:adjustRightInd/>
        <w:snapToGrid/>
        <w:spacing w:line="560" w:lineRule="exact"/>
        <w:ind w:firstLine="560"/>
        <w:textAlignment w:val="auto"/>
        <w:rPr>
          <w:rFonts w:hint="eastAsia"/>
          <w:sz w:val="32"/>
          <w:szCs w:val="32"/>
          <w:highlight w:val="none"/>
        </w:rPr>
      </w:pPr>
      <w:r>
        <w:rPr>
          <w:rFonts w:hint="eastAsia"/>
          <w:sz w:val="32"/>
          <w:szCs w:val="32"/>
          <w:highlight w:val="none"/>
          <w:lang w:val="en-US" w:eastAsia="zh-CN"/>
        </w:rPr>
        <w:t>2023年度，兰州市红古区人民法院年初预算1,833.3万元</w:t>
      </w:r>
      <w:r>
        <w:rPr>
          <w:rFonts w:hint="eastAsia"/>
          <w:sz w:val="32"/>
          <w:szCs w:val="32"/>
          <w:highlight w:val="none"/>
          <w:lang w:eastAsia="zh-CN"/>
        </w:rPr>
        <w:t>，</w:t>
      </w:r>
      <w:r>
        <w:rPr>
          <w:rFonts w:hint="eastAsia"/>
          <w:sz w:val="32"/>
          <w:szCs w:val="32"/>
          <w:highlight w:val="none"/>
          <w:lang w:val="en-US" w:eastAsia="zh-CN"/>
        </w:rPr>
        <w:t>调整后</w:t>
      </w:r>
      <w:r>
        <w:rPr>
          <w:rFonts w:hint="eastAsia"/>
          <w:sz w:val="32"/>
          <w:szCs w:val="32"/>
          <w:highlight w:val="none"/>
        </w:rPr>
        <w:t>全年预算2,540.05</w:t>
      </w:r>
      <w:r>
        <w:rPr>
          <w:rFonts w:hint="eastAsia"/>
          <w:sz w:val="32"/>
          <w:szCs w:val="32"/>
          <w:highlight w:val="none"/>
          <w:lang w:val="en-US" w:eastAsia="zh-CN"/>
        </w:rPr>
        <w:t>万元，实际支出2,109.13万元，</w:t>
      </w:r>
      <w:r>
        <w:rPr>
          <w:rFonts w:hint="eastAsia"/>
          <w:sz w:val="32"/>
          <w:szCs w:val="32"/>
          <w:highlight w:val="none"/>
        </w:rPr>
        <w:t>部门整体支出预算执行率为83.03%</w:t>
      </w:r>
      <w:r>
        <w:rPr>
          <w:rFonts w:hint="eastAsia"/>
          <w:sz w:val="32"/>
          <w:szCs w:val="32"/>
          <w:highlight w:val="none"/>
        </w:rPr>
        <w:tab/>
      </w:r>
      <w:r>
        <w:rPr>
          <w:rFonts w:hint="eastAsia"/>
          <w:sz w:val="32"/>
          <w:szCs w:val="32"/>
          <w:highlight w:val="none"/>
          <w:lang w:val="en-US" w:eastAsia="zh-CN"/>
        </w:rPr>
        <w:t>。</w:t>
      </w:r>
      <w:r>
        <w:rPr>
          <w:rFonts w:hint="eastAsia"/>
          <w:color w:val="000000" w:themeColor="text1"/>
          <w:sz w:val="32"/>
          <w:szCs w:val="32"/>
          <w:highlight w:val="none"/>
          <w14:textFill>
            <w14:solidFill>
              <w14:schemeClr w14:val="tx1"/>
            </w14:solidFill>
          </w14:textFill>
        </w:rPr>
        <w:t>该指标分值10分，自评得分为8.</w:t>
      </w:r>
      <w:r>
        <w:rPr>
          <w:rFonts w:hint="eastAsia"/>
          <w:color w:val="000000" w:themeColor="text1"/>
          <w:sz w:val="32"/>
          <w:szCs w:val="32"/>
          <w:highlight w:val="none"/>
          <w:lang w:val="en-US" w:eastAsia="zh-CN"/>
          <w14:textFill>
            <w14:solidFill>
              <w14:schemeClr w14:val="tx1"/>
            </w14:solidFill>
          </w14:textFill>
        </w:rPr>
        <w:t>30</w:t>
      </w:r>
      <w:r>
        <w:rPr>
          <w:rFonts w:hint="eastAsia"/>
          <w:color w:val="000000" w:themeColor="text1"/>
          <w:sz w:val="32"/>
          <w:szCs w:val="32"/>
          <w:highlight w:val="none"/>
          <w14:textFill>
            <w14:solidFill>
              <w14:schemeClr w14:val="tx1"/>
            </w14:solidFill>
          </w14:textFill>
        </w:rPr>
        <w:t>分，得分率为8</w:t>
      </w:r>
      <w:r>
        <w:rPr>
          <w:rFonts w:hint="eastAsia"/>
          <w:color w:val="000000" w:themeColor="text1"/>
          <w:sz w:val="32"/>
          <w:szCs w:val="32"/>
          <w:highlight w:val="none"/>
          <w:lang w:val="en-US" w:eastAsia="zh-CN"/>
          <w14:textFill>
            <w14:solidFill>
              <w14:schemeClr w14:val="tx1"/>
            </w14:solidFill>
          </w14:textFill>
        </w:rPr>
        <w:t>3</w:t>
      </w:r>
      <w:r>
        <w:rPr>
          <w:rFonts w:hint="eastAsia"/>
          <w:color w:val="000000" w:themeColor="text1"/>
          <w:sz w:val="32"/>
          <w:szCs w:val="32"/>
          <w:highlight w:val="none"/>
          <w14:textFill>
            <w14:solidFill>
              <w14:schemeClr w14:val="tx1"/>
            </w14:solidFill>
          </w14:textFill>
        </w:rPr>
        <w:t>%。</w:t>
      </w:r>
    </w:p>
    <w:p w14:paraId="6E807410">
      <w:pPr>
        <w:pStyle w:val="5"/>
        <w:pageBreakBefore w:val="0"/>
        <w:kinsoku/>
        <w:wordWrap/>
        <w:overflowPunct/>
        <w:topLinePunct w:val="0"/>
        <w:autoSpaceDE/>
        <w:autoSpaceDN/>
        <w:bidi w:val="0"/>
        <w:adjustRightInd/>
        <w:snapToGrid/>
        <w:spacing w:line="560" w:lineRule="exact"/>
        <w:ind w:firstLine="562"/>
        <w:textAlignment w:val="auto"/>
        <w:rPr>
          <w:rFonts w:hint="default" w:eastAsia="仿宋_GB2312"/>
          <w:sz w:val="32"/>
          <w:szCs w:val="32"/>
          <w:lang w:val="en-US" w:eastAsia="zh-CN"/>
        </w:rPr>
      </w:pPr>
      <w:r>
        <w:rPr>
          <w:sz w:val="32"/>
          <w:szCs w:val="32"/>
        </w:rPr>
        <w:t>2</w:t>
      </w:r>
      <w:r>
        <w:rPr>
          <w:rFonts w:hint="eastAsia"/>
          <w:sz w:val="32"/>
          <w:szCs w:val="32"/>
          <w:lang w:eastAsia="zh-CN"/>
        </w:rPr>
        <w:t>.</w:t>
      </w:r>
      <w:r>
        <w:rPr>
          <w:sz w:val="32"/>
          <w:szCs w:val="32"/>
        </w:rPr>
        <w:t>部门管理</w:t>
      </w:r>
      <w:r>
        <w:rPr>
          <w:rFonts w:hint="eastAsia"/>
          <w:sz w:val="32"/>
          <w:szCs w:val="32"/>
          <w:lang w:val="en-US" w:eastAsia="zh-CN"/>
        </w:rPr>
        <w:t>目标完成情况分析</w:t>
      </w:r>
    </w:p>
    <w:p w14:paraId="73A0A942">
      <w:pPr>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sz w:val="32"/>
          <w:szCs w:val="32"/>
          <w:highlight w:val="none"/>
        </w:rPr>
        <w:t>部门管理指标包括资金投入、财务管理、采购管理、资产管理、人员管理、重点工作管理</w:t>
      </w:r>
      <w:r>
        <w:rPr>
          <w:rFonts w:hint="eastAsia"/>
          <w:sz w:val="32"/>
          <w:szCs w:val="32"/>
          <w:highlight w:val="none"/>
          <w:lang w:val="en-US" w:eastAsia="zh-CN"/>
        </w:rPr>
        <w:t>6</w:t>
      </w:r>
      <w:r>
        <w:rPr>
          <w:rFonts w:hint="eastAsia"/>
          <w:sz w:val="32"/>
          <w:szCs w:val="32"/>
          <w:highlight w:val="none"/>
        </w:rPr>
        <w:t>个二级指标，下设10个三级指标。指标分值</w:t>
      </w:r>
      <w:r>
        <w:rPr>
          <w:rFonts w:hint="eastAsia"/>
          <w:sz w:val="32"/>
          <w:szCs w:val="32"/>
          <w:highlight w:val="none"/>
          <w:lang w:val="en-US" w:eastAsia="zh-CN"/>
        </w:rPr>
        <w:t>20</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17.16</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85.8</w:t>
      </w:r>
      <w:r>
        <w:rPr>
          <w:rFonts w:hint="eastAsia"/>
          <w:sz w:val="32"/>
          <w:szCs w:val="32"/>
          <w:highlight w:val="none"/>
        </w:rPr>
        <w:t>0%。</w:t>
      </w:r>
      <w:r>
        <w:rPr>
          <w:rFonts w:hint="eastAsia"/>
          <w:sz w:val="32"/>
          <w:szCs w:val="32"/>
          <w:lang w:val="en-US" w:eastAsia="zh-CN"/>
        </w:rPr>
        <w:t>具体如下表：</w:t>
      </w:r>
    </w:p>
    <w:tbl>
      <w:tblPr>
        <w:tblStyle w:val="21"/>
        <w:tblW w:w="839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3B3674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288" w:type="dxa"/>
            <w:shd w:val="clear" w:color="auto" w:fill="BDD6EE"/>
            <w:vAlign w:val="center"/>
          </w:tcPr>
          <w:p w14:paraId="3D237B26">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701" w:type="dxa"/>
            <w:shd w:val="clear" w:color="auto" w:fill="BDD6EE"/>
            <w:vAlign w:val="center"/>
          </w:tcPr>
          <w:p w14:paraId="13DFAF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701" w:type="dxa"/>
            <w:shd w:val="clear" w:color="auto" w:fill="BDD6EE"/>
            <w:vAlign w:val="center"/>
          </w:tcPr>
          <w:p w14:paraId="4B015B3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701" w:type="dxa"/>
            <w:shd w:val="clear" w:color="auto" w:fill="BDD6EE"/>
            <w:vAlign w:val="center"/>
          </w:tcPr>
          <w:p w14:paraId="7C7E3A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2FE9D5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493ED7F8">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资金投入</w:t>
            </w:r>
          </w:p>
        </w:tc>
        <w:tc>
          <w:tcPr>
            <w:tcW w:w="1701" w:type="dxa"/>
            <w:vAlign w:val="center"/>
          </w:tcPr>
          <w:p w14:paraId="7285AA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8</w:t>
            </w:r>
          </w:p>
        </w:tc>
        <w:tc>
          <w:tcPr>
            <w:tcW w:w="1701" w:type="dxa"/>
            <w:vAlign w:val="center"/>
          </w:tcPr>
          <w:p w14:paraId="0E9C2A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5.16</w:t>
            </w:r>
          </w:p>
        </w:tc>
        <w:tc>
          <w:tcPr>
            <w:tcW w:w="1701" w:type="dxa"/>
            <w:vAlign w:val="center"/>
          </w:tcPr>
          <w:p w14:paraId="63A8B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64.50%</w:t>
            </w:r>
          </w:p>
        </w:tc>
      </w:tr>
      <w:tr w14:paraId="5C0467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49DB98D3">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财务管理</w:t>
            </w:r>
          </w:p>
        </w:tc>
        <w:tc>
          <w:tcPr>
            <w:tcW w:w="1701" w:type="dxa"/>
            <w:vAlign w:val="center"/>
          </w:tcPr>
          <w:p w14:paraId="718730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w:t>
            </w:r>
          </w:p>
        </w:tc>
        <w:tc>
          <w:tcPr>
            <w:tcW w:w="1701" w:type="dxa"/>
            <w:vAlign w:val="center"/>
          </w:tcPr>
          <w:p w14:paraId="14A9CD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701" w:type="dxa"/>
            <w:vAlign w:val="center"/>
          </w:tcPr>
          <w:p w14:paraId="740C29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34B7E8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1B74443B">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采购管理</w:t>
            </w:r>
          </w:p>
        </w:tc>
        <w:tc>
          <w:tcPr>
            <w:tcW w:w="1701" w:type="dxa"/>
            <w:vAlign w:val="center"/>
          </w:tcPr>
          <w:p w14:paraId="24E967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431EA3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2A7968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131EF0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6417A587">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资产管理</w:t>
            </w:r>
          </w:p>
        </w:tc>
        <w:tc>
          <w:tcPr>
            <w:tcW w:w="1701" w:type="dxa"/>
            <w:vAlign w:val="center"/>
          </w:tcPr>
          <w:p w14:paraId="73C7CE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420A56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75B6B2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5A0465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14CF5BCE">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人员管理</w:t>
            </w:r>
          </w:p>
        </w:tc>
        <w:tc>
          <w:tcPr>
            <w:tcW w:w="1701" w:type="dxa"/>
            <w:vAlign w:val="center"/>
          </w:tcPr>
          <w:p w14:paraId="206C6F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1239A3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2CA3A1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2E4DA5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vAlign w:val="center"/>
          </w:tcPr>
          <w:p w14:paraId="16BBA690">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重点工作管理</w:t>
            </w:r>
          </w:p>
        </w:tc>
        <w:tc>
          <w:tcPr>
            <w:tcW w:w="1701" w:type="dxa"/>
            <w:vAlign w:val="center"/>
          </w:tcPr>
          <w:p w14:paraId="39AD0E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264CF5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1701" w:type="dxa"/>
            <w:vAlign w:val="center"/>
          </w:tcPr>
          <w:p w14:paraId="5CDF42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31FE8F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288" w:type="dxa"/>
            <w:shd w:val="clear" w:color="auto" w:fill="BDD6EE"/>
            <w:vAlign w:val="center"/>
          </w:tcPr>
          <w:p w14:paraId="3FCC7A00">
            <w:pPr>
              <w:keepNext w:val="0"/>
              <w:keepLines w:val="0"/>
              <w:widowControl/>
              <w:suppressLineNumbers w:val="0"/>
              <w:ind w:firstLine="482" w:firstLineChars="200"/>
              <w:jc w:val="center"/>
              <w:textAlignment w:val="center"/>
              <w:rPr>
                <w:rFonts w:hAnsi="宋体" w:cs="宋体"/>
                <w:b/>
                <w:color w:val="000000"/>
                <w:kern w:val="0"/>
                <w:sz w:val="24"/>
                <w:szCs w:val="28"/>
                <w:highlight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701" w:type="dxa"/>
            <w:shd w:val="clear" w:color="auto" w:fill="BDD6EE"/>
            <w:vAlign w:val="center"/>
          </w:tcPr>
          <w:p w14:paraId="1416D6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20</w:t>
            </w:r>
          </w:p>
        </w:tc>
        <w:tc>
          <w:tcPr>
            <w:tcW w:w="1701" w:type="dxa"/>
            <w:shd w:val="clear" w:color="auto" w:fill="BDD6EE"/>
            <w:vAlign w:val="center"/>
          </w:tcPr>
          <w:p w14:paraId="71FFCE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17.16</w:t>
            </w:r>
          </w:p>
        </w:tc>
        <w:tc>
          <w:tcPr>
            <w:tcW w:w="1701" w:type="dxa"/>
            <w:shd w:val="clear" w:color="auto" w:fill="BDD6EE"/>
            <w:vAlign w:val="center"/>
          </w:tcPr>
          <w:p w14:paraId="69583F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85.80%</w:t>
            </w:r>
          </w:p>
        </w:tc>
      </w:tr>
    </w:tbl>
    <w:p w14:paraId="7AC8C4A2">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基本支出预算执行率</w:t>
      </w:r>
      <w:r>
        <w:rPr>
          <w:rFonts w:hint="eastAsia" w:hAnsi="宋体"/>
          <w:b/>
          <w:bCs/>
          <w:sz w:val="32"/>
          <w:szCs w:val="32"/>
          <w:highlight w:val="none"/>
          <w:lang w:eastAsia="zh-CN"/>
        </w:rPr>
        <w:t>：</w:t>
      </w:r>
      <w:r>
        <w:rPr>
          <w:rFonts w:hint="eastAsia" w:hAnsi="宋体"/>
          <w:b w:val="0"/>
          <w:bCs w:val="0"/>
          <w:sz w:val="32"/>
          <w:szCs w:val="32"/>
          <w:highlight w:val="none"/>
          <w:lang w:val="en-US" w:eastAsia="zh-CN"/>
        </w:rPr>
        <w:t>我院</w:t>
      </w:r>
      <w:r>
        <w:rPr>
          <w:rFonts w:hint="eastAsia" w:hAnsi="宋体"/>
          <w:b w:val="0"/>
          <w:bCs w:val="0"/>
          <w:sz w:val="32"/>
          <w:szCs w:val="32"/>
          <w:highlight w:val="none"/>
        </w:rPr>
        <w:t>基</w:t>
      </w:r>
      <w:r>
        <w:rPr>
          <w:rFonts w:hint="eastAsia" w:hAnsi="宋体"/>
          <w:sz w:val="32"/>
          <w:szCs w:val="32"/>
          <w:highlight w:val="none"/>
        </w:rPr>
        <w:t>本支出全年预算1</w:t>
      </w:r>
      <w:r>
        <w:rPr>
          <w:rFonts w:hint="eastAsia" w:hAnsi="宋体"/>
          <w:sz w:val="32"/>
          <w:szCs w:val="32"/>
          <w:highlight w:val="none"/>
          <w:lang w:val="en-US" w:eastAsia="zh-CN"/>
        </w:rPr>
        <w:t>,838.76万元，</w:t>
      </w:r>
      <w:r>
        <w:rPr>
          <w:rFonts w:hint="eastAsia" w:hAnsi="宋体"/>
          <w:sz w:val="32"/>
          <w:szCs w:val="32"/>
          <w:highlight w:val="none"/>
        </w:rPr>
        <w:t>实际支出</w:t>
      </w:r>
      <w:r>
        <w:rPr>
          <w:rFonts w:hint="eastAsia" w:hAnsi="宋体"/>
          <w:sz w:val="32"/>
          <w:szCs w:val="32"/>
          <w:highlight w:val="none"/>
          <w:lang w:val="en-US" w:eastAsia="zh-CN"/>
        </w:rPr>
        <w:t>1,623.40万</w:t>
      </w:r>
      <w:r>
        <w:rPr>
          <w:rFonts w:hint="eastAsia" w:hAnsi="宋体"/>
          <w:sz w:val="32"/>
          <w:szCs w:val="32"/>
          <w:highlight w:val="none"/>
        </w:rPr>
        <w:t>元，基本支出预算执行率为8</w:t>
      </w:r>
      <w:r>
        <w:rPr>
          <w:rFonts w:hint="eastAsia" w:hAnsi="宋体"/>
          <w:sz w:val="32"/>
          <w:szCs w:val="32"/>
          <w:highlight w:val="none"/>
          <w:lang w:val="en-US" w:eastAsia="zh-CN"/>
        </w:rPr>
        <w:t>8.29</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1.77</w:t>
      </w:r>
      <w:r>
        <w:rPr>
          <w:rFonts w:hint="eastAsia" w:hAnsi="宋体"/>
          <w:sz w:val="32"/>
          <w:szCs w:val="32"/>
          <w:highlight w:val="none"/>
        </w:rPr>
        <w:t>分，得分率为</w:t>
      </w:r>
      <w:r>
        <w:rPr>
          <w:rFonts w:hint="eastAsia" w:hAnsi="宋体"/>
          <w:sz w:val="32"/>
          <w:szCs w:val="32"/>
          <w:highlight w:val="none"/>
          <w:lang w:val="en-US" w:eastAsia="zh-CN"/>
        </w:rPr>
        <w:t>88.50</w:t>
      </w:r>
      <w:r>
        <w:rPr>
          <w:rFonts w:hint="eastAsia" w:hAnsi="宋体"/>
          <w:sz w:val="32"/>
          <w:szCs w:val="32"/>
          <w:highlight w:val="none"/>
        </w:rPr>
        <w:t>%。</w:t>
      </w:r>
    </w:p>
    <w:p w14:paraId="517DDBF1">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b w:val="0"/>
          <w:bCs w:val="0"/>
          <w:sz w:val="32"/>
          <w:szCs w:val="32"/>
          <w:highlight w:val="none"/>
          <w:lang w:val="en-US" w:eastAsia="zh-CN"/>
        </w:rPr>
        <w:t>我院</w:t>
      </w:r>
      <w:r>
        <w:rPr>
          <w:rFonts w:hint="eastAsia" w:hAnsi="宋体"/>
          <w:b w:val="0"/>
          <w:bCs w:val="0"/>
          <w:sz w:val="32"/>
          <w:szCs w:val="32"/>
          <w:highlight w:val="none"/>
        </w:rPr>
        <w:t>项</w:t>
      </w:r>
      <w:r>
        <w:rPr>
          <w:rFonts w:hint="eastAsia" w:hAnsi="宋体"/>
          <w:sz w:val="32"/>
          <w:szCs w:val="32"/>
          <w:highlight w:val="none"/>
        </w:rPr>
        <w:t>目支出全年预算</w:t>
      </w:r>
      <w:r>
        <w:rPr>
          <w:rFonts w:hint="eastAsia" w:hAnsi="宋体"/>
          <w:sz w:val="32"/>
          <w:szCs w:val="32"/>
          <w:highlight w:val="none"/>
          <w:lang w:val="en-US" w:eastAsia="zh-CN"/>
        </w:rPr>
        <w:t>701.29万元，</w:t>
      </w:r>
      <w:r>
        <w:rPr>
          <w:rFonts w:hint="eastAsia" w:hAnsi="宋体"/>
          <w:sz w:val="32"/>
          <w:szCs w:val="32"/>
          <w:highlight w:val="none"/>
        </w:rPr>
        <w:t>实际支出4</w:t>
      </w:r>
      <w:r>
        <w:rPr>
          <w:rFonts w:hint="eastAsia" w:hAnsi="宋体"/>
          <w:sz w:val="32"/>
          <w:szCs w:val="32"/>
          <w:highlight w:val="none"/>
          <w:lang w:val="en-US" w:eastAsia="zh-CN"/>
        </w:rPr>
        <w:t>85.73</w:t>
      </w:r>
      <w:r>
        <w:rPr>
          <w:rFonts w:hint="eastAsia" w:hAnsi="宋体"/>
          <w:sz w:val="32"/>
          <w:szCs w:val="32"/>
          <w:highlight w:val="none"/>
        </w:rPr>
        <w:t>万元，项目支出预算执行率为</w:t>
      </w:r>
      <w:r>
        <w:rPr>
          <w:rFonts w:hint="eastAsia" w:hAnsi="宋体"/>
          <w:sz w:val="32"/>
          <w:szCs w:val="32"/>
          <w:highlight w:val="none"/>
          <w:lang w:val="en-US" w:eastAsia="zh-CN"/>
        </w:rPr>
        <w:t>69.26</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1.39</w:t>
      </w:r>
      <w:r>
        <w:rPr>
          <w:rFonts w:hint="eastAsia" w:hAnsi="宋体"/>
          <w:sz w:val="32"/>
          <w:szCs w:val="32"/>
          <w:highlight w:val="none"/>
        </w:rPr>
        <w:t>分，得分率为</w:t>
      </w:r>
      <w:r>
        <w:rPr>
          <w:rFonts w:hint="eastAsia" w:hAnsi="宋体"/>
          <w:sz w:val="32"/>
          <w:szCs w:val="32"/>
          <w:highlight w:val="none"/>
          <w:lang w:val="en-US" w:eastAsia="zh-CN"/>
        </w:rPr>
        <w:t>69.50</w:t>
      </w:r>
      <w:r>
        <w:rPr>
          <w:rFonts w:hint="eastAsia" w:hAnsi="宋体"/>
          <w:sz w:val="32"/>
          <w:szCs w:val="32"/>
          <w:highlight w:val="none"/>
        </w:rPr>
        <w:t>%。</w:t>
      </w:r>
    </w:p>
    <w:p w14:paraId="3EEBAE7D">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b w:val="0"/>
          <w:bCs w:val="0"/>
          <w:sz w:val="32"/>
          <w:szCs w:val="32"/>
          <w:highlight w:val="none"/>
          <w:lang w:val="en-US" w:eastAsia="zh-CN"/>
        </w:rPr>
        <w:t>我院</w:t>
      </w:r>
      <w:r>
        <w:rPr>
          <w:rFonts w:hint="eastAsia" w:hAnsi="宋体"/>
          <w:b w:val="0"/>
          <w:bCs w:val="0"/>
          <w:sz w:val="32"/>
          <w:szCs w:val="32"/>
          <w:highlight w:val="none"/>
        </w:rPr>
        <w:t>“</w:t>
      </w:r>
      <w:r>
        <w:rPr>
          <w:rFonts w:hint="eastAsia" w:hAnsi="宋体"/>
          <w:sz w:val="32"/>
          <w:szCs w:val="32"/>
          <w:highlight w:val="none"/>
        </w:rPr>
        <w:t>三公经费”</w:t>
      </w:r>
      <w:r>
        <w:rPr>
          <w:rFonts w:hint="eastAsia" w:hAnsi="宋体"/>
          <w:sz w:val="32"/>
          <w:szCs w:val="32"/>
          <w:highlight w:val="none"/>
          <w:lang w:val="en-US" w:eastAsia="zh-CN"/>
        </w:rPr>
        <w:t>预算批复数58.88万元，实际支出42.75万元，</w:t>
      </w:r>
      <w:r>
        <w:rPr>
          <w:rFonts w:hint="eastAsia" w:hAnsi="宋体"/>
          <w:sz w:val="32"/>
          <w:szCs w:val="32"/>
          <w:highlight w:val="none"/>
        </w:rPr>
        <w:t>“三公经费”控制率为</w:t>
      </w:r>
      <w:r>
        <w:rPr>
          <w:rFonts w:hint="eastAsia" w:hAnsi="宋体"/>
          <w:sz w:val="32"/>
          <w:szCs w:val="32"/>
          <w:highlight w:val="none"/>
          <w:lang w:val="en-US" w:eastAsia="zh-CN"/>
        </w:rPr>
        <w:t>100</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0102189A">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结转结余变动率：</w:t>
      </w:r>
      <w:r>
        <w:rPr>
          <w:rFonts w:hint="eastAsia" w:hAnsi="宋体"/>
          <w:sz w:val="32"/>
          <w:szCs w:val="32"/>
          <w:highlight w:val="none"/>
          <w:lang w:eastAsia="zh-CN"/>
        </w:rPr>
        <w:t>我院</w:t>
      </w:r>
      <w:r>
        <w:rPr>
          <w:rFonts w:hint="eastAsia" w:hAnsi="宋体"/>
          <w:sz w:val="32"/>
          <w:szCs w:val="32"/>
          <w:highlight w:val="none"/>
        </w:rPr>
        <w:t>202</w:t>
      </w:r>
      <w:r>
        <w:rPr>
          <w:rFonts w:hint="eastAsia" w:hAnsi="宋体"/>
          <w:sz w:val="32"/>
          <w:szCs w:val="32"/>
          <w:highlight w:val="none"/>
          <w:lang w:val="en-US" w:eastAsia="zh-CN"/>
        </w:rPr>
        <w:t>2</w:t>
      </w:r>
      <w:r>
        <w:rPr>
          <w:rFonts w:hint="eastAsia" w:hAnsi="宋体"/>
          <w:sz w:val="32"/>
          <w:szCs w:val="32"/>
          <w:highlight w:val="none"/>
        </w:rPr>
        <w:t>年度结转结余</w:t>
      </w:r>
      <w:r>
        <w:rPr>
          <w:rFonts w:hint="eastAsia" w:hAnsi="宋体"/>
          <w:sz w:val="32"/>
          <w:szCs w:val="32"/>
          <w:highlight w:val="none"/>
          <w:lang w:val="en-US" w:eastAsia="zh-CN"/>
        </w:rPr>
        <w:t>240.75万元，</w:t>
      </w:r>
      <w:r>
        <w:rPr>
          <w:rFonts w:hint="eastAsia" w:hAnsi="宋体"/>
          <w:sz w:val="32"/>
          <w:szCs w:val="32"/>
          <w:highlight w:val="none"/>
        </w:rPr>
        <w:t>202</w:t>
      </w:r>
      <w:r>
        <w:rPr>
          <w:rFonts w:hint="eastAsia" w:hAnsi="宋体"/>
          <w:sz w:val="32"/>
          <w:szCs w:val="32"/>
          <w:highlight w:val="none"/>
          <w:lang w:val="en-US" w:eastAsia="zh-CN"/>
        </w:rPr>
        <w:t>3</w:t>
      </w:r>
      <w:r>
        <w:rPr>
          <w:rFonts w:hint="eastAsia" w:hAnsi="宋体"/>
          <w:sz w:val="32"/>
          <w:szCs w:val="32"/>
          <w:highlight w:val="none"/>
        </w:rPr>
        <w:t>年度结转结余</w:t>
      </w:r>
      <w:r>
        <w:rPr>
          <w:rFonts w:hint="eastAsia" w:hAnsi="宋体"/>
          <w:sz w:val="32"/>
          <w:szCs w:val="32"/>
          <w:highlight w:val="none"/>
          <w:lang w:val="en-US" w:eastAsia="zh-CN"/>
        </w:rPr>
        <w:t>430.92万元</w:t>
      </w:r>
      <w:r>
        <w:rPr>
          <w:rFonts w:hint="eastAsia" w:hAnsi="宋体"/>
          <w:sz w:val="32"/>
          <w:szCs w:val="32"/>
          <w:highlight w:val="none"/>
        </w:rPr>
        <w:t>，本年结转结余较上年增加</w:t>
      </w:r>
      <w:r>
        <w:rPr>
          <w:rFonts w:hint="eastAsia" w:hAnsi="宋体"/>
          <w:sz w:val="32"/>
          <w:szCs w:val="32"/>
          <w:highlight w:val="none"/>
          <w:lang w:val="en-US" w:eastAsia="zh-CN"/>
        </w:rPr>
        <w:t>190.17万元</w:t>
      </w:r>
      <w:r>
        <w:rPr>
          <w:rFonts w:hint="eastAsia" w:hAnsi="宋体"/>
          <w:sz w:val="32"/>
          <w:szCs w:val="32"/>
          <w:highlight w:val="none"/>
        </w:rPr>
        <w:t>，结转结余资金变动率为</w:t>
      </w:r>
      <w:r>
        <w:rPr>
          <w:rFonts w:hint="eastAsia" w:hAnsi="宋体"/>
          <w:sz w:val="32"/>
          <w:szCs w:val="32"/>
          <w:highlight w:val="none"/>
          <w:lang w:val="en-US" w:eastAsia="zh-CN"/>
        </w:rPr>
        <w:t>79.10</w:t>
      </w:r>
      <w:r>
        <w:rPr>
          <w:rFonts w:hint="eastAsia" w:hAnsi="宋体"/>
          <w:sz w:val="32"/>
          <w:szCs w:val="32"/>
          <w:highlight w:val="none"/>
        </w:rPr>
        <w:t>%</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分，自评得分为</w:t>
      </w:r>
      <w:r>
        <w:rPr>
          <w:rFonts w:hint="eastAsia" w:hAnsi="宋体"/>
          <w:sz w:val="32"/>
          <w:szCs w:val="32"/>
          <w:highlight w:val="none"/>
          <w:lang w:val="en-US" w:eastAsia="zh-CN"/>
        </w:rPr>
        <w:t>0</w:t>
      </w:r>
      <w:r>
        <w:rPr>
          <w:rFonts w:hint="eastAsia" w:hAnsi="宋体"/>
          <w:sz w:val="32"/>
          <w:szCs w:val="32"/>
          <w:highlight w:val="none"/>
        </w:rPr>
        <w:t>分，得分率为</w:t>
      </w:r>
      <w:r>
        <w:rPr>
          <w:rFonts w:hint="eastAsia" w:hAnsi="宋体"/>
          <w:sz w:val="32"/>
          <w:szCs w:val="32"/>
          <w:highlight w:val="none"/>
          <w:lang w:val="en-US" w:eastAsia="zh-CN"/>
        </w:rPr>
        <w:t>0</w:t>
      </w:r>
      <w:r>
        <w:rPr>
          <w:rFonts w:hint="eastAsia" w:hAnsi="宋体"/>
          <w:sz w:val="32"/>
          <w:szCs w:val="32"/>
          <w:highlight w:val="none"/>
        </w:rPr>
        <w:t>%。</w:t>
      </w:r>
    </w:p>
    <w:p w14:paraId="26D7DE33">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rPr>
        <w:t>财务管理制度健全性：</w:t>
      </w:r>
      <w:r>
        <w:rPr>
          <w:rFonts w:hint="eastAsia" w:hAnsi="宋体"/>
          <w:sz w:val="32"/>
          <w:szCs w:val="32"/>
          <w:lang w:eastAsia="zh-CN"/>
        </w:rPr>
        <w:t>我院根据</w:t>
      </w:r>
      <w:r>
        <w:rPr>
          <w:rFonts w:hint="eastAsia" w:hAnsi="宋体"/>
          <w:sz w:val="32"/>
          <w:szCs w:val="32"/>
        </w:rPr>
        <w:t>《</w:t>
      </w:r>
      <w:r>
        <w:rPr>
          <w:rFonts w:hint="eastAsia" w:hAnsi="宋体"/>
          <w:sz w:val="32"/>
          <w:szCs w:val="32"/>
          <w:lang w:eastAsia="zh-CN"/>
        </w:rPr>
        <w:t>兰州市红古区人民法院</w:t>
      </w:r>
      <w:r>
        <w:rPr>
          <w:rFonts w:hint="eastAsia" w:hAnsi="宋体"/>
          <w:sz w:val="32"/>
          <w:szCs w:val="32"/>
        </w:rPr>
        <w:t>财务管理制度》进行财务管理</w:t>
      </w:r>
      <w:r>
        <w:rPr>
          <w:rFonts w:hint="eastAsia" w:hAnsi="宋体"/>
          <w:sz w:val="32"/>
          <w:szCs w:val="32"/>
          <w:lang w:eastAsia="zh-CN"/>
        </w:rPr>
        <w:t>，</w:t>
      </w:r>
      <w:r>
        <w:rPr>
          <w:rFonts w:hint="eastAsia" w:hAnsi="宋体"/>
          <w:sz w:val="32"/>
          <w:szCs w:val="32"/>
        </w:rPr>
        <w:t>经费收支管理</w:t>
      </w:r>
      <w:r>
        <w:rPr>
          <w:rFonts w:hint="eastAsia" w:hAnsi="宋体"/>
          <w:sz w:val="32"/>
          <w:szCs w:val="32"/>
          <w:lang w:eastAsia="zh-CN"/>
        </w:rPr>
        <w:t>以及</w:t>
      </w:r>
      <w:r>
        <w:rPr>
          <w:rFonts w:hint="eastAsia" w:hAnsi="宋体"/>
          <w:sz w:val="32"/>
          <w:szCs w:val="32"/>
        </w:rPr>
        <w:t>票据管理</w:t>
      </w:r>
      <w:r>
        <w:rPr>
          <w:rFonts w:hint="eastAsia" w:hAnsi="宋体"/>
          <w:sz w:val="32"/>
          <w:szCs w:val="32"/>
          <w:lang w:eastAsia="zh-CN"/>
        </w:rPr>
        <w:t>等事项</w:t>
      </w:r>
      <w:r>
        <w:rPr>
          <w:rFonts w:hint="eastAsia" w:hAnsi="宋体"/>
          <w:sz w:val="32"/>
          <w:szCs w:val="32"/>
          <w:lang w:val="en-US" w:eastAsia="zh-CN"/>
        </w:rPr>
        <w:t>有完备的审批流程和管控手续</w:t>
      </w:r>
      <w:r>
        <w:rPr>
          <w:rFonts w:hint="eastAsia" w:hAnsi="宋体"/>
          <w:sz w:val="32"/>
          <w:szCs w:val="32"/>
        </w:rPr>
        <w:t>，财务管理制度内容完备，具备可操作性。该指标分值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highlight w:val="none"/>
        </w:rPr>
        <w:t>为</w:t>
      </w:r>
      <w:r>
        <w:rPr>
          <w:rFonts w:hint="eastAsia" w:hAnsi="宋体"/>
          <w:sz w:val="32"/>
          <w:szCs w:val="32"/>
          <w:lang w:val="en-US" w:eastAsia="zh-CN"/>
        </w:rPr>
        <w:t>2</w:t>
      </w:r>
      <w:r>
        <w:rPr>
          <w:rFonts w:hint="eastAsia" w:hAnsi="宋体"/>
          <w:sz w:val="32"/>
          <w:szCs w:val="32"/>
          <w:highlight w:val="none"/>
        </w:rPr>
        <w:t>分，得分率为100%。</w:t>
      </w:r>
    </w:p>
    <w:p w14:paraId="14D4CDE8">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highlight w:val="none"/>
        </w:rPr>
        <w:t>资金使用规范性：</w:t>
      </w:r>
      <w:r>
        <w:rPr>
          <w:rFonts w:hint="eastAsia" w:hAnsi="宋体"/>
          <w:sz w:val="32"/>
          <w:szCs w:val="32"/>
          <w:highlight w:val="none"/>
        </w:rPr>
        <w:t>我院资金支出总体上审批程序合规、手续齐全，支出内容</w:t>
      </w:r>
      <w:r>
        <w:rPr>
          <w:rFonts w:hint="eastAsia" w:hAnsi="宋体"/>
          <w:sz w:val="32"/>
          <w:szCs w:val="32"/>
        </w:rPr>
        <w:t>符合省财政预算批复规定的用途，有效提高了财务资金使用的合理性和规范性</w:t>
      </w:r>
      <w:r>
        <w:rPr>
          <w:rFonts w:hint="eastAsia" w:hAnsi="宋体"/>
          <w:sz w:val="32"/>
          <w:szCs w:val="32"/>
          <w:lang w:eastAsia="zh-CN"/>
        </w:rPr>
        <w:t>，</w:t>
      </w:r>
      <w:r>
        <w:rPr>
          <w:rFonts w:hint="eastAsia" w:hAnsi="宋体"/>
          <w:sz w:val="32"/>
          <w:szCs w:val="32"/>
        </w:rPr>
        <w:t>防止了国有资金流失</w:t>
      </w:r>
      <w:r>
        <w:rPr>
          <w:rFonts w:hint="eastAsia" w:hAnsi="宋体"/>
          <w:sz w:val="32"/>
          <w:szCs w:val="32"/>
          <w:lang w:eastAsia="zh-CN"/>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分，得分率为100%。</w:t>
      </w:r>
    </w:p>
    <w:p w14:paraId="0F57E1AA">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分，得分率为100%。</w:t>
      </w:r>
    </w:p>
    <w:p w14:paraId="325E2C03">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rPr>
        <w:t>资产管理规范性：</w:t>
      </w:r>
      <w:r>
        <w:rPr>
          <w:rFonts w:hint="eastAsia" w:hAnsi="宋体"/>
          <w:sz w:val="32"/>
          <w:szCs w:val="32"/>
        </w:rPr>
        <w:t>我院账务和资产卡片数据相符，资产卡片与实物相符，各类资产保存完整、使用合规、配置合理、处置规范，资产处置收入能够及时足额上缴财政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lang w:val="en-US" w:eastAsia="zh-CN"/>
        </w:rPr>
        <w:t>2</w:t>
      </w:r>
      <w:r>
        <w:rPr>
          <w:rFonts w:hint="eastAsia" w:hAnsi="宋体"/>
          <w:sz w:val="32"/>
          <w:szCs w:val="32"/>
        </w:rPr>
        <w:t>分，自</w:t>
      </w:r>
      <w:r>
        <w:rPr>
          <w:rFonts w:hint="eastAsia" w:hAnsi="宋体"/>
          <w:sz w:val="32"/>
          <w:szCs w:val="32"/>
          <w:highlight w:val="none"/>
        </w:rPr>
        <w:t>评得分为</w:t>
      </w:r>
      <w:r>
        <w:rPr>
          <w:rFonts w:hint="eastAsia" w:hAnsi="宋体"/>
          <w:sz w:val="32"/>
          <w:szCs w:val="32"/>
          <w:highlight w:val="none"/>
          <w:lang w:val="en-US" w:eastAsia="zh-CN"/>
        </w:rPr>
        <w:t>2</w:t>
      </w:r>
      <w:r>
        <w:rPr>
          <w:rFonts w:hint="eastAsia" w:hAnsi="宋体"/>
          <w:sz w:val="32"/>
          <w:szCs w:val="32"/>
          <w:highlight w:val="none"/>
        </w:rPr>
        <w:t>分，得分率为100%。</w:t>
      </w:r>
    </w:p>
    <w:p w14:paraId="71ED29C6">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在职人员控制率：</w:t>
      </w:r>
      <w:r>
        <w:rPr>
          <w:rFonts w:hint="eastAsia" w:hAnsi="宋体"/>
          <w:sz w:val="32"/>
          <w:szCs w:val="32"/>
          <w:highlight w:val="none"/>
        </w:rPr>
        <w:t>我院人员管理较为规范，</w:t>
      </w:r>
      <w:r>
        <w:rPr>
          <w:rFonts w:hint="eastAsia" w:hAnsi="宋体"/>
          <w:sz w:val="32"/>
          <w:szCs w:val="32"/>
          <w:highlight w:val="none"/>
          <w:lang w:eastAsia="zh-CN"/>
        </w:rPr>
        <w:t>部门</w:t>
      </w:r>
      <w:r>
        <w:rPr>
          <w:rFonts w:hint="eastAsia" w:hAnsi="宋体"/>
          <w:sz w:val="32"/>
          <w:szCs w:val="32"/>
          <w:highlight w:val="none"/>
        </w:rPr>
        <w:t>整体的财政供养人员规模得到有效控制，编制人数</w:t>
      </w:r>
      <w:r>
        <w:rPr>
          <w:rFonts w:hint="eastAsia" w:hAnsi="宋体"/>
          <w:sz w:val="32"/>
          <w:szCs w:val="32"/>
          <w:highlight w:val="none"/>
          <w:lang w:val="en-US" w:eastAsia="zh-CN"/>
        </w:rPr>
        <w:t>63</w:t>
      </w:r>
      <w:r>
        <w:rPr>
          <w:rFonts w:hint="eastAsia" w:hAnsi="宋体"/>
          <w:sz w:val="32"/>
          <w:szCs w:val="32"/>
          <w:highlight w:val="none"/>
        </w:rPr>
        <w:t>人，在职人员</w:t>
      </w:r>
      <w:r>
        <w:rPr>
          <w:rFonts w:hint="eastAsia" w:hAnsi="宋体"/>
          <w:sz w:val="32"/>
          <w:szCs w:val="32"/>
          <w:highlight w:val="none"/>
          <w:lang w:val="en-US" w:eastAsia="zh-CN"/>
        </w:rPr>
        <w:t>55</w:t>
      </w:r>
      <w:r>
        <w:rPr>
          <w:rFonts w:hint="eastAsia" w:hAnsi="宋体"/>
          <w:sz w:val="32"/>
          <w:szCs w:val="32"/>
          <w:highlight w:val="none"/>
        </w:rPr>
        <w:t>人，在职人员</w:t>
      </w:r>
      <w:r>
        <w:rPr>
          <w:rFonts w:hint="eastAsia" w:hAnsi="宋体"/>
          <w:sz w:val="32"/>
          <w:szCs w:val="32"/>
          <w:highlight w:val="none"/>
          <w:lang w:val="en-US" w:eastAsia="zh-CN"/>
        </w:rPr>
        <w:t>100</w:t>
      </w:r>
      <w:r>
        <w:rPr>
          <w:rFonts w:hint="eastAsia" w:hAnsi="宋体"/>
          <w:sz w:val="32"/>
          <w:szCs w:val="32"/>
          <w:highlight w:val="none"/>
        </w:rPr>
        <w:t>%有效</w:t>
      </w:r>
      <w:r>
        <w:rPr>
          <w:rFonts w:hint="eastAsia" w:hAnsi="宋体"/>
          <w:sz w:val="32"/>
          <w:szCs w:val="32"/>
          <w:highlight w:val="none"/>
          <w:lang w:val="en-US" w:eastAsia="zh-CN"/>
        </w:rPr>
        <w:t>控制在编制范围内</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eastAsia="zh-CN"/>
        </w:rPr>
        <w:t>2</w:t>
      </w:r>
      <w:r>
        <w:rPr>
          <w:rFonts w:hint="eastAsia" w:hAnsi="宋体"/>
          <w:sz w:val="32"/>
          <w:szCs w:val="32"/>
          <w:highlight w:val="none"/>
        </w:rPr>
        <w:t>分，自评得分为</w:t>
      </w:r>
      <w:r>
        <w:rPr>
          <w:rFonts w:hint="eastAsia" w:hAnsi="宋体"/>
          <w:sz w:val="32"/>
          <w:szCs w:val="32"/>
          <w:highlight w:val="none"/>
          <w:lang w:eastAsia="zh-CN"/>
        </w:rPr>
        <w:t>2</w:t>
      </w:r>
      <w:r>
        <w:rPr>
          <w:rFonts w:hint="eastAsia" w:hAnsi="宋体"/>
          <w:sz w:val="32"/>
          <w:szCs w:val="32"/>
          <w:highlight w:val="none"/>
        </w:rPr>
        <w:t>分，得分率为100%。</w:t>
      </w:r>
    </w:p>
    <w:p w14:paraId="7705AFA7">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eastAsia="zh-CN"/>
        </w:rPr>
        <w:t>2</w:t>
      </w:r>
      <w:r>
        <w:rPr>
          <w:rFonts w:hint="eastAsia" w:hAnsi="宋体"/>
          <w:sz w:val="32"/>
          <w:szCs w:val="32"/>
        </w:rPr>
        <w:t>分，得分率为100%。</w:t>
      </w:r>
    </w:p>
    <w:p w14:paraId="402BA4FF">
      <w:pPr>
        <w:pStyle w:val="5"/>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仿宋_GB2312"/>
          <w:sz w:val="32"/>
          <w:szCs w:val="36"/>
          <w:highlight w:val="none"/>
          <w:lang w:val="en-US" w:eastAsia="zh-CN"/>
        </w:rPr>
      </w:pPr>
      <w:bookmarkStart w:id="50" w:name="_Toc40046032"/>
      <w:r>
        <w:rPr>
          <w:rFonts w:hint="eastAsia"/>
          <w:sz w:val="32"/>
          <w:szCs w:val="36"/>
          <w:highlight w:val="none"/>
          <w:lang w:val="en-US" w:eastAsia="zh-CN"/>
        </w:rPr>
        <w:t>3.</w:t>
      </w:r>
      <w:r>
        <w:rPr>
          <w:rFonts w:hint="eastAsia"/>
          <w:sz w:val="32"/>
          <w:szCs w:val="36"/>
          <w:highlight w:val="none"/>
        </w:rPr>
        <w:t>履职效果</w:t>
      </w:r>
      <w:bookmarkEnd w:id="50"/>
      <w:r>
        <w:rPr>
          <w:rFonts w:hint="eastAsia"/>
          <w:sz w:val="32"/>
          <w:szCs w:val="36"/>
          <w:highlight w:val="none"/>
          <w:lang w:val="en-US" w:eastAsia="zh-CN"/>
        </w:rPr>
        <w:t>目标完成情况分析</w:t>
      </w:r>
    </w:p>
    <w:p w14:paraId="128B297C">
      <w:pPr>
        <w:pageBreakBefore w:val="0"/>
        <w:widowControl w:val="0"/>
        <w:kinsoku/>
        <w:wordWrap/>
        <w:overflowPunct/>
        <w:topLinePunct w:val="0"/>
        <w:autoSpaceDE/>
        <w:autoSpaceDN/>
        <w:bidi w:val="0"/>
        <w:adjustRightInd/>
        <w:snapToGrid/>
        <w:spacing w:line="560" w:lineRule="exact"/>
        <w:textAlignment w:val="auto"/>
        <w:rPr>
          <w:rFonts w:ascii="仿宋_GB2312"/>
          <w:sz w:val="32"/>
          <w:szCs w:val="24"/>
          <w:highlight w:val="none"/>
        </w:rPr>
      </w:pPr>
      <w:r>
        <w:rPr>
          <w:rFonts w:hint="eastAsia"/>
          <w:sz w:val="32"/>
          <w:szCs w:val="24"/>
          <w:highlight w:val="none"/>
        </w:rPr>
        <w:t>履职效果指标包括部门履职</w:t>
      </w:r>
      <w:r>
        <w:rPr>
          <w:rFonts w:hint="eastAsia"/>
          <w:sz w:val="32"/>
          <w:szCs w:val="24"/>
          <w:highlight w:val="none"/>
          <w:lang w:val="en-US" w:eastAsia="zh-CN"/>
        </w:rPr>
        <w:t>目标</w:t>
      </w:r>
      <w:r>
        <w:rPr>
          <w:rFonts w:hint="eastAsia"/>
          <w:sz w:val="32"/>
          <w:szCs w:val="24"/>
          <w:highlight w:val="none"/>
        </w:rPr>
        <w:t>、</w:t>
      </w:r>
      <w:r>
        <w:rPr>
          <w:rFonts w:hint="eastAsia"/>
          <w:sz w:val="32"/>
          <w:szCs w:val="24"/>
          <w:highlight w:val="none"/>
          <w:lang w:val="en-US" w:eastAsia="zh-CN"/>
        </w:rPr>
        <w:t>部门效果、服务对象满意度及</w:t>
      </w:r>
      <w:r>
        <w:rPr>
          <w:rFonts w:hint="eastAsia"/>
          <w:sz w:val="32"/>
          <w:szCs w:val="24"/>
          <w:highlight w:val="none"/>
        </w:rPr>
        <w:t>社会影响</w:t>
      </w:r>
      <w:r>
        <w:rPr>
          <w:rFonts w:hint="eastAsia"/>
          <w:sz w:val="32"/>
          <w:szCs w:val="24"/>
          <w:highlight w:val="none"/>
          <w:lang w:val="en-US" w:eastAsia="zh-CN"/>
        </w:rPr>
        <w:t>4</w:t>
      </w:r>
      <w:r>
        <w:rPr>
          <w:rFonts w:hint="eastAsia"/>
          <w:sz w:val="32"/>
          <w:szCs w:val="24"/>
          <w:highlight w:val="none"/>
        </w:rPr>
        <w:t>个二级指标，下设</w:t>
      </w:r>
      <w:r>
        <w:rPr>
          <w:rFonts w:hint="eastAsia"/>
          <w:sz w:val="32"/>
          <w:szCs w:val="24"/>
          <w:highlight w:val="none"/>
          <w:lang w:val="en-US" w:eastAsia="zh-CN"/>
        </w:rPr>
        <w:t>16</w:t>
      </w:r>
      <w:r>
        <w:rPr>
          <w:rFonts w:hint="eastAsia"/>
          <w:sz w:val="32"/>
          <w:szCs w:val="24"/>
          <w:highlight w:val="none"/>
        </w:rPr>
        <w:t>个三级指标。履职效果指标分值</w:t>
      </w:r>
      <w:r>
        <w:rPr>
          <w:rFonts w:hint="eastAsia"/>
          <w:sz w:val="32"/>
          <w:szCs w:val="24"/>
          <w:highlight w:val="none"/>
          <w:lang w:val="en-US" w:eastAsia="zh-CN"/>
        </w:rPr>
        <w:t>60</w:t>
      </w:r>
      <w:r>
        <w:rPr>
          <w:rFonts w:hint="eastAsia"/>
          <w:sz w:val="32"/>
          <w:szCs w:val="24"/>
          <w:highlight w:val="none"/>
        </w:rPr>
        <w:t>分，自评</w:t>
      </w:r>
      <w:r>
        <w:rPr>
          <w:sz w:val="32"/>
          <w:szCs w:val="24"/>
          <w:highlight w:val="none"/>
        </w:rPr>
        <w:t>得</w:t>
      </w:r>
      <w:r>
        <w:rPr>
          <w:rFonts w:hint="eastAsia"/>
          <w:sz w:val="32"/>
          <w:szCs w:val="24"/>
          <w:highlight w:val="none"/>
        </w:rPr>
        <w:t>分</w:t>
      </w:r>
      <w:r>
        <w:rPr>
          <w:rFonts w:hint="eastAsia"/>
          <w:sz w:val="32"/>
          <w:szCs w:val="24"/>
          <w:highlight w:val="none"/>
          <w:lang w:val="en-US" w:eastAsia="zh-CN"/>
        </w:rPr>
        <w:t>54.7</w:t>
      </w:r>
      <w:r>
        <w:rPr>
          <w:rFonts w:hint="eastAsia"/>
          <w:sz w:val="32"/>
          <w:szCs w:val="24"/>
          <w:highlight w:val="none"/>
        </w:rPr>
        <w:t>分，</w:t>
      </w:r>
      <w:r>
        <w:rPr>
          <w:rFonts w:hint="eastAsia"/>
          <w:sz w:val="32"/>
          <w:szCs w:val="24"/>
          <w:highlight w:val="none"/>
          <w:lang w:eastAsia="zh-CN"/>
        </w:rPr>
        <w:t>得分率为</w:t>
      </w:r>
      <w:r>
        <w:rPr>
          <w:rFonts w:hint="eastAsia"/>
          <w:sz w:val="32"/>
          <w:szCs w:val="24"/>
          <w:highlight w:val="none"/>
          <w:lang w:val="en-US" w:eastAsia="zh-CN"/>
        </w:rPr>
        <w:t>91.17</w:t>
      </w:r>
      <w:r>
        <w:rPr>
          <w:sz w:val="32"/>
          <w:szCs w:val="24"/>
          <w:highlight w:val="none"/>
        </w:rPr>
        <w:t>%</w:t>
      </w:r>
      <w:r>
        <w:rPr>
          <w:rFonts w:hint="eastAsia"/>
          <w:sz w:val="32"/>
          <w:szCs w:val="24"/>
          <w:highlight w:val="none"/>
        </w:rPr>
        <w:t>。</w:t>
      </w:r>
    </w:p>
    <w:tbl>
      <w:tblPr>
        <w:tblStyle w:val="21"/>
        <w:tblW w:w="839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4DD8D9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jc w:val="center"/>
        </w:trPr>
        <w:tc>
          <w:tcPr>
            <w:tcW w:w="3288" w:type="dxa"/>
            <w:shd w:val="clear" w:color="auto" w:fill="BDD6EE"/>
            <w:vAlign w:val="center"/>
          </w:tcPr>
          <w:p w14:paraId="0B2B3FB0">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701" w:type="dxa"/>
            <w:shd w:val="clear" w:color="auto" w:fill="BDD6EE"/>
            <w:vAlign w:val="center"/>
          </w:tcPr>
          <w:p w14:paraId="32B8B9E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701" w:type="dxa"/>
            <w:shd w:val="clear" w:color="auto" w:fill="BDD6EE"/>
            <w:vAlign w:val="center"/>
          </w:tcPr>
          <w:p w14:paraId="71A2C121">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1701" w:type="dxa"/>
            <w:shd w:val="clear" w:color="auto" w:fill="BDD6EE"/>
            <w:vAlign w:val="center"/>
          </w:tcPr>
          <w:p w14:paraId="1623DEC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14:paraId="6BFDF9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1A15D58F">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p>
        </w:tc>
        <w:tc>
          <w:tcPr>
            <w:tcW w:w="1701" w:type="dxa"/>
            <w:vAlign w:val="center"/>
          </w:tcPr>
          <w:p w14:paraId="2A3D3C9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33.34</w:t>
            </w:r>
          </w:p>
        </w:tc>
        <w:tc>
          <w:tcPr>
            <w:tcW w:w="1701" w:type="dxa"/>
            <w:vAlign w:val="center"/>
          </w:tcPr>
          <w:p w14:paraId="2E01E49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30.04</w:t>
            </w:r>
          </w:p>
        </w:tc>
        <w:tc>
          <w:tcPr>
            <w:tcW w:w="1701" w:type="dxa"/>
            <w:vAlign w:val="center"/>
          </w:tcPr>
          <w:p w14:paraId="79185DD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90.10</w:t>
            </w:r>
            <w:r>
              <w:rPr>
                <w:rFonts w:hint="eastAsia" w:ascii="宋体" w:hAnsi="宋体" w:eastAsia="宋体" w:cs="宋体"/>
                <w:color w:val="000000"/>
                <w:kern w:val="0"/>
                <w:sz w:val="22"/>
                <w:szCs w:val="22"/>
                <w:highlight w:val="none"/>
              </w:rPr>
              <w:t>%</w:t>
            </w:r>
          </w:p>
        </w:tc>
      </w:tr>
      <w:tr w14:paraId="0B701E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2D53D43A">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部门效果</w:t>
            </w:r>
          </w:p>
        </w:tc>
        <w:tc>
          <w:tcPr>
            <w:tcW w:w="1701" w:type="dxa"/>
            <w:vAlign w:val="center"/>
          </w:tcPr>
          <w:p w14:paraId="410F074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vAlign w:val="center"/>
          </w:tcPr>
          <w:p w14:paraId="0E272DD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w:t>
            </w:r>
          </w:p>
        </w:tc>
        <w:tc>
          <w:tcPr>
            <w:tcW w:w="1701" w:type="dxa"/>
            <w:vAlign w:val="center"/>
          </w:tcPr>
          <w:p w14:paraId="4430EB0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80</w:t>
            </w:r>
            <w:r>
              <w:rPr>
                <w:rFonts w:hint="eastAsia" w:ascii="宋体" w:hAnsi="宋体" w:eastAsia="宋体" w:cs="宋体"/>
                <w:color w:val="000000"/>
                <w:kern w:val="0"/>
                <w:sz w:val="22"/>
                <w:szCs w:val="22"/>
                <w:highlight w:val="none"/>
              </w:rPr>
              <w:t>%</w:t>
            </w:r>
          </w:p>
        </w:tc>
      </w:tr>
      <w:tr w14:paraId="1207CD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77E4B7FB">
            <w:pPr>
              <w:widowControl/>
              <w:wordWrap/>
              <w:autoSpaceDE w:val="0"/>
              <w:autoSpaceDN w:val="0"/>
              <w:adjustRightInd/>
              <w:snapToGrid/>
              <w:spacing w:line="240" w:lineRule="auto"/>
              <w:jc w:val="left"/>
              <w:rPr>
                <w:rFonts w:hint="default" w:hAnsi="宋体"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服务对象满意度</w:t>
            </w:r>
          </w:p>
        </w:tc>
        <w:tc>
          <w:tcPr>
            <w:tcW w:w="1701" w:type="dxa"/>
            <w:vAlign w:val="center"/>
          </w:tcPr>
          <w:p w14:paraId="53E8D8E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vAlign w:val="center"/>
          </w:tcPr>
          <w:p w14:paraId="5D3D17B6">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vAlign w:val="center"/>
          </w:tcPr>
          <w:p w14:paraId="677F0F1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p>
        </w:tc>
      </w:tr>
      <w:tr w14:paraId="234C0F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27213E08">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701" w:type="dxa"/>
            <w:vAlign w:val="center"/>
          </w:tcPr>
          <w:p w14:paraId="3A03185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6.66</w:t>
            </w:r>
          </w:p>
        </w:tc>
        <w:tc>
          <w:tcPr>
            <w:tcW w:w="1701" w:type="dxa"/>
            <w:vAlign w:val="center"/>
          </w:tcPr>
          <w:p w14:paraId="37DE520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6.66</w:t>
            </w:r>
          </w:p>
        </w:tc>
        <w:tc>
          <w:tcPr>
            <w:tcW w:w="1701" w:type="dxa"/>
            <w:vAlign w:val="center"/>
          </w:tcPr>
          <w:p w14:paraId="31C67EF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14:paraId="6A3D47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shd w:val="clear" w:color="auto" w:fill="BDD6EE"/>
            <w:vAlign w:val="center"/>
          </w:tcPr>
          <w:p w14:paraId="208DE887">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701" w:type="dxa"/>
            <w:shd w:val="clear" w:color="auto" w:fill="BDD6EE"/>
            <w:vAlign w:val="center"/>
          </w:tcPr>
          <w:p w14:paraId="1B526CE5">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60</w:t>
            </w:r>
          </w:p>
        </w:tc>
        <w:tc>
          <w:tcPr>
            <w:tcW w:w="1701" w:type="dxa"/>
            <w:shd w:val="clear" w:color="auto" w:fill="BDD6EE"/>
            <w:vAlign w:val="center"/>
          </w:tcPr>
          <w:p w14:paraId="207BADE2">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54.7</w:t>
            </w:r>
          </w:p>
        </w:tc>
        <w:tc>
          <w:tcPr>
            <w:tcW w:w="1701" w:type="dxa"/>
            <w:shd w:val="clear" w:color="auto" w:fill="BDD6EE"/>
            <w:vAlign w:val="center"/>
          </w:tcPr>
          <w:p w14:paraId="068FCCF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91.17%</w:t>
            </w:r>
          </w:p>
        </w:tc>
      </w:tr>
    </w:tbl>
    <w:p w14:paraId="2E9E2B9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rPr>
      </w:pPr>
      <w:r>
        <w:rPr>
          <w:rFonts w:hint="eastAsia"/>
          <w:b/>
          <w:bCs/>
          <w:sz w:val="32"/>
          <w:szCs w:val="32"/>
        </w:rPr>
        <w:t>（1）部门履职目标</w:t>
      </w:r>
    </w:p>
    <w:p w14:paraId="502BDED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heme="minorBidi"/>
          <w:b/>
          <w:bCs/>
          <w:kern w:val="2"/>
          <w:sz w:val="32"/>
          <w:szCs w:val="32"/>
          <w:highlight w:val="none"/>
          <w:lang w:val="en-US" w:eastAsia="zh-CN" w:bidi="ar-SA"/>
        </w:rPr>
      </w:pPr>
      <w:r>
        <w:rPr>
          <w:rFonts w:hint="eastAsia"/>
          <w:sz w:val="32"/>
          <w:szCs w:val="32"/>
          <w:highlight w:val="none"/>
        </w:rPr>
        <w:t>部门履职指标分值</w:t>
      </w:r>
      <w:r>
        <w:rPr>
          <w:rFonts w:hint="eastAsia"/>
          <w:sz w:val="32"/>
          <w:szCs w:val="32"/>
          <w:highlight w:val="none"/>
          <w:lang w:val="en-US" w:eastAsia="zh-CN"/>
        </w:rPr>
        <w:t>33.34</w:t>
      </w:r>
      <w:r>
        <w:rPr>
          <w:rFonts w:hint="eastAsia"/>
          <w:sz w:val="32"/>
          <w:szCs w:val="32"/>
          <w:highlight w:val="none"/>
        </w:rPr>
        <w:t>分，自评得分</w:t>
      </w:r>
      <w:r>
        <w:rPr>
          <w:rFonts w:hint="eastAsia"/>
          <w:sz w:val="32"/>
          <w:szCs w:val="32"/>
          <w:highlight w:val="none"/>
          <w:lang w:val="en-US" w:eastAsia="zh-CN"/>
        </w:rPr>
        <w:t>30.04</w:t>
      </w:r>
      <w:r>
        <w:rPr>
          <w:rFonts w:hint="eastAsia"/>
          <w:sz w:val="32"/>
          <w:szCs w:val="32"/>
          <w:highlight w:val="none"/>
        </w:rPr>
        <w:t>分，得分率为</w:t>
      </w:r>
      <w:r>
        <w:rPr>
          <w:rFonts w:hint="eastAsia"/>
          <w:sz w:val="32"/>
          <w:szCs w:val="32"/>
          <w:highlight w:val="none"/>
          <w:lang w:val="en-US" w:eastAsia="zh-CN"/>
        </w:rPr>
        <w:t>90.10</w:t>
      </w:r>
      <w:r>
        <w:rPr>
          <w:rFonts w:hint="eastAsia"/>
          <w:sz w:val="32"/>
          <w:szCs w:val="32"/>
          <w:highlight w:val="none"/>
        </w:rPr>
        <w:t>%。</w:t>
      </w:r>
    </w:p>
    <w:p w14:paraId="4B6C0E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lang w:val="en-US" w:eastAsia="zh-CN"/>
        </w:rPr>
      </w:pPr>
      <w:r>
        <w:rPr>
          <w:rFonts w:hint="eastAsia" w:ascii="仿宋_GB2312" w:hAnsi="宋体" w:eastAsia="仿宋_GB2312" w:cstheme="minorBidi"/>
          <w:b/>
          <w:bCs/>
          <w:kern w:val="2"/>
          <w:sz w:val="32"/>
          <w:szCs w:val="32"/>
          <w:lang w:val="en-US" w:eastAsia="zh-CN" w:bidi="ar-SA"/>
        </w:rPr>
        <w:t>民</w:t>
      </w:r>
      <w:r>
        <w:rPr>
          <w:rFonts w:hint="eastAsia" w:hAnsi="宋体" w:cstheme="minorBidi"/>
          <w:b/>
          <w:bCs/>
          <w:kern w:val="2"/>
          <w:sz w:val="32"/>
          <w:szCs w:val="32"/>
          <w:lang w:val="en-US" w:eastAsia="zh-CN" w:bidi="ar-SA"/>
        </w:rPr>
        <w:t>商</w:t>
      </w:r>
      <w:r>
        <w:rPr>
          <w:rFonts w:hint="eastAsia" w:ascii="仿宋_GB2312" w:hAnsi="宋体" w:eastAsia="仿宋_GB2312" w:cstheme="minorBidi"/>
          <w:b/>
          <w:bCs/>
          <w:kern w:val="2"/>
          <w:sz w:val="32"/>
          <w:szCs w:val="32"/>
          <w:lang w:val="en-US" w:eastAsia="zh-CN" w:bidi="ar-SA"/>
        </w:rPr>
        <w:t>事案件审结率：</w:t>
      </w:r>
      <w:r>
        <w:rPr>
          <w:rFonts w:hint="eastAsia" w:hAnsi="宋体" w:cstheme="minorBidi"/>
          <w:b w:val="0"/>
          <w:bCs w:val="0"/>
          <w:kern w:val="2"/>
          <w:sz w:val="32"/>
          <w:szCs w:val="32"/>
          <w:lang w:val="en-US" w:eastAsia="zh-CN" w:bidi="ar-SA"/>
        </w:rPr>
        <w:t>我院民商事案件审结率年度指标值≥90%，实际完成97%，</w:t>
      </w:r>
      <w:r>
        <w:rPr>
          <w:rFonts w:hint="eastAsia" w:hAnsi="宋体"/>
          <w:b w:val="0"/>
          <w:bCs w:val="0"/>
          <w:sz w:val="32"/>
          <w:szCs w:val="32"/>
        </w:rPr>
        <w:t>该指标分值</w:t>
      </w:r>
      <w:r>
        <w:rPr>
          <w:rFonts w:hint="eastAsia" w:hAnsi="宋体"/>
          <w:b w:val="0"/>
          <w:bCs w:val="0"/>
          <w:sz w:val="32"/>
          <w:szCs w:val="32"/>
          <w:lang w:val="en-US" w:eastAsia="zh-CN"/>
        </w:rPr>
        <w:t>3.34</w:t>
      </w:r>
      <w:r>
        <w:rPr>
          <w:rFonts w:hint="eastAsia" w:hAnsi="宋体"/>
          <w:b w:val="0"/>
          <w:bCs w:val="0"/>
          <w:sz w:val="32"/>
          <w:szCs w:val="32"/>
        </w:rPr>
        <w:t>分，自评得分为</w:t>
      </w:r>
      <w:r>
        <w:rPr>
          <w:rFonts w:hint="eastAsia" w:hAnsi="宋体"/>
          <w:b w:val="0"/>
          <w:bCs w:val="0"/>
          <w:sz w:val="32"/>
          <w:szCs w:val="32"/>
          <w:lang w:val="en-US" w:eastAsia="zh-CN"/>
        </w:rPr>
        <w:t>3.34</w:t>
      </w:r>
      <w:r>
        <w:rPr>
          <w:rFonts w:hint="eastAsia" w:hAnsi="宋体"/>
          <w:b w:val="0"/>
          <w:bCs w:val="0"/>
          <w:sz w:val="32"/>
          <w:szCs w:val="32"/>
        </w:rPr>
        <w:t>分，得分率为</w:t>
      </w:r>
      <w:r>
        <w:rPr>
          <w:rFonts w:hint="eastAsia" w:hAnsi="宋体"/>
          <w:b w:val="0"/>
          <w:bCs w:val="0"/>
          <w:sz w:val="32"/>
          <w:szCs w:val="32"/>
          <w:lang w:val="en-US" w:eastAsia="zh-CN"/>
        </w:rPr>
        <w:t>100%。</w:t>
      </w:r>
    </w:p>
    <w:p w14:paraId="2776E0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rPr>
      </w:pPr>
      <w:r>
        <w:rPr>
          <w:rFonts w:hint="eastAsia" w:hAnsi="宋体" w:cstheme="minorBidi"/>
          <w:b/>
          <w:bCs/>
          <w:kern w:val="2"/>
          <w:sz w:val="32"/>
          <w:szCs w:val="32"/>
          <w:lang w:val="en-US" w:eastAsia="zh-CN" w:bidi="ar-SA"/>
        </w:rPr>
        <w:t>行政</w:t>
      </w:r>
      <w:r>
        <w:rPr>
          <w:rFonts w:hint="eastAsia" w:ascii="仿宋_GB2312" w:hAnsi="宋体" w:eastAsia="仿宋_GB2312" w:cstheme="minorBidi"/>
          <w:b/>
          <w:bCs/>
          <w:kern w:val="2"/>
          <w:sz w:val="32"/>
          <w:szCs w:val="32"/>
          <w:lang w:val="en-US" w:eastAsia="zh-CN" w:bidi="ar-SA"/>
        </w:rPr>
        <w:t>案件审结率：</w:t>
      </w:r>
      <w:r>
        <w:rPr>
          <w:rFonts w:hint="eastAsia" w:hAnsi="宋体" w:cstheme="minorBidi"/>
          <w:b w:val="0"/>
          <w:bCs w:val="0"/>
          <w:kern w:val="2"/>
          <w:sz w:val="32"/>
          <w:szCs w:val="32"/>
          <w:lang w:val="en-US" w:eastAsia="zh-CN" w:bidi="ar-SA"/>
        </w:rPr>
        <w:t>我院行政案件审结率年度指标值≥90%，实际完成100%，</w:t>
      </w:r>
      <w:r>
        <w:rPr>
          <w:rFonts w:hint="eastAsia" w:hAnsi="宋体"/>
          <w:b w:val="0"/>
          <w:bCs w:val="0"/>
          <w:sz w:val="32"/>
          <w:szCs w:val="32"/>
        </w:rPr>
        <w:t>该指标分值</w:t>
      </w:r>
      <w:r>
        <w:rPr>
          <w:rFonts w:hint="eastAsia" w:hAnsi="宋体"/>
          <w:b w:val="0"/>
          <w:bCs w:val="0"/>
          <w:sz w:val="32"/>
          <w:szCs w:val="32"/>
          <w:lang w:val="en-US" w:eastAsia="zh-CN"/>
        </w:rPr>
        <w:t>3.34</w:t>
      </w:r>
      <w:r>
        <w:rPr>
          <w:rFonts w:hint="eastAsia" w:hAnsi="宋体"/>
          <w:b w:val="0"/>
          <w:bCs w:val="0"/>
          <w:sz w:val="32"/>
          <w:szCs w:val="32"/>
        </w:rPr>
        <w:t>分，自评得分为</w:t>
      </w:r>
      <w:r>
        <w:rPr>
          <w:rFonts w:hint="eastAsia" w:hAnsi="宋体"/>
          <w:b w:val="0"/>
          <w:bCs w:val="0"/>
          <w:sz w:val="32"/>
          <w:szCs w:val="32"/>
          <w:lang w:val="en-US" w:eastAsia="zh-CN"/>
        </w:rPr>
        <w:t>3.34</w:t>
      </w:r>
      <w:r>
        <w:rPr>
          <w:rFonts w:hint="eastAsia" w:hAnsi="宋体"/>
          <w:b w:val="0"/>
          <w:bCs w:val="0"/>
          <w:sz w:val="32"/>
          <w:szCs w:val="32"/>
        </w:rPr>
        <w:t>分，得分率为</w:t>
      </w:r>
      <w:r>
        <w:rPr>
          <w:rFonts w:hint="eastAsia" w:hAnsi="宋体"/>
          <w:b w:val="0"/>
          <w:bCs w:val="0"/>
          <w:sz w:val="32"/>
          <w:szCs w:val="32"/>
          <w:lang w:val="en-US" w:eastAsia="zh-CN"/>
        </w:rPr>
        <w:t>100%。</w:t>
      </w:r>
    </w:p>
    <w:p w14:paraId="3E47739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lang w:val="en-US" w:eastAsia="zh-CN"/>
        </w:rPr>
      </w:pPr>
      <w:r>
        <w:rPr>
          <w:rFonts w:hint="eastAsia" w:ascii="仿宋_GB2312" w:hAnsi="宋体" w:eastAsia="仿宋_GB2312" w:cstheme="minorBidi"/>
          <w:b/>
          <w:bCs/>
          <w:kern w:val="2"/>
          <w:sz w:val="32"/>
          <w:szCs w:val="32"/>
          <w:lang w:val="en-US" w:eastAsia="zh-CN" w:bidi="ar-SA"/>
        </w:rPr>
        <w:t>刑事案件审结率：</w:t>
      </w:r>
      <w:r>
        <w:rPr>
          <w:rFonts w:hint="eastAsia" w:hAnsi="宋体" w:cstheme="minorBidi"/>
          <w:b w:val="0"/>
          <w:bCs w:val="0"/>
          <w:kern w:val="2"/>
          <w:sz w:val="32"/>
          <w:szCs w:val="32"/>
          <w:lang w:val="en-US" w:eastAsia="zh-CN" w:bidi="ar-SA"/>
        </w:rPr>
        <w:t>我院</w:t>
      </w:r>
      <w:r>
        <w:rPr>
          <w:rFonts w:hint="eastAsia" w:ascii="仿宋_GB2312" w:hAnsi="宋体" w:eastAsia="仿宋_GB2312" w:cstheme="minorBidi"/>
          <w:b w:val="0"/>
          <w:bCs w:val="0"/>
          <w:kern w:val="2"/>
          <w:sz w:val="32"/>
          <w:szCs w:val="32"/>
          <w:lang w:val="en-US" w:eastAsia="zh-CN" w:bidi="ar-SA"/>
        </w:rPr>
        <w:t>刑事案件审结率</w:t>
      </w:r>
      <w:r>
        <w:rPr>
          <w:rFonts w:hint="eastAsia" w:hAnsi="宋体" w:cstheme="minorBidi"/>
          <w:b w:val="0"/>
          <w:bCs w:val="0"/>
          <w:kern w:val="2"/>
          <w:sz w:val="32"/>
          <w:szCs w:val="32"/>
          <w:lang w:val="en-US" w:eastAsia="zh-CN" w:bidi="ar-SA"/>
        </w:rPr>
        <w:t>年度指标值≥90%，实际完成99.42%，</w:t>
      </w:r>
      <w:r>
        <w:rPr>
          <w:rFonts w:hint="eastAsia" w:hAnsi="宋体"/>
          <w:sz w:val="32"/>
          <w:szCs w:val="32"/>
        </w:rPr>
        <w:t>该指标分值</w:t>
      </w:r>
      <w:r>
        <w:rPr>
          <w:rFonts w:hint="eastAsia" w:hAnsi="宋体"/>
          <w:sz w:val="32"/>
          <w:szCs w:val="32"/>
          <w:lang w:val="en-US" w:eastAsia="zh-CN"/>
        </w:rPr>
        <w:t>3.34</w:t>
      </w:r>
      <w:r>
        <w:rPr>
          <w:rFonts w:hint="eastAsia" w:hAnsi="宋体"/>
          <w:sz w:val="32"/>
          <w:szCs w:val="32"/>
        </w:rPr>
        <w:t>分，自评得分为</w:t>
      </w:r>
      <w:r>
        <w:rPr>
          <w:rFonts w:hint="eastAsia" w:hAnsi="宋体"/>
          <w:sz w:val="32"/>
          <w:szCs w:val="32"/>
          <w:lang w:val="en-US" w:eastAsia="zh-CN"/>
        </w:rPr>
        <w:t>3.34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06F11D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eastAsia="仿宋_GB2312"/>
          <w:sz w:val="32"/>
          <w:szCs w:val="32"/>
          <w:highlight w:val="none"/>
          <w:lang w:eastAsia="zh-CN"/>
        </w:rPr>
      </w:pPr>
      <w:r>
        <w:rPr>
          <w:rFonts w:hint="eastAsia" w:ascii="仿宋_GB2312" w:hAnsi="宋体" w:eastAsia="仿宋_GB2312" w:cstheme="minorBidi"/>
          <w:b/>
          <w:bCs/>
          <w:kern w:val="2"/>
          <w:sz w:val="32"/>
          <w:szCs w:val="32"/>
          <w:lang w:val="en-US" w:eastAsia="zh-CN" w:bidi="ar-SA"/>
        </w:rPr>
        <w:t>执行案件执结率</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我院执行案件执结率年度指标值≥85%，实际完成95.95%，</w:t>
      </w:r>
      <w:r>
        <w:rPr>
          <w:rFonts w:hint="eastAsia" w:hAnsi="宋体"/>
          <w:sz w:val="32"/>
          <w:szCs w:val="32"/>
        </w:rPr>
        <w:t>该指标分值</w:t>
      </w:r>
      <w:r>
        <w:rPr>
          <w:rFonts w:hint="eastAsia" w:hAnsi="宋体"/>
          <w:sz w:val="32"/>
          <w:szCs w:val="32"/>
          <w:lang w:val="en-US" w:eastAsia="zh-CN"/>
        </w:rPr>
        <w:t>3.34</w:t>
      </w:r>
      <w:r>
        <w:rPr>
          <w:rFonts w:hint="eastAsia" w:hAnsi="宋体"/>
          <w:sz w:val="32"/>
          <w:szCs w:val="32"/>
        </w:rPr>
        <w:t>分，自评得分为</w:t>
      </w:r>
      <w:r>
        <w:rPr>
          <w:rFonts w:hint="eastAsia" w:hAnsi="宋体"/>
          <w:sz w:val="32"/>
          <w:szCs w:val="32"/>
          <w:lang w:val="en-US" w:eastAsia="zh-CN"/>
        </w:rPr>
        <w:t>3.34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b w:val="0"/>
          <w:bCs w:val="0"/>
          <w:sz w:val="32"/>
          <w:szCs w:val="32"/>
          <w:lang w:val="en-US" w:eastAsia="zh-CN"/>
        </w:rPr>
        <w:t>。</w:t>
      </w:r>
    </w:p>
    <w:p w14:paraId="7A93F1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hAnsi="宋体" w:cstheme="minorBidi"/>
          <w:b/>
          <w:bCs/>
          <w:kern w:val="2"/>
          <w:sz w:val="32"/>
          <w:szCs w:val="32"/>
          <w:highlight w:val="none"/>
          <w:lang w:val="en-US" w:eastAsia="zh-CN" w:bidi="ar-SA"/>
        </w:rPr>
      </w:pPr>
      <w:r>
        <w:rPr>
          <w:rFonts w:hint="eastAsia" w:hAnsi="宋体" w:cstheme="minorBidi"/>
          <w:b/>
          <w:bCs/>
          <w:kern w:val="2"/>
          <w:sz w:val="32"/>
          <w:szCs w:val="32"/>
          <w:highlight w:val="none"/>
          <w:lang w:val="en-US" w:eastAsia="zh-CN" w:bidi="ar-SA"/>
        </w:rPr>
        <w:t>装备购置完成情况：</w:t>
      </w:r>
      <w:r>
        <w:rPr>
          <w:rFonts w:hint="eastAsia" w:hAnsi="宋体" w:cstheme="minorBidi"/>
          <w:b w:val="0"/>
          <w:bCs w:val="0"/>
          <w:kern w:val="2"/>
          <w:sz w:val="32"/>
          <w:szCs w:val="32"/>
          <w:highlight w:val="none"/>
          <w:lang w:val="en-US" w:eastAsia="zh-CN" w:bidi="ar-SA"/>
        </w:rPr>
        <w:t>我院按照年初采购计划进行装备采购，不断完善</w:t>
      </w:r>
      <w:r>
        <w:rPr>
          <w:rFonts w:hint="eastAsia"/>
          <w:sz w:val="32"/>
          <w:szCs w:val="32"/>
          <w:highlight w:val="none"/>
        </w:rPr>
        <w:t>配套设施，</w:t>
      </w:r>
      <w:r>
        <w:rPr>
          <w:sz w:val="32"/>
          <w:szCs w:val="32"/>
          <w:highlight w:val="none"/>
        </w:rPr>
        <w:t>持续改善执法办案条件，</w:t>
      </w:r>
      <w:r>
        <w:rPr>
          <w:rFonts w:hint="eastAsia" w:hAnsi="宋体" w:cstheme="minorBidi"/>
          <w:b w:val="0"/>
          <w:bCs w:val="0"/>
          <w:kern w:val="2"/>
          <w:sz w:val="32"/>
          <w:szCs w:val="32"/>
          <w:highlight w:val="none"/>
          <w:lang w:val="en-US" w:eastAsia="zh-CN" w:bidi="ar-SA"/>
        </w:rPr>
        <w:t>年度采购计划完成率达到100%，</w:t>
      </w:r>
      <w:r>
        <w:rPr>
          <w:rFonts w:hint="eastAsia" w:hAnsi="宋体"/>
          <w:b w:val="0"/>
          <w:bCs w:val="0"/>
          <w:sz w:val="32"/>
          <w:szCs w:val="32"/>
          <w:highlight w:val="none"/>
        </w:rPr>
        <w:t>指标分值</w:t>
      </w:r>
      <w:r>
        <w:rPr>
          <w:rFonts w:hint="eastAsia" w:hAnsi="宋体"/>
          <w:sz w:val="32"/>
          <w:szCs w:val="32"/>
          <w:highlight w:val="none"/>
          <w:lang w:val="en-US" w:eastAsia="zh-CN"/>
        </w:rPr>
        <w:t>3.33</w:t>
      </w:r>
      <w:r>
        <w:rPr>
          <w:rFonts w:hint="eastAsia" w:hAnsi="宋体"/>
          <w:b w:val="0"/>
          <w:bCs w:val="0"/>
          <w:sz w:val="32"/>
          <w:szCs w:val="32"/>
          <w:highlight w:val="none"/>
        </w:rPr>
        <w:t>分，自评得分为</w:t>
      </w:r>
      <w:r>
        <w:rPr>
          <w:rFonts w:hint="eastAsia" w:hAnsi="宋体"/>
          <w:sz w:val="32"/>
          <w:szCs w:val="32"/>
          <w:highlight w:val="none"/>
          <w:lang w:val="en-US" w:eastAsia="zh-CN"/>
        </w:rPr>
        <w:t>3.33</w:t>
      </w:r>
      <w:r>
        <w:rPr>
          <w:rFonts w:hint="eastAsia" w:hAnsi="宋体"/>
          <w:b w:val="0"/>
          <w:bCs w:val="0"/>
          <w:sz w:val="32"/>
          <w:szCs w:val="32"/>
          <w:highlight w:val="none"/>
        </w:rPr>
        <w:t>分</w:t>
      </w:r>
      <w:r>
        <w:rPr>
          <w:rFonts w:hint="eastAsia" w:hAnsi="宋体"/>
          <w:sz w:val="32"/>
          <w:szCs w:val="32"/>
          <w:highlight w:val="none"/>
        </w:rPr>
        <w:t>，得分率为</w:t>
      </w:r>
      <w:r>
        <w:rPr>
          <w:rFonts w:hint="eastAsia" w:hAnsi="宋体"/>
          <w:sz w:val="32"/>
          <w:szCs w:val="32"/>
          <w:highlight w:val="none"/>
          <w:lang w:val="en-US" w:eastAsia="zh-CN"/>
        </w:rPr>
        <w:t>100</w:t>
      </w:r>
      <w:r>
        <w:rPr>
          <w:rFonts w:hint="eastAsia" w:hAnsi="宋体" w:cstheme="minorBidi"/>
          <w:b w:val="0"/>
          <w:bCs w:val="0"/>
          <w:kern w:val="2"/>
          <w:sz w:val="32"/>
          <w:szCs w:val="32"/>
          <w:highlight w:val="none"/>
          <w:lang w:val="en-US" w:eastAsia="zh-CN" w:bidi="ar-SA"/>
        </w:rPr>
        <w:t>%。</w:t>
      </w:r>
    </w:p>
    <w:p w14:paraId="089D29F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rPr>
      </w:pPr>
      <w:r>
        <w:rPr>
          <w:rFonts w:hint="eastAsia" w:hAnsi="宋体" w:cstheme="minorBidi"/>
          <w:b/>
          <w:bCs/>
          <w:kern w:val="2"/>
          <w:sz w:val="32"/>
          <w:szCs w:val="32"/>
          <w:highlight w:val="none"/>
          <w:lang w:val="en-US" w:eastAsia="zh-CN" w:bidi="ar-SA"/>
        </w:rPr>
        <w:t>再审审查率：</w:t>
      </w:r>
      <w:r>
        <w:rPr>
          <w:rFonts w:hint="eastAsia"/>
          <w:sz w:val="32"/>
          <w:szCs w:val="32"/>
        </w:rPr>
        <w:t>我院</w:t>
      </w:r>
      <w:r>
        <w:rPr>
          <w:rFonts w:hint="eastAsia"/>
          <w:sz w:val="32"/>
          <w:szCs w:val="32"/>
          <w:lang w:val="en-US" w:eastAsia="zh-CN"/>
        </w:rPr>
        <w:t>再审审查率</w:t>
      </w:r>
      <w:r>
        <w:rPr>
          <w:rFonts w:hint="eastAsia" w:hAnsi="宋体" w:cstheme="minorBidi"/>
          <w:b w:val="0"/>
          <w:bCs w:val="0"/>
          <w:kern w:val="2"/>
          <w:sz w:val="32"/>
          <w:szCs w:val="32"/>
          <w:lang w:val="en-US" w:eastAsia="zh-CN" w:bidi="ar-SA"/>
        </w:rPr>
        <w:t>年度指标值≤5%，实际完成0.05%，未达到</w:t>
      </w:r>
      <w:r>
        <w:rPr>
          <w:rFonts w:hint="eastAsia"/>
          <w:b w:val="0"/>
          <w:bCs w:val="0"/>
          <w:sz w:val="32"/>
          <w:szCs w:val="32"/>
          <w:highlight w:val="none"/>
          <w:lang w:val="en-US" w:eastAsia="zh-CN"/>
        </w:rPr>
        <w:t>年度指标值</w:t>
      </w:r>
      <w:r>
        <w:rPr>
          <w:rFonts w:hint="eastAsia"/>
          <w:sz w:val="32"/>
          <w:szCs w:val="32"/>
          <w:lang w:eastAsia="zh-CN"/>
        </w:rPr>
        <w:t>。</w:t>
      </w:r>
      <w:r>
        <w:rPr>
          <w:rFonts w:hint="eastAsia" w:hAnsi="宋体"/>
          <w:sz w:val="32"/>
          <w:szCs w:val="32"/>
        </w:rPr>
        <w:t>指标分值</w:t>
      </w:r>
      <w:r>
        <w:rPr>
          <w:rFonts w:hint="eastAsia" w:hAnsi="宋体"/>
          <w:sz w:val="32"/>
          <w:szCs w:val="32"/>
          <w:highlight w:val="none"/>
          <w:lang w:val="en-US" w:eastAsia="zh-CN"/>
        </w:rPr>
        <w:t>3.33</w:t>
      </w:r>
      <w:r>
        <w:rPr>
          <w:rFonts w:hint="eastAsia" w:hAnsi="宋体"/>
          <w:sz w:val="32"/>
          <w:szCs w:val="32"/>
        </w:rPr>
        <w:t>分，自评得分为</w:t>
      </w:r>
      <w:r>
        <w:rPr>
          <w:rFonts w:hint="eastAsia" w:hAnsi="宋体"/>
          <w:sz w:val="32"/>
          <w:szCs w:val="32"/>
          <w:lang w:val="en-US" w:eastAsia="zh-CN"/>
        </w:rPr>
        <w:t>0.03</w:t>
      </w:r>
      <w:r>
        <w:rPr>
          <w:rFonts w:hint="eastAsia" w:hAnsi="宋体"/>
          <w:sz w:val="32"/>
          <w:szCs w:val="32"/>
        </w:rPr>
        <w:t>分，得分率为</w:t>
      </w:r>
      <w:r>
        <w:rPr>
          <w:rFonts w:hint="eastAsia" w:hAnsi="宋体"/>
          <w:sz w:val="32"/>
          <w:szCs w:val="32"/>
          <w:lang w:val="en-US" w:eastAsia="zh-CN"/>
        </w:rPr>
        <w:t>0.9</w:t>
      </w:r>
      <w:r>
        <w:rPr>
          <w:rFonts w:hint="eastAsia" w:hAnsi="宋体"/>
          <w:sz w:val="32"/>
          <w:szCs w:val="32"/>
        </w:rPr>
        <w:t>%。</w:t>
      </w:r>
    </w:p>
    <w:p w14:paraId="4F8B00F3">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cstheme="minorBidi"/>
          <w:b w:val="0"/>
          <w:bCs w:val="0"/>
          <w:kern w:val="2"/>
          <w:sz w:val="32"/>
          <w:szCs w:val="32"/>
          <w:highlight w:val="none"/>
          <w:lang w:val="en-US" w:eastAsia="zh-CN" w:bidi="ar-SA"/>
        </w:rPr>
      </w:pPr>
      <w:r>
        <w:rPr>
          <w:rFonts w:hint="eastAsia" w:hAnsi="宋体" w:cstheme="minorBidi"/>
          <w:b/>
          <w:bCs/>
          <w:kern w:val="2"/>
          <w:sz w:val="32"/>
          <w:szCs w:val="32"/>
          <w:highlight w:val="none"/>
          <w:lang w:val="en-US" w:eastAsia="zh-CN" w:bidi="ar-SA"/>
        </w:rPr>
        <w:t>执行案件终本合格率：</w:t>
      </w:r>
      <w:r>
        <w:rPr>
          <w:rFonts w:hint="eastAsia" w:hAnsi="宋体" w:cstheme="minorBidi"/>
          <w:b w:val="0"/>
          <w:bCs w:val="0"/>
          <w:kern w:val="2"/>
          <w:sz w:val="32"/>
          <w:szCs w:val="32"/>
          <w:highlight w:val="none"/>
          <w:lang w:val="en-US" w:eastAsia="zh-CN" w:bidi="ar-SA"/>
        </w:rPr>
        <w:t>我院不断提升办案质效，执行案件终本合格率为100%，达到年度指标值。该指标3.33分，自评得分为3.33分，得分率为100%。</w:t>
      </w:r>
    </w:p>
    <w:p w14:paraId="25B986E2">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cstheme="minorBidi"/>
          <w:b/>
          <w:bCs/>
          <w:kern w:val="2"/>
          <w:sz w:val="32"/>
          <w:szCs w:val="32"/>
          <w:highlight w:val="none"/>
          <w:lang w:val="en-US" w:eastAsia="zh-CN" w:bidi="ar-SA"/>
        </w:rPr>
      </w:pPr>
      <w:r>
        <w:rPr>
          <w:rFonts w:hint="eastAsia" w:hAnsi="宋体" w:cstheme="minorBidi"/>
          <w:b/>
          <w:bCs/>
          <w:kern w:val="2"/>
          <w:sz w:val="32"/>
          <w:szCs w:val="32"/>
          <w:highlight w:val="none"/>
          <w:lang w:val="en-US" w:eastAsia="zh-CN" w:bidi="ar-SA"/>
        </w:rPr>
        <w:t>采购装备质量验收合格率：</w:t>
      </w:r>
      <w:r>
        <w:rPr>
          <w:rFonts w:hint="eastAsia"/>
          <w:color w:val="000000" w:themeColor="text1"/>
          <w:sz w:val="32"/>
          <w:szCs w:val="32"/>
          <w14:textFill>
            <w14:solidFill>
              <w14:schemeClr w14:val="tx1"/>
            </w14:solidFill>
          </w14:textFill>
        </w:rPr>
        <w:t>我院本年度所有</w:t>
      </w:r>
      <w:r>
        <w:rPr>
          <w:rFonts w:hint="eastAsia"/>
          <w:color w:val="000000" w:themeColor="text1"/>
          <w:sz w:val="32"/>
          <w:szCs w:val="32"/>
          <w:lang w:val="en-US" w:eastAsia="zh-CN"/>
          <w14:textFill>
            <w14:solidFill>
              <w14:schemeClr w14:val="tx1"/>
            </w14:solidFill>
          </w14:textFill>
        </w:rPr>
        <w:t>采购的设备</w:t>
      </w:r>
      <w:r>
        <w:rPr>
          <w:rFonts w:hint="eastAsia"/>
          <w:color w:val="000000" w:themeColor="text1"/>
          <w:sz w:val="32"/>
          <w:szCs w:val="32"/>
          <w14:textFill>
            <w14:solidFill>
              <w14:schemeClr w14:val="tx1"/>
            </w14:solidFill>
          </w14:textFill>
        </w:rPr>
        <w:t>均通过验收，符合相关质量要求，验收合格率为100%</w:t>
      </w:r>
      <w:r>
        <w:rPr>
          <w:rFonts w:hint="eastAsia"/>
          <w:color w:val="000000" w:themeColor="text1"/>
          <w:sz w:val="32"/>
          <w:szCs w:val="32"/>
          <w:lang w:eastAsia="zh-CN"/>
          <w14:textFill>
            <w14:solidFill>
              <w14:schemeClr w14:val="tx1"/>
            </w14:solidFill>
          </w14:textFill>
        </w:rPr>
        <w:t>。</w:t>
      </w:r>
      <w:r>
        <w:rPr>
          <w:rFonts w:hint="eastAsia" w:hAnsi="宋体"/>
          <w:color w:val="000000" w:themeColor="text1"/>
          <w:sz w:val="32"/>
          <w:szCs w:val="32"/>
          <w14:textFill>
            <w14:solidFill>
              <w14:schemeClr w14:val="tx1"/>
            </w14:solidFill>
          </w14:textFill>
        </w:rPr>
        <w:t>该指标分值</w:t>
      </w:r>
      <w:r>
        <w:rPr>
          <w:rFonts w:hint="eastAsia" w:hAnsi="宋体"/>
          <w:sz w:val="32"/>
          <w:szCs w:val="32"/>
          <w:highlight w:val="none"/>
          <w:lang w:val="en-US" w:eastAsia="zh-CN"/>
        </w:rPr>
        <w:t>3.33</w:t>
      </w:r>
      <w:r>
        <w:rPr>
          <w:rFonts w:hint="eastAsia" w:hAnsi="宋体"/>
          <w:color w:val="000000" w:themeColor="text1"/>
          <w:sz w:val="32"/>
          <w:szCs w:val="32"/>
          <w14:textFill>
            <w14:solidFill>
              <w14:schemeClr w14:val="tx1"/>
            </w14:solidFill>
          </w14:textFill>
        </w:rPr>
        <w:t>分，自评得分为</w:t>
      </w:r>
      <w:r>
        <w:rPr>
          <w:rFonts w:hint="eastAsia" w:hAnsi="宋体"/>
          <w:sz w:val="32"/>
          <w:szCs w:val="32"/>
          <w:highlight w:val="none"/>
          <w:lang w:val="en-US" w:eastAsia="zh-CN"/>
        </w:rPr>
        <w:t>3.33</w:t>
      </w:r>
      <w:r>
        <w:rPr>
          <w:rFonts w:hint="eastAsia" w:hAnsi="宋体"/>
          <w:color w:val="000000" w:themeColor="text1"/>
          <w:sz w:val="32"/>
          <w:szCs w:val="32"/>
          <w14:textFill>
            <w14:solidFill>
              <w14:schemeClr w14:val="tx1"/>
            </w14:solidFill>
          </w14:textFill>
        </w:rPr>
        <w:t>分，得分率为100%。</w:t>
      </w:r>
    </w:p>
    <w:p w14:paraId="39B98B68">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sz w:val="32"/>
          <w:szCs w:val="32"/>
          <w:lang w:val="en-US" w:eastAsia="zh-CN"/>
        </w:rPr>
      </w:pPr>
      <w:r>
        <w:rPr>
          <w:rFonts w:hint="eastAsia" w:hAnsi="宋体" w:cstheme="minorBidi"/>
          <w:b/>
          <w:bCs/>
          <w:kern w:val="2"/>
          <w:sz w:val="32"/>
          <w:szCs w:val="32"/>
          <w:highlight w:val="none"/>
          <w:lang w:val="en-US" w:eastAsia="zh-CN" w:bidi="ar-SA"/>
        </w:rPr>
        <w:t>装备购置完成及时性：</w:t>
      </w:r>
      <w:r>
        <w:rPr>
          <w:rFonts w:hint="eastAsia"/>
          <w:color w:val="000000" w:themeColor="text1"/>
          <w:sz w:val="32"/>
          <w:szCs w:val="32"/>
          <w14:textFill>
            <w14:solidFill>
              <w14:schemeClr w14:val="tx1"/>
            </w14:solidFill>
          </w14:textFill>
        </w:rPr>
        <w:t>我院</w:t>
      </w:r>
      <w:r>
        <w:rPr>
          <w:rFonts w:hint="eastAsia"/>
          <w:color w:val="000000" w:themeColor="text1"/>
          <w:sz w:val="32"/>
          <w:szCs w:val="32"/>
          <w:lang w:val="en-US" w:eastAsia="zh-CN"/>
          <w14:textFill>
            <w14:solidFill>
              <w14:schemeClr w14:val="tx1"/>
            </w14:solidFill>
          </w14:textFill>
        </w:rPr>
        <w:t>采购</w:t>
      </w:r>
      <w:r>
        <w:rPr>
          <w:rFonts w:hint="eastAsia"/>
          <w:color w:val="000000" w:themeColor="text1"/>
          <w:sz w:val="32"/>
          <w:szCs w:val="32"/>
          <w14:textFill>
            <w14:solidFill>
              <w14:schemeClr w14:val="tx1"/>
            </w14:solidFill>
          </w14:textFill>
        </w:rPr>
        <w:t>固定资产</w:t>
      </w:r>
      <w:r>
        <w:rPr>
          <w:rFonts w:hint="eastAsia"/>
          <w:color w:val="000000" w:themeColor="text1"/>
          <w:sz w:val="32"/>
          <w:szCs w:val="32"/>
          <w:lang w:val="en-US" w:eastAsia="zh-CN"/>
          <w14:textFill>
            <w14:solidFill>
              <w14:schemeClr w14:val="tx1"/>
            </w14:solidFill>
          </w14:textFill>
        </w:rPr>
        <w:t>及时，并全部</w:t>
      </w:r>
      <w:r>
        <w:rPr>
          <w:rFonts w:hint="eastAsia"/>
          <w:color w:val="000000" w:themeColor="text1"/>
          <w:sz w:val="32"/>
          <w:szCs w:val="32"/>
          <w14:textFill>
            <w14:solidFill>
              <w14:schemeClr w14:val="tx1"/>
            </w14:solidFill>
          </w14:textFill>
        </w:rPr>
        <w:t>通过验收，</w:t>
      </w:r>
      <w:r>
        <w:rPr>
          <w:rFonts w:hint="eastAsia"/>
          <w:color w:val="000000" w:themeColor="text1"/>
          <w:sz w:val="32"/>
          <w:szCs w:val="32"/>
          <w:lang w:eastAsia="zh-CN"/>
          <w14:textFill>
            <w14:solidFill>
              <w14:schemeClr w14:val="tx1"/>
            </w14:solidFill>
          </w14:textFill>
        </w:rPr>
        <w:t>达到年度指标值。</w:t>
      </w:r>
      <w:r>
        <w:rPr>
          <w:rFonts w:hint="eastAsia" w:hAnsi="宋体"/>
          <w:color w:val="000000" w:themeColor="text1"/>
          <w:sz w:val="32"/>
          <w:szCs w:val="32"/>
          <w14:textFill>
            <w14:solidFill>
              <w14:schemeClr w14:val="tx1"/>
            </w14:solidFill>
          </w14:textFill>
        </w:rPr>
        <w:t>该指标分值</w:t>
      </w:r>
      <w:r>
        <w:rPr>
          <w:rFonts w:hint="eastAsia" w:hAnsi="宋体"/>
          <w:sz w:val="32"/>
          <w:szCs w:val="32"/>
          <w:lang w:val="en-US" w:eastAsia="zh-CN"/>
        </w:rPr>
        <w:t>3.33</w:t>
      </w:r>
      <w:r>
        <w:rPr>
          <w:rFonts w:hint="eastAsia" w:hAnsi="宋体"/>
          <w:color w:val="000000" w:themeColor="text1"/>
          <w:sz w:val="32"/>
          <w:szCs w:val="32"/>
          <w14:textFill>
            <w14:solidFill>
              <w14:schemeClr w14:val="tx1"/>
            </w14:solidFill>
          </w14:textFill>
        </w:rPr>
        <w:t>分，自评得分为</w:t>
      </w:r>
      <w:r>
        <w:rPr>
          <w:rFonts w:hint="eastAsia" w:hAnsi="宋体"/>
          <w:sz w:val="32"/>
          <w:szCs w:val="32"/>
          <w:lang w:val="en-US" w:eastAsia="zh-CN"/>
        </w:rPr>
        <w:t>3.33</w:t>
      </w:r>
      <w:r>
        <w:rPr>
          <w:rFonts w:hint="eastAsia" w:hAnsi="宋体"/>
          <w:color w:val="000000" w:themeColor="text1"/>
          <w:sz w:val="32"/>
          <w:szCs w:val="32"/>
          <w14:textFill>
            <w14:solidFill>
              <w14:schemeClr w14:val="tx1"/>
            </w14:solidFill>
          </w14:textFill>
        </w:rPr>
        <w:t>分，得分率为100%</w:t>
      </w:r>
    </w:p>
    <w:p w14:paraId="45C8BFED">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eastAsia" w:hAnsi="宋体" w:cstheme="minorBidi"/>
          <w:b/>
          <w:bCs/>
          <w:kern w:val="2"/>
          <w:sz w:val="32"/>
          <w:szCs w:val="32"/>
          <w:highlight w:val="none"/>
          <w:lang w:val="en-US" w:eastAsia="zh-CN" w:bidi="ar-SA"/>
        </w:rPr>
        <w:t>成本控制情况：</w:t>
      </w:r>
      <w:r>
        <w:rPr>
          <w:rFonts w:hint="eastAsia"/>
          <w:sz w:val="32"/>
          <w:szCs w:val="32"/>
          <w:highlight w:val="none"/>
        </w:rPr>
        <w:t>我院全年预算资金总额为</w:t>
      </w:r>
      <w:r>
        <w:rPr>
          <w:rFonts w:hint="eastAsia"/>
          <w:sz w:val="32"/>
          <w:szCs w:val="32"/>
          <w:highlight w:val="none"/>
          <w:lang w:val="en-US" w:eastAsia="zh-CN"/>
        </w:rPr>
        <w:t>2,540.05</w:t>
      </w:r>
      <w:r>
        <w:rPr>
          <w:sz w:val="32"/>
          <w:szCs w:val="32"/>
          <w:highlight w:val="none"/>
        </w:rPr>
        <w:t>万元，实际支出</w:t>
      </w:r>
      <w:r>
        <w:rPr>
          <w:rFonts w:hint="eastAsia"/>
          <w:sz w:val="32"/>
          <w:szCs w:val="32"/>
          <w:highlight w:val="none"/>
          <w:lang w:val="en-US" w:eastAsia="zh-CN"/>
        </w:rPr>
        <w:t>2,109.13</w:t>
      </w:r>
      <w:r>
        <w:rPr>
          <w:sz w:val="32"/>
          <w:szCs w:val="32"/>
          <w:highlight w:val="none"/>
        </w:rPr>
        <w:t>万元，</w:t>
      </w:r>
      <w:r>
        <w:rPr>
          <w:rFonts w:hint="default" w:hAnsi="宋体"/>
          <w:b w:val="0"/>
          <w:bCs w:val="0"/>
          <w:sz w:val="32"/>
          <w:szCs w:val="32"/>
          <w:highlight w:val="none"/>
          <w:lang w:val="en-US" w:eastAsia="zh-CN"/>
        </w:rPr>
        <w:t>成本控制</w:t>
      </w:r>
      <w:r>
        <w:rPr>
          <w:rFonts w:hint="eastAsia" w:hAnsi="宋体"/>
          <w:b w:val="0"/>
          <w:bCs w:val="0"/>
          <w:sz w:val="32"/>
          <w:szCs w:val="32"/>
          <w:highlight w:val="none"/>
          <w:lang w:val="en-US" w:eastAsia="zh-CN"/>
        </w:rPr>
        <w:t>在预算范围内，</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分，自评得分为</w:t>
      </w:r>
      <w:r>
        <w:rPr>
          <w:rFonts w:hint="eastAsia" w:hAnsi="宋体"/>
          <w:b w:val="0"/>
          <w:bCs w:val="0"/>
          <w:sz w:val="32"/>
          <w:szCs w:val="32"/>
          <w:lang w:val="en-US" w:eastAsia="zh-CN"/>
        </w:rPr>
        <w:t>3.33</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14:paraId="4CA8BE8D">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rPr>
      </w:pPr>
      <w:r>
        <w:rPr>
          <w:rFonts w:hint="eastAsia" w:hAnsi="宋体"/>
          <w:b/>
          <w:bCs/>
          <w:sz w:val="32"/>
          <w:szCs w:val="32"/>
        </w:rPr>
        <w:t>（2）部门效果目标</w:t>
      </w:r>
    </w:p>
    <w:p w14:paraId="658A0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
          <w:b/>
          <w:bCs/>
          <w:spacing w:val="4"/>
          <w:sz w:val="32"/>
          <w:szCs w:val="32"/>
          <w:lang w:val="en-US" w:eastAsia="zh-CN"/>
        </w:rPr>
      </w:pPr>
      <w:r>
        <w:rPr>
          <w:rFonts w:hint="eastAsia"/>
          <w:sz w:val="32"/>
          <w:szCs w:val="32"/>
          <w:highlight w:val="none"/>
          <w:lang w:val="en-US" w:eastAsia="zh-CN"/>
        </w:rPr>
        <w:t>部门效果</w:t>
      </w:r>
      <w:r>
        <w:rPr>
          <w:rFonts w:hint="eastAsia"/>
          <w:sz w:val="32"/>
          <w:szCs w:val="32"/>
          <w:highlight w:val="none"/>
        </w:rPr>
        <w:t>指标分值</w:t>
      </w:r>
      <w:r>
        <w:rPr>
          <w:rFonts w:hint="eastAsia"/>
          <w:sz w:val="32"/>
          <w:szCs w:val="32"/>
          <w:highlight w:val="none"/>
          <w:lang w:val="en-US" w:eastAsia="zh-CN"/>
        </w:rPr>
        <w:t>10</w:t>
      </w:r>
      <w:r>
        <w:rPr>
          <w:rFonts w:hint="eastAsia"/>
          <w:sz w:val="32"/>
          <w:szCs w:val="32"/>
          <w:highlight w:val="none"/>
        </w:rPr>
        <w:t>分，自评得分</w:t>
      </w:r>
      <w:r>
        <w:rPr>
          <w:rFonts w:hint="eastAsia"/>
          <w:sz w:val="32"/>
          <w:szCs w:val="32"/>
          <w:highlight w:val="none"/>
          <w:lang w:val="en-US" w:eastAsia="zh-CN"/>
        </w:rPr>
        <w:t>8</w:t>
      </w:r>
      <w:r>
        <w:rPr>
          <w:rFonts w:hint="eastAsia"/>
          <w:sz w:val="32"/>
          <w:szCs w:val="32"/>
          <w:highlight w:val="none"/>
        </w:rPr>
        <w:t>分，得分率为</w:t>
      </w:r>
      <w:r>
        <w:rPr>
          <w:rFonts w:hint="eastAsia"/>
          <w:sz w:val="32"/>
          <w:szCs w:val="32"/>
          <w:highlight w:val="none"/>
          <w:lang w:val="en-US" w:eastAsia="zh-CN"/>
        </w:rPr>
        <w:t>80</w:t>
      </w:r>
      <w:r>
        <w:rPr>
          <w:rFonts w:hint="eastAsia" w:hAnsi="宋体"/>
          <w:b w:val="0"/>
          <w:bCs w:val="0"/>
          <w:sz w:val="32"/>
          <w:szCs w:val="32"/>
          <w:lang w:val="en-US" w:eastAsia="zh-CN"/>
        </w:rPr>
        <w:t>%</w:t>
      </w:r>
      <w:r>
        <w:rPr>
          <w:rFonts w:hint="eastAsia"/>
          <w:sz w:val="32"/>
          <w:szCs w:val="32"/>
          <w:highlight w:val="none"/>
        </w:rPr>
        <w:t>。</w:t>
      </w:r>
    </w:p>
    <w:p w14:paraId="3BD2EEA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hAnsi="宋体"/>
          <w:b/>
          <w:bCs/>
          <w:sz w:val="32"/>
          <w:szCs w:val="32"/>
          <w:lang w:val="en-US" w:eastAsia="zh-CN"/>
        </w:rPr>
      </w:pPr>
      <w:r>
        <w:rPr>
          <w:rFonts w:hint="eastAsia" w:hAnsi="宋体"/>
          <w:b/>
          <w:bCs/>
          <w:sz w:val="32"/>
          <w:szCs w:val="32"/>
          <w:lang w:val="en-US" w:eastAsia="zh-CN"/>
        </w:rPr>
        <w:t>执行标的到位率：</w:t>
      </w:r>
      <w:r>
        <w:rPr>
          <w:rFonts w:hint="eastAsia" w:hAnsi="宋体"/>
          <w:b w:val="0"/>
          <w:bCs w:val="0"/>
          <w:sz w:val="32"/>
          <w:szCs w:val="32"/>
          <w:lang w:val="en-US" w:eastAsia="zh-CN"/>
        </w:rPr>
        <w:t>我院执行标的到位率年度指标值为</w:t>
      </w:r>
      <w:r>
        <w:rPr>
          <w:rFonts w:hint="eastAsia" w:hAnsi="宋体" w:cstheme="minorBidi"/>
          <w:b w:val="0"/>
          <w:bCs w:val="0"/>
          <w:kern w:val="2"/>
          <w:sz w:val="32"/>
          <w:szCs w:val="32"/>
          <w:lang w:val="en-US" w:eastAsia="zh-CN" w:bidi="ar-SA"/>
        </w:rPr>
        <w:t>≥</w:t>
      </w:r>
      <w:r>
        <w:rPr>
          <w:rFonts w:hint="eastAsia" w:hAnsi="宋体"/>
          <w:b w:val="0"/>
          <w:bCs w:val="0"/>
          <w:sz w:val="32"/>
          <w:szCs w:val="32"/>
          <w:lang w:val="en-US" w:eastAsia="zh-CN"/>
        </w:rPr>
        <w:t>10%，实际完成38%，该指标分值3分，自评得分1分，得分率为33.33%。</w:t>
      </w:r>
    </w:p>
    <w:p w14:paraId="5E2ECB2D">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val="0"/>
          <w:bCs w:val="0"/>
          <w:sz w:val="32"/>
          <w:szCs w:val="32"/>
          <w:lang w:val="en-US" w:eastAsia="zh-CN"/>
        </w:rPr>
      </w:pPr>
      <w:r>
        <w:rPr>
          <w:rFonts w:hint="eastAsia" w:hAnsi="宋体"/>
          <w:b/>
          <w:bCs/>
          <w:sz w:val="32"/>
          <w:szCs w:val="32"/>
          <w:lang w:val="en-US" w:eastAsia="zh-CN"/>
        </w:rPr>
        <w:t>民商事案件调解成功率：</w:t>
      </w:r>
      <w:r>
        <w:rPr>
          <w:rFonts w:hint="eastAsia" w:hAnsi="宋体"/>
          <w:b w:val="0"/>
          <w:bCs w:val="0"/>
          <w:sz w:val="32"/>
          <w:szCs w:val="32"/>
          <w:lang w:val="en-US" w:eastAsia="zh-CN"/>
        </w:rPr>
        <w:t>我院民商事案件调解成功率年度指标值为</w:t>
      </w:r>
      <w:r>
        <w:rPr>
          <w:rFonts w:hint="eastAsia" w:hAnsi="宋体" w:cstheme="minorBidi"/>
          <w:b w:val="0"/>
          <w:bCs w:val="0"/>
          <w:kern w:val="2"/>
          <w:sz w:val="32"/>
          <w:szCs w:val="32"/>
          <w:lang w:val="en-US" w:eastAsia="zh-CN" w:bidi="ar-SA"/>
        </w:rPr>
        <w:t>≥</w:t>
      </w:r>
      <w:r>
        <w:rPr>
          <w:rFonts w:hint="eastAsia" w:hAnsi="宋体"/>
          <w:b w:val="0"/>
          <w:bCs w:val="0"/>
          <w:sz w:val="32"/>
          <w:szCs w:val="32"/>
          <w:lang w:val="en-US" w:eastAsia="zh-CN"/>
        </w:rPr>
        <w:t>50%，实际完成57.32%，该指标分值3.5分，自评得分为3.5分，得分率为100%。</w:t>
      </w:r>
    </w:p>
    <w:p w14:paraId="3A590F0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val="0"/>
          <w:bCs w:val="0"/>
          <w:sz w:val="32"/>
          <w:szCs w:val="32"/>
          <w:lang w:val="en-US" w:eastAsia="zh-CN"/>
        </w:rPr>
      </w:pPr>
      <w:r>
        <w:rPr>
          <w:rFonts w:hint="eastAsia" w:hAnsi="宋体"/>
          <w:b/>
          <w:bCs/>
          <w:sz w:val="32"/>
          <w:szCs w:val="32"/>
          <w:lang w:val="en-US" w:eastAsia="zh-CN"/>
        </w:rPr>
        <w:t>当场立案率：</w:t>
      </w:r>
      <w:r>
        <w:rPr>
          <w:rFonts w:hint="eastAsia" w:hAnsi="宋体"/>
          <w:b w:val="0"/>
          <w:bCs w:val="0"/>
          <w:sz w:val="32"/>
          <w:szCs w:val="32"/>
          <w:lang w:val="en-US" w:eastAsia="zh-CN"/>
        </w:rPr>
        <w:t>我院当场立案率年度指标值为=90%，实际完成90%，该指标分值3.5分，自评得分为3.5分，得分率为100%。</w:t>
      </w:r>
    </w:p>
    <w:p w14:paraId="7AE44A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lang w:val="en-US" w:eastAsia="zh-CN"/>
        </w:rPr>
      </w:pPr>
      <w:r>
        <w:rPr>
          <w:rFonts w:hint="eastAsia" w:hAnsi="宋体"/>
          <w:b/>
          <w:bCs/>
          <w:sz w:val="32"/>
          <w:szCs w:val="32"/>
          <w:lang w:val="en-US" w:eastAsia="zh-CN"/>
        </w:rPr>
        <w:t>服务对象满意度：</w:t>
      </w:r>
    </w:p>
    <w:p w14:paraId="19F311B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服务对象满意度指标分值10分，自评得分10分，得分率为100%。</w:t>
      </w:r>
    </w:p>
    <w:p w14:paraId="4EF90E3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val="0"/>
          <w:bCs w:val="0"/>
          <w:sz w:val="32"/>
          <w:szCs w:val="32"/>
          <w:lang w:val="en-US" w:eastAsia="zh-CN"/>
        </w:rPr>
      </w:pPr>
      <w:r>
        <w:rPr>
          <w:rFonts w:hint="eastAsia"/>
          <w:b/>
          <w:bCs/>
          <w:sz w:val="32"/>
          <w:szCs w:val="32"/>
          <w:lang w:val="en-US" w:eastAsia="zh-CN"/>
        </w:rPr>
        <w:t>当事人满意度：</w:t>
      </w:r>
      <w:r>
        <w:rPr>
          <w:rFonts w:hint="eastAsia"/>
          <w:b w:val="0"/>
          <w:bCs w:val="0"/>
          <w:sz w:val="32"/>
          <w:szCs w:val="32"/>
          <w:lang w:val="en-US" w:eastAsia="zh-CN"/>
        </w:rPr>
        <w:t>我院时刻牢记“感受司法公正的主体是人民群众”，以“如我在诉”理念回应群众急难愁盼，当事人满意度达到90%，该指标分值10分，自评得分10分，得分率为100%。</w:t>
      </w:r>
    </w:p>
    <w:p w14:paraId="6A8038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4</w:t>
      </w:r>
      <w:r>
        <w:rPr>
          <w:rFonts w:hint="eastAsia" w:hAnsi="宋体"/>
          <w:b/>
          <w:bCs/>
          <w:sz w:val="32"/>
          <w:szCs w:val="32"/>
        </w:rPr>
        <w:t>）社会影响</w:t>
      </w:r>
    </w:p>
    <w:p w14:paraId="789443DC">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社会影响</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6.66</w:t>
      </w:r>
      <w:r>
        <w:rPr>
          <w:rFonts w:hint="eastAsia"/>
          <w:sz w:val="32"/>
          <w:szCs w:val="32"/>
          <w:highlight w:val="none"/>
        </w:rPr>
        <w:t>分，自评得分</w:t>
      </w:r>
      <w:r>
        <w:rPr>
          <w:rFonts w:hint="eastAsia"/>
          <w:sz w:val="32"/>
          <w:szCs w:val="32"/>
          <w:highlight w:val="none"/>
          <w:lang w:val="en-US" w:eastAsia="zh-CN"/>
        </w:rPr>
        <w:t>6.66</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100</w:t>
      </w:r>
      <w:r>
        <w:rPr>
          <w:rFonts w:hint="eastAsia"/>
          <w:sz w:val="32"/>
          <w:szCs w:val="32"/>
          <w:highlight w:val="none"/>
        </w:rPr>
        <w:t>%。</w:t>
      </w:r>
    </w:p>
    <w:p w14:paraId="09B12E8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highlight w:val="none"/>
          <w:lang w:val="en-US" w:eastAsia="zh-CN"/>
        </w:rPr>
      </w:pPr>
      <w:r>
        <w:rPr>
          <w:rFonts w:hint="eastAsia"/>
          <w:b/>
          <w:bCs/>
          <w:sz w:val="32"/>
          <w:szCs w:val="32"/>
          <w:highlight w:val="none"/>
          <w:lang w:val="en-US" w:eastAsia="zh-CN"/>
        </w:rPr>
        <w:t>单位获奖情况：</w:t>
      </w:r>
      <w:r>
        <w:rPr>
          <w:rFonts w:hint="eastAsia"/>
          <w:b w:val="0"/>
          <w:bCs w:val="0"/>
          <w:sz w:val="32"/>
          <w:szCs w:val="32"/>
          <w:highlight w:val="none"/>
          <w:lang w:val="en-US" w:eastAsia="zh-CN"/>
        </w:rPr>
        <w:t>我院区法院全体干警忠诚履职、笃行不怠、护航发展，1个集体、8名个人先后受到省市记功表彰，一场庭审荣获全省“百场优秀庭审”二等奖。该指标分值</w:t>
      </w:r>
      <w:r>
        <w:rPr>
          <w:rFonts w:hint="eastAsia" w:hAnsi="宋体"/>
          <w:b w:val="0"/>
          <w:bCs w:val="0"/>
          <w:sz w:val="32"/>
          <w:szCs w:val="32"/>
          <w:highlight w:val="none"/>
          <w:lang w:val="en-US" w:eastAsia="zh-CN"/>
        </w:rPr>
        <w:t>3.33</w:t>
      </w:r>
      <w:r>
        <w:rPr>
          <w:rFonts w:hint="eastAsia"/>
          <w:b w:val="0"/>
          <w:bCs w:val="0"/>
          <w:sz w:val="32"/>
          <w:szCs w:val="32"/>
          <w:highlight w:val="none"/>
          <w:lang w:val="en-US" w:eastAsia="zh-CN"/>
        </w:rPr>
        <w:t>分，得分</w:t>
      </w:r>
      <w:r>
        <w:rPr>
          <w:rFonts w:hint="eastAsia" w:hAnsi="宋体"/>
          <w:b w:val="0"/>
          <w:bCs w:val="0"/>
          <w:sz w:val="32"/>
          <w:szCs w:val="32"/>
          <w:highlight w:val="none"/>
          <w:lang w:val="en-US" w:eastAsia="zh-CN"/>
        </w:rPr>
        <w:t>3.33</w:t>
      </w:r>
      <w:r>
        <w:rPr>
          <w:rFonts w:hint="eastAsia"/>
          <w:b w:val="0"/>
          <w:bCs w:val="0"/>
          <w:sz w:val="32"/>
          <w:szCs w:val="32"/>
          <w:highlight w:val="none"/>
          <w:lang w:val="en-US" w:eastAsia="zh-CN"/>
        </w:rPr>
        <w:t>分，得分率为100%。</w:t>
      </w:r>
    </w:p>
    <w:p w14:paraId="2BC1EC4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sz w:val="32"/>
          <w:szCs w:val="32"/>
          <w:highlight w:val="none"/>
        </w:rPr>
      </w:pPr>
      <w:r>
        <w:rPr>
          <w:rFonts w:hint="eastAsia"/>
          <w:b/>
          <w:bCs/>
          <w:sz w:val="32"/>
          <w:szCs w:val="32"/>
        </w:rPr>
        <w:t>违法违纪情况：</w:t>
      </w:r>
      <w:r>
        <w:rPr>
          <w:rFonts w:hint="eastAsia" w:hAnsi="宋体"/>
          <w:sz w:val="32"/>
          <w:szCs w:val="32"/>
          <w:highlight w:val="none"/>
        </w:rPr>
        <w:t>我院</w:t>
      </w:r>
      <w:r>
        <w:rPr>
          <w:rFonts w:hAnsi="宋体"/>
          <w:sz w:val="32"/>
          <w:szCs w:val="32"/>
          <w:highlight w:val="none"/>
        </w:rPr>
        <w:t>未出现在国家层面督查或人大审计、监察等监督监察时发现问题被问责的情况</w:t>
      </w:r>
      <w:r>
        <w:rPr>
          <w:rFonts w:hint="eastAsia" w:hAnsi="宋体"/>
          <w:sz w:val="32"/>
          <w:szCs w:val="32"/>
          <w:highlight w:val="none"/>
        </w:rPr>
        <w:t>。</w:t>
      </w:r>
      <w:r>
        <w:rPr>
          <w:rFonts w:hint="eastAsia"/>
          <w:b w:val="0"/>
          <w:bCs w:val="0"/>
          <w:sz w:val="32"/>
          <w:szCs w:val="32"/>
          <w:lang w:val="en-US" w:eastAsia="zh-CN"/>
        </w:rPr>
        <w:t>该指标分值</w:t>
      </w:r>
      <w:r>
        <w:rPr>
          <w:rFonts w:hint="eastAsia" w:hAnsi="宋体"/>
          <w:b w:val="0"/>
          <w:bCs w:val="0"/>
          <w:sz w:val="32"/>
          <w:szCs w:val="32"/>
          <w:lang w:val="en-US" w:eastAsia="zh-CN"/>
        </w:rPr>
        <w:t>3.33</w:t>
      </w:r>
      <w:r>
        <w:rPr>
          <w:rFonts w:hint="eastAsia"/>
          <w:b w:val="0"/>
          <w:bCs w:val="0"/>
          <w:sz w:val="32"/>
          <w:szCs w:val="32"/>
          <w:lang w:val="en-US" w:eastAsia="zh-CN"/>
        </w:rPr>
        <w:t>分，得分</w:t>
      </w:r>
      <w:r>
        <w:rPr>
          <w:rFonts w:hint="eastAsia" w:hAnsi="宋体"/>
          <w:b w:val="0"/>
          <w:bCs w:val="0"/>
          <w:sz w:val="32"/>
          <w:szCs w:val="32"/>
          <w:lang w:val="en-US" w:eastAsia="zh-CN"/>
        </w:rPr>
        <w:t>3.33</w:t>
      </w:r>
      <w:r>
        <w:rPr>
          <w:rFonts w:hint="eastAsia"/>
          <w:b w:val="0"/>
          <w:bCs w:val="0"/>
          <w:sz w:val="32"/>
          <w:szCs w:val="32"/>
          <w:lang w:val="en-US" w:eastAsia="zh-CN"/>
        </w:rPr>
        <w:t>分，得分率为100%</w:t>
      </w:r>
      <w:r>
        <w:rPr>
          <w:rFonts w:hint="eastAsia" w:hAnsi="宋体"/>
          <w:sz w:val="32"/>
          <w:szCs w:val="32"/>
          <w:highlight w:val="none"/>
        </w:rPr>
        <w:t>。</w:t>
      </w:r>
    </w:p>
    <w:p w14:paraId="38148E8A">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51" w:name="_Toc40046033"/>
      <w:r>
        <w:rPr>
          <w:rFonts w:hint="eastAsia"/>
          <w:sz w:val="32"/>
          <w:szCs w:val="32"/>
        </w:rPr>
        <w:t>4</w:t>
      </w:r>
      <w:r>
        <w:rPr>
          <w:rFonts w:hint="eastAsia"/>
          <w:sz w:val="32"/>
          <w:szCs w:val="32"/>
          <w:lang w:eastAsia="zh-CN"/>
        </w:rPr>
        <w:t>.</w:t>
      </w:r>
      <w:r>
        <w:rPr>
          <w:rFonts w:hint="eastAsia"/>
          <w:sz w:val="32"/>
          <w:szCs w:val="32"/>
        </w:rPr>
        <w:t>能力建设</w:t>
      </w:r>
      <w:bookmarkEnd w:id="51"/>
    </w:p>
    <w:p w14:paraId="54D0457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ighlight w:val="none"/>
        </w:rPr>
      </w:pPr>
      <w:r>
        <w:rPr>
          <w:rFonts w:hint="eastAsia" w:hAnsi="宋体"/>
          <w:sz w:val="32"/>
          <w:szCs w:val="32"/>
          <w:lang w:val="en-US" w:eastAsia="zh-CN"/>
        </w:rPr>
        <w:t>能力建设指标</w:t>
      </w:r>
      <w:r>
        <w:rPr>
          <w:rFonts w:hint="eastAsia"/>
          <w:sz w:val="32"/>
          <w:szCs w:val="32"/>
          <w:highlight w:val="none"/>
        </w:rPr>
        <w:t>包括长效管理、</w:t>
      </w:r>
      <w:r>
        <w:rPr>
          <w:rFonts w:hint="eastAsia"/>
          <w:sz w:val="32"/>
          <w:szCs w:val="32"/>
          <w:highlight w:val="none"/>
          <w:lang w:val="en-US" w:eastAsia="zh-CN"/>
        </w:rPr>
        <w:t>人力资源建设及</w:t>
      </w:r>
      <w:r>
        <w:rPr>
          <w:rFonts w:hint="eastAsia"/>
          <w:sz w:val="32"/>
          <w:szCs w:val="32"/>
          <w:highlight w:val="none"/>
        </w:rPr>
        <w:t>档案管理</w:t>
      </w:r>
      <w:r>
        <w:rPr>
          <w:rFonts w:hint="eastAsia"/>
          <w:sz w:val="32"/>
          <w:szCs w:val="32"/>
          <w:highlight w:val="none"/>
          <w:lang w:val="en-US" w:eastAsia="zh-CN"/>
        </w:rPr>
        <w:t>3</w:t>
      </w:r>
      <w:r>
        <w:rPr>
          <w:rFonts w:hint="eastAsia"/>
          <w:sz w:val="32"/>
          <w:szCs w:val="32"/>
          <w:highlight w:val="none"/>
        </w:rPr>
        <w:t>个二级指标，下设</w:t>
      </w:r>
      <w:r>
        <w:rPr>
          <w:rFonts w:hint="eastAsia"/>
          <w:sz w:val="32"/>
          <w:szCs w:val="32"/>
          <w:highlight w:val="none"/>
          <w:lang w:val="en-US" w:eastAsia="zh-CN"/>
        </w:rPr>
        <w:t>5</w:t>
      </w:r>
      <w:r>
        <w:rPr>
          <w:rFonts w:hint="eastAsia"/>
          <w:sz w:val="32"/>
          <w:szCs w:val="32"/>
          <w:highlight w:val="none"/>
        </w:rPr>
        <w:t>个三级指标。能力建设指标分值</w:t>
      </w:r>
      <w:r>
        <w:rPr>
          <w:rFonts w:hint="eastAsia"/>
          <w:sz w:val="32"/>
          <w:szCs w:val="32"/>
          <w:highlight w:val="none"/>
          <w:lang w:val="en-US" w:eastAsia="zh-CN"/>
        </w:rPr>
        <w:t>10</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10</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100</w:t>
      </w:r>
      <w:r>
        <w:rPr>
          <w:sz w:val="32"/>
          <w:szCs w:val="32"/>
          <w:highlight w:val="none"/>
        </w:rPr>
        <w:t>%</w:t>
      </w:r>
      <w:r>
        <w:rPr>
          <w:rFonts w:hint="eastAsia"/>
          <w:sz w:val="32"/>
          <w:szCs w:val="32"/>
          <w:highlight w:val="none"/>
        </w:rPr>
        <w:t>。</w:t>
      </w:r>
    </w:p>
    <w:tbl>
      <w:tblPr>
        <w:tblStyle w:val="21"/>
        <w:tblW w:w="839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3A67CE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shd w:val="clear" w:color="auto" w:fill="BDD6EE"/>
            <w:vAlign w:val="center"/>
          </w:tcPr>
          <w:p w14:paraId="55A331A4">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701" w:type="dxa"/>
            <w:shd w:val="clear" w:color="auto" w:fill="BDD6EE"/>
            <w:vAlign w:val="center"/>
          </w:tcPr>
          <w:p w14:paraId="1D54B6F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701" w:type="dxa"/>
            <w:shd w:val="clear" w:color="auto" w:fill="BDD6EE"/>
            <w:vAlign w:val="center"/>
          </w:tcPr>
          <w:p w14:paraId="199BA978">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1701" w:type="dxa"/>
            <w:shd w:val="clear" w:color="auto" w:fill="BDD6EE"/>
            <w:vAlign w:val="center"/>
          </w:tcPr>
          <w:p w14:paraId="07E76D0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14:paraId="187B19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5A5D6CED">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长效管理</w:t>
            </w:r>
          </w:p>
        </w:tc>
        <w:tc>
          <w:tcPr>
            <w:tcW w:w="1701" w:type="dxa"/>
            <w:vAlign w:val="center"/>
          </w:tcPr>
          <w:p w14:paraId="2034625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701" w:type="dxa"/>
            <w:vAlign w:val="center"/>
          </w:tcPr>
          <w:p w14:paraId="10E22B1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701" w:type="dxa"/>
            <w:vAlign w:val="center"/>
          </w:tcPr>
          <w:p w14:paraId="57C83AE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14:paraId="4E3E4B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634A5D4F">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default" w:hAnsi="宋体" w:eastAsia="仿宋_GB2312" w:cs="宋体"/>
                <w:color w:val="000000"/>
                <w:kern w:val="0"/>
                <w:sz w:val="24"/>
                <w:szCs w:val="28"/>
                <w:highlight w:val="none"/>
                <w:lang w:val="en-US" w:eastAsia="zh-CN"/>
              </w:rPr>
              <w:t>人力资源建设</w:t>
            </w:r>
          </w:p>
        </w:tc>
        <w:tc>
          <w:tcPr>
            <w:tcW w:w="1701" w:type="dxa"/>
            <w:vAlign w:val="center"/>
          </w:tcPr>
          <w:p w14:paraId="44DDBF4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701" w:type="dxa"/>
            <w:vAlign w:val="center"/>
          </w:tcPr>
          <w:p w14:paraId="5F06B21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701" w:type="dxa"/>
            <w:vAlign w:val="center"/>
          </w:tcPr>
          <w:p w14:paraId="206E156F">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100%</w:t>
            </w:r>
          </w:p>
        </w:tc>
      </w:tr>
      <w:tr w14:paraId="27DFBD9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vAlign w:val="center"/>
          </w:tcPr>
          <w:p w14:paraId="15251876">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档案管理</w:t>
            </w:r>
          </w:p>
        </w:tc>
        <w:tc>
          <w:tcPr>
            <w:tcW w:w="1701" w:type="dxa"/>
            <w:vAlign w:val="center"/>
          </w:tcPr>
          <w:p w14:paraId="38401D3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701" w:type="dxa"/>
            <w:vAlign w:val="center"/>
          </w:tcPr>
          <w:p w14:paraId="3310547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701" w:type="dxa"/>
            <w:vAlign w:val="center"/>
          </w:tcPr>
          <w:p w14:paraId="5A29757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14:paraId="35188D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88" w:type="dxa"/>
            <w:shd w:val="clear" w:color="auto" w:fill="BDD6EE"/>
            <w:vAlign w:val="center"/>
          </w:tcPr>
          <w:p w14:paraId="678C3DB1">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701" w:type="dxa"/>
            <w:shd w:val="clear" w:color="auto" w:fill="BDD6EE"/>
            <w:vAlign w:val="center"/>
          </w:tcPr>
          <w:p w14:paraId="3C03FA97">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w:t>
            </w:r>
          </w:p>
        </w:tc>
        <w:tc>
          <w:tcPr>
            <w:tcW w:w="1701" w:type="dxa"/>
            <w:shd w:val="clear" w:color="auto" w:fill="BDD6EE"/>
            <w:vAlign w:val="center"/>
          </w:tcPr>
          <w:p w14:paraId="4170A62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w:t>
            </w:r>
          </w:p>
        </w:tc>
        <w:tc>
          <w:tcPr>
            <w:tcW w:w="1701" w:type="dxa"/>
            <w:shd w:val="clear" w:color="auto" w:fill="BDD6EE"/>
            <w:vAlign w:val="center"/>
          </w:tcPr>
          <w:p w14:paraId="53E9C8B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color w:val="000000"/>
                <w:kern w:val="0"/>
                <w:sz w:val="22"/>
                <w:szCs w:val="22"/>
                <w:highlight w:val="none"/>
              </w:rPr>
              <w:t>100%</w:t>
            </w:r>
          </w:p>
        </w:tc>
      </w:tr>
    </w:tbl>
    <w:p w14:paraId="5B512F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1</w:t>
      </w:r>
      <w:r>
        <w:rPr>
          <w:rFonts w:hint="eastAsia" w:hAnsi="宋体"/>
          <w:b/>
          <w:bCs/>
          <w:sz w:val="32"/>
          <w:szCs w:val="32"/>
        </w:rPr>
        <w:t>）长效管理</w:t>
      </w:r>
    </w:p>
    <w:p w14:paraId="70AF8BAC">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lang w:val="en-US" w:eastAsia="zh-CN"/>
        </w:rPr>
        <w:t>长效管理指标</w:t>
      </w:r>
      <w:r>
        <w:rPr>
          <w:rFonts w:hint="eastAsia"/>
          <w:sz w:val="32"/>
          <w:szCs w:val="32"/>
          <w:highlight w:val="none"/>
        </w:rPr>
        <w:t>分值</w:t>
      </w:r>
      <w:r>
        <w:rPr>
          <w:rFonts w:hint="eastAsia"/>
          <w:sz w:val="32"/>
          <w:szCs w:val="32"/>
          <w:highlight w:val="none"/>
          <w:lang w:val="en-US" w:eastAsia="zh-CN"/>
        </w:rPr>
        <w:t>6</w:t>
      </w:r>
      <w:r>
        <w:rPr>
          <w:rFonts w:hint="eastAsia"/>
          <w:sz w:val="32"/>
          <w:szCs w:val="32"/>
          <w:highlight w:val="none"/>
        </w:rPr>
        <w:t>分，自评得分</w:t>
      </w:r>
      <w:r>
        <w:rPr>
          <w:rFonts w:hint="eastAsia"/>
          <w:sz w:val="32"/>
          <w:szCs w:val="32"/>
          <w:highlight w:val="none"/>
          <w:lang w:val="en-US" w:eastAsia="zh-CN"/>
        </w:rPr>
        <w:t>6</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100</w:t>
      </w:r>
      <w:r>
        <w:rPr>
          <w:rFonts w:hint="eastAsia"/>
          <w:sz w:val="32"/>
          <w:szCs w:val="32"/>
          <w:highlight w:val="none"/>
        </w:rPr>
        <w:t>%。</w:t>
      </w:r>
    </w:p>
    <w:p w14:paraId="09D1424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w:t>
      </w:r>
      <w:r>
        <w:rPr>
          <w:rFonts w:hint="eastAsia" w:hAnsi="宋体"/>
          <w:sz w:val="32"/>
          <w:szCs w:val="32"/>
          <w:lang w:eastAsia="zh-CN"/>
        </w:rPr>
        <w:t>得分率为</w:t>
      </w:r>
      <w:r>
        <w:rPr>
          <w:rFonts w:hint="eastAsia" w:hAnsi="宋体"/>
          <w:sz w:val="32"/>
          <w:szCs w:val="32"/>
        </w:rPr>
        <w:t>100%。</w:t>
      </w:r>
    </w:p>
    <w:p w14:paraId="52DA259C">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宋体"/>
          <w:b w:val="0"/>
          <w:bCs w:val="0"/>
          <w:sz w:val="32"/>
          <w:szCs w:val="32"/>
          <w:lang w:val="en-US" w:eastAsia="zh-CN"/>
        </w:rPr>
      </w:pPr>
      <w:r>
        <w:rPr>
          <w:rFonts w:hint="eastAsia" w:hAnsi="宋体"/>
          <w:b/>
          <w:bCs/>
          <w:sz w:val="32"/>
          <w:szCs w:val="32"/>
          <w:lang w:val="en-US" w:eastAsia="zh-CN"/>
        </w:rPr>
        <w:t>党建工作开展规律性：</w:t>
      </w:r>
      <w:r>
        <w:rPr>
          <w:rFonts w:hint="eastAsia" w:hAnsi="宋体"/>
          <w:b w:val="0"/>
          <w:bCs w:val="0"/>
          <w:sz w:val="32"/>
          <w:szCs w:val="32"/>
          <w:lang w:val="en-US" w:eastAsia="zh-CN"/>
        </w:rPr>
        <w:t>我院深入学习贯彻党的二十大精神，深学笃用习近平法治思想，扎实开展主题教育活动，紧扣“公正与效率”工作主题，聚焦省市委主要领导对红古提出的“六个新突破”“五个方面”明确要求，围绕全区中心工作，以“抓班子严管理、抓素能提质效、抓作风树形象”活动统筹落实“三抓三促”、主动创稳行动和“铸忠诚警魂”活动，党建工作开展规律。该指标分值2分，自评得分2分，得分率为100%。</w:t>
      </w:r>
    </w:p>
    <w:p w14:paraId="449973B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val="0"/>
          <w:bCs w:val="0"/>
          <w:sz w:val="32"/>
          <w:szCs w:val="32"/>
          <w:lang w:val="en-US" w:eastAsia="zh-CN"/>
        </w:rPr>
      </w:pPr>
      <w:r>
        <w:rPr>
          <w:rFonts w:hint="eastAsia" w:hAnsi="宋体"/>
          <w:b/>
          <w:bCs/>
          <w:sz w:val="32"/>
          <w:szCs w:val="32"/>
          <w:lang w:val="en-US" w:eastAsia="zh-CN"/>
        </w:rPr>
        <w:t>信息化管理覆盖率：</w:t>
      </w:r>
      <w:r>
        <w:rPr>
          <w:rFonts w:hint="eastAsia" w:hAnsi="宋体"/>
          <w:b w:val="0"/>
          <w:bCs w:val="0"/>
          <w:sz w:val="32"/>
          <w:szCs w:val="32"/>
          <w:lang w:val="en-US" w:eastAsia="zh-CN"/>
        </w:rPr>
        <w:t>我院进一步完善一站式便民利民诉讼服务体系建设，依托智能自助设备、“微法院”、律师服务平台等载体，深度推行诉讼事项全流程“一网通办”，高效办结诉讼服务，信息化管理覆盖率为100%。该指标分值2分，自评得分2分，得分率为100%。</w:t>
      </w:r>
    </w:p>
    <w:p w14:paraId="7144EEE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2</w:t>
      </w:r>
      <w:r>
        <w:rPr>
          <w:rFonts w:hint="eastAsia" w:hAnsi="宋体"/>
          <w:b/>
          <w:bCs/>
          <w:sz w:val="32"/>
          <w:szCs w:val="32"/>
        </w:rPr>
        <w:t>）人力资源建设</w:t>
      </w:r>
    </w:p>
    <w:p w14:paraId="1B108E6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b/>
          <w:bCs/>
          <w:kern w:val="0"/>
          <w:sz w:val="32"/>
          <w:szCs w:val="32"/>
        </w:rPr>
      </w:pPr>
      <w:r>
        <w:rPr>
          <w:rFonts w:hint="eastAsia"/>
          <w:sz w:val="32"/>
          <w:szCs w:val="32"/>
          <w:highlight w:val="none"/>
          <w:lang w:val="en-US" w:eastAsia="zh-CN"/>
        </w:rPr>
        <w:t>人力资源建设指标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分，自评得分</w:t>
      </w:r>
      <w:r>
        <w:rPr>
          <w:rFonts w:hint="eastAsia"/>
          <w:sz w:val="32"/>
          <w:szCs w:val="32"/>
          <w:highlight w:val="none"/>
          <w:lang w:val="en-US" w:eastAsia="zh-CN"/>
        </w:rPr>
        <w:t>2</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100</w:t>
      </w:r>
      <w:r>
        <w:rPr>
          <w:rFonts w:hint="eastAsia"/>
          <w:sz w:val="32"/>
          <w:szCs w:val="32"/>
          <w:highlight w:val="none"/>
        </w:rPr>
        <w:t>%。</w:t>
      </w:r>
    </w:p>
    <w:p w14:paraId="0099C2D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bCs/>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cs="宋体"/>
          <w:kern w:val="0"/>
          <w:sz w:val="32"/>
          <w:szCs w:val="32"/>
        </w:rPr>
        <w:t>该指标分值</w:t>
      </w:r>
      <w:r>
        <w:rPr>
          <w:rFonts w:hint="eastAsia" w:hAnsi="宋体" w:cs="宋体"/>
          <w:kern w:val="0"/>
          <w:sz w:val="32"/>
          <w:szCs w:val="32"/>
          <w:lang w:val="en-US" w:eastAsia="zh-CN"/>
        </w:rPr>
        <w:t>2</w:t>
      </w:r>
      <w:r>
        <w:rPr>
          <w:rFonts w:hint="eastAsia" w:hAnsi="宋体" w:cs="宋体"/>
          <w:kern w:val="0"/>
          <w:sz w:val="32"/>
          <w:szCs w:val="32"/>
        </w:rPr>
        <w:t>分，自评得分为</w:t>
      </w:r>
      <w:r>
        <w:rPr>
          <w:rFonts w:hint="eastAsia" w:hAnsi="宋体" w:cs="宋体"/>
          <w:kern w:val="0"/>
          <w:sz w:val="32"/>
          <w:szCs w:val="32"/>
          <w:lang w:val="en-US" w:eastAsia="zh-CN"/>
        </w:rPr>
        <w:t>2</w:t>
      </w:r>
      <w:r>
        <w:rPr>
          <w:rFonts w:hint="eastAsia" w:hAnsi="宋体" w:cs="宋体"/>
          <w:kern w:val="0"/>
          <w:sz w:val="32"/>
          <w:szCs w:val="32"/>
        </w:rPr>
        <w:t>分，得分率为100%。</w:t>
      </w:r>
    </w:p>
    <w:p w14:paraId="2B6011E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rPr>
      </w:pPr>
      <w:r>
        <w:rPr>
          <w:rFonts w:hint="eastAsia" w:hAnsi="宋体"/>
          <w:b/>
          <w:bCs/>
          <w:sz w:val="32"/>
          <w:szCs w:val="32"/>
        </w:rPr>
        <w:t>（</w:t>
      </w:r>
      <w:r>
        <w:rPr>
          <w:rFonts w:hint="eastAsia" w:hAnsi="宋体"/>
          <w:b/>
          <w:bCs/>
          <w:sz w:val="32"/>
          <w:szCs w:val="32"/>
          <w:lang w:val="en-US" w:eastAsia="zh-CN"/>
        </w:rPr>
        <w:t>3</w:t>
      </w:r>
      <w:r>
        <w:rPr>
          <w:rFonts w:hint="eastAsia" w:hAnsi="宋体"/>
          <w:b/>
          <w:bCs/>
          <w:sz w:val="32"/>
          <w:szCs w:val="32"/>
        </w:rPr>
        <w:t>）档案管理</w:t>
      </w:r>
    </w:p>
    <w:p w14:paraId="1386DF1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b/>
          <w:bCs/>
          <w:sz w:val="32"/>
          <w:szCs w:val="32"/>
        </w:rPr>
      </w:pPr>
      <w:r>
        <w:rPr>
          <w:rFonts w:hint="eastAsia"/>
          <w:sz w:val="32"/>
          <w:szCs w:val="32"/>
          <w:highlight w:val="none"/>
          <w:lang w:val="en-US" w:eastAsia="zh-CN"/>
        </w:rPr>
        <w:t>档案管理指标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分，自评得分</w:t>
      </w:r>
      <w:r>
        <w:rPr>
          <w:rFonts w:hint="eastAsia"/>
          <w:sz w:val="32"/>
          <w:szCs w:val="32"/>
          <w:highlight w:val="none"/>
          <w:lang w:val="en-US" w:eastAsia="zh-CN"/>
        </w:rPr>
        <w:t>2</w:t>
      </w:r>
      <w:r>
        <w:rPr>
          <w:rFonts w:hint="eastAsia"/>
          <w:sz w:val="32"/>
          <w:szCs w:val="32"/>
          <w:highlight w:val="none"/>
        </w:rPr>
        <w:t>分，</w:t>
      </w:r>
      <w:r>
        <w:rPr>
          <w:rFonts w:hint="eastAsia"/>
          <w:sz w:val="32"/>
          <w:szCs w:val="32"/>
          <w:highlight w:val="none"/>
          <w:lang w:eastAsia="zh-CN"/>
        </w:rPr>
        <w:t>得分率为</w:t>
      </w:r>
      <w:r>
        <w:rPr>
          <w:rFonts w:hint="eastAsia"/>
          <w:sz w:val="32"/>
          <w:szCs w:val="32"/>
          <w:highlight w:val="none"/>
          <w:lang w:val="en-US" w:eastAsia="zh-CN"/>
        </w:rPr>
        <w:t>100</w:t>
      </w:r>
      <w:r>
        <w:rPr>
          <w:rFonts w:hint="eastAsia"/>
          <w:sz w:val="32"/>
          <w:szCs w:val="32"/>
          <w:highlight w:val="none"/>
        </w:rPr>
        <w:t>%。</w:t>
      </w:r>
    </w:p>
    <w:p w14:paraId="1BFC418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hAnsi="宋体"/>
          <w:sz w:val="32"/>
          <w:szCs w:val="32"/>
          <w:lang w:eastAsia="zh-CN"/>
        </w:rPr>
        <w:t>，</w:t>
      </w:r>
      <w:r>
        <w:rPr>
          <w:rFonts w:hint="eastAsia"/>
          <w:sz w:val="32"/>
          <w:szCs w:val="32"/>
          <w:lang w:eastAsia="zh-CN"/>
        </w:rPr>
        <w:t>达到年度指标值</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分，自评得分为</w:t>
      </w:r>
      <w:r>
        <w:rPr>
          <w:rFonts w:hint="eastAsia" w:hAnsi="宋体"/>
          <w:sz w:val="32"/>
          <w:szCs w:val="32"/>
          <w:lang w:val="en-US" w:eastAsia="zh-CN"/>
        </w:rPr>
        <w:t>2</w:t>
      </w:r>
      <w:r>
        <w:rPr>
          <w:rFonts w:hint="eastAsia" w:hAnsi="宋体"/>
          <w:sz w:val="32"/>
          <w:szCs w:val="32"/>
        </w:rPr>
        <w:t>分，</w:t>
      </w:r>
      <w:r>
        <w:rPr>
          <w:rFonts w:hint="eastAsia" w:hAnsi="宋体"/>
          <w:sz w:val="32"/>
          <w:szCs w:val="32"/>
          <w:lang w:eastAsia="zh-CN"/>
        </w:rPr>
        <w:t>得分率为</w:t>
      </w:r>
      <w:r>
        <w:rPr>
          <w:rFonts w:hint="eastAsia" w:hAnsi="宋体"/>
          <w:sz w:val="32"/>
          <w:szCs w:val="32"/>
        </w:rPr>
        <w:t>100%。</w:t>
      </w:r>
    </w:p>
    <w:p w14:paraId="3BC2BD71">
      <w:pPr>
        <w:pStyle w:val="4"/>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highlight w:val="none"/>
        </w:rPr>
      </w:pPr>
      <w:bookmarkStart w:id="52" w:name="_Toc12558"/>
      <w:bookmarkStart w:id="53" w:name="_Toc32531"/>
      <w:bookmarkStart w:id="54" w:name="_Toc16731"/>
      <w:bookmarkStart w:id="55" w:name="_Toc40046035"/>
      <w:bookmarkStart w:id="56" w:name="_Toc16525"/>
      <w:bookmarkStart w:id="57" w:name="_Toc3174"/>
      <w:r>
        <w:rPr>
          <w:rFonts w:hint="eastAsia"/>
          <w:sz w:val="32"/>
          <w:szCs w:val="32"/>
          <w:highlight w:val="none"/>
          <w:lang w:eastAsia="zh-CN"/>
        </w:rPr>
        <w:t>（四）</w:t>
      </w:r>
      <w:r>
        <w:rPr>
          <w:rFonts w:hint="eastAsia"/>
          <w:sz w:val="32"/>
          <w:szCs w:val="32"/>
          <w:highlight w:val="none"/>
        </w:rPr>
        <w:t>偏离绩效目标的原因及下一步改进措施</w:t>
      </w:r>
      <w:bookmarkEnd w:id="52"/>
      <w:bookmarkEnd w:id="53"/>
      <w:bookmarkEnd w:id="54"/>
      <w:bookmarkEnd w:id="55"/>
      <w:bookmarkEnd w:id="56"/>
      <w:bookmarkEnd w:id="57"/>
    </w:p>
    <w:p w14:paraId="357692C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sz w:val="32"/>
          <w:szCs w:val="32"/>
          <w:highlight w:val="none"/>
          <w:lang w:val="en-US" w:eastAsia="zh-CN"/>
        </w:rPr>
      </w:pPr>
      <w:bookmarkStart w:id="58" w:name="_Toc8740"/>
      <w:bookmarkStart w:id="59" w:name="_Toc2045"/>
      <w:bookmarkStart w:id="60" w:name="_Toc16890"/>
      <w:r>
        <w:rPr>
          <w:rFonts w:hint="eastAsia"/>
          <w:b/>
          <w:bCs/>
          <w:sz w:val="32"/>
          <w:szCs w:val="32"/>
          <w:highlight w:val="none"/>
          <w:lang w:val="en-US" w:eastAsia="zh-CN"/>
        </w:rPr>
        <w:t>1.部分指标未达到目标值。</w:t>
      </w:r>
      <w:r>
        <w:rPr>
          <w:rFonts w:hint="eastAsia"/>
          <w:b w:val="0"/>
          <w:bCs w:val="0"/>
          <w:sz w:val="32"/>
          <w:szCs w:val="32"/>
          <w:highlight w:val="none"/>
          <w:lang w:val="en-US" w:eastAsia="zh-CN"/>
        </w:rPr>
        <w:t>部门整体支出预算执行率83.03%，</w:t>
      </w:r>
      <w:r>
        <w:rPr>
          <w:rFonts w:hint="eastAsia" w:hAnsi="宋体"/>
          <w:sz w:val="32"/>
          <w:szCs w:val="32"/>
          <w:highlight w:val="none"/>
        </w:rPr>
        <w:t>基本支出预算执行率为88.29%</w:t>
      </w:r>
      <w:r>
        <w:rPr>
          <w:rFonts w:hint="eastAsia" w:hAnsi="宋体"/>
          <w:sz w:val="32"/>
          <w:szCs w:val="32"/>
          <w:highlight w:val="none"/>
          <w:lang w:eastAsia="zh-CN"/>
        </w:rPr>
        <w:t>，</w:t>
      </w:r>
      <w:r>
        <w:rPr>
          <w:rFonts w:hint="eastAsia" w:hAnsi="宋体"/>
          <w:sz w:val="32"/>
          <w:szCs w:val="32"/>
          <w:highlight w:val="none"/>
          <w:lang w:val="en-US" w:eastAsia="zh-CN"/>
        </w:rPr>
        <w:t>项目支出预算执行率69.26%，</w:t>
      </w:r>
      <w:r>
        <w:rPr>
          <w:rFonts w:hint="eastAsia"/>
          <w:b w:val="0"/>
          <w:bCs w:val="0"/>
          <w:sz w:val="32"/>
          <w:szCs w:val="32"/>
          <w:highlight w:val="none"/>
          <w:lang w:val="en-US" w:eastAsia="zh-CN"/>
        </w:rPr>
        <w:t>结转结余资金变动率为79.10%，</w:t>
      </w:r>
      <w:r>
        <w:rPr>
          <w:rFonts w:hint="eastAsia" w:hAnsi="宋体"/>
          <w:sz w:val="32"/>
          <w:szCs w:val="32"/>
          <w:highlight w:val="none"/>
          <w:lang w:val="en-US" w:eastAsia="zh-CN"/>
        </w:rPr>
        <w:t>均</w:t>
      </w:r>
      <w:r>
        <w:rPr>
          <w:rFonts w:hint="eastAsia"/>
          <w:b w:val="0"/>
          <w:bCs w:val="0"/>
          <w:sz w:val="32"/>
          <w:szCs w:val="32"/>
          <w:highlight w:val="none"/>
          <w:lang w:val="en-US" w:eastAsia="zh-CN"/>
        </w:rPr>
        <w:t>未达到年度指标值。主要原因为按照相关要求考核性绩效在次年考核并发放，2023年12月法警加班及执勤补贴于次月发放；主管部门于11月份下达综合审判大楼防、排水改造指标，12月份项目在公告期；计划采购车辆2辆，实际采购1辆，1辆车购置未获批准。</w:t>
      </w:r>
      <w:r>
        <w:rPr>
          <w:rFonts w:hint="eastAsia"/>
          <w:sz w:val="32"/>
          <w:szCs w:val="32"/>
          <w:highlight w:val="none"/>
          <w:lang w:eastAsia="zh-CN"/>
        </w:rPr>
        <w:t>下一年</w:t>
      </w:r>
      <w:r>
        <w:rPr>
          <w:rFonts w:hint="eastAsia"/>
          <w:sz w:val="32"/>
          <w:szCs w:val="32"/>
          <w:highlight w:val="none"/>
          <w:lang w:val="en-US" w:eastAsia="zh-CN"/>
        </w:rPr>
        <w:t>我院将做好资金支付计划，加快资金支付进度。</w:t>
      </w:r>
    </w:p>
    <w:p w14:paraId="2CE1D2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sz w:val="32"/>
          <w:szCs w:val="32"/>
          <w:highlight w:val="none"/>
          <w:lang w:eastAsia="zh-CN"/>
        </w:rPr>
      </w:pPr>
      <w:r>
        <w:rPr>
          <w:rFonts w:hint="eastAsia"/>
          <w:b/>
          <w:bCs/>
          <w:sz w:val="32"/>
          <w:szCs w:val="32"/>
          <w:highlight w:val="none"/>
          <w:lang w:val="en-US" w:eastAsia="zh-CN"/>
        </w:rPr>
        <w:t>2.目标值设置不合理。</w:t>
      </w:r>
      <w:r>
        <w:rPr>
          <w:rFonts w:hint="eastAsia"/>
          <w:b w:val="0"/>
          <w:bCs w:val="0"/>
          <w:sz w:val="32"/>
          <w:szCs w:val="32"/>
          <w:highlight w:val="none"/>
          <w:lang w:val="en-US" w:eastAsia="zh-CN"/>
        </w:rPr>
        <w:t>再审审查率年度指标值≤5%，实际完成0.05%，主要原因为案件审判质量不断提升，申请再审审查案件数量较少，年度指标值设置偏高。执行标的到位率年度指标值≥10%，实际完成38%，主要原因为：一是本年度加大执行力度，执行财产到位情况超出预期目标；二是年度指标值设置偏低。</w:t>
      </w:r>
      <w:r>
        <w:rPr>
          <w:rFonts w:hint="eastAsia"/>
          <w:sz w:val="32"/>
          <w:szCs w:val="32"/>
          <w:highlight w:val="none"/>
          <w:lang w:eastAsia="zh-CN"/>
        </w:rPr>
        <w:t>下一年我院将根据各年度</w:t>
      </w:r>
      <w:r>
        <w:rPr>
          <w:rFonts w:hint="eastAsia"/>
          <w:sz w:val="32"/>
          <w:szCs w:val="32"/>
          <w:highlight w:val="none"/>
          <w:lang w:val="en-US" w:eastAsia="zh-CN"/>
        </w:rPr>
        <w:t>指标完成</w:t>
      </w:r>
      <w:r>
        <w:rPr>
          <w:rFonts w:hint="eastAsia"/>
          <w:sz w:val="32"/>
          <w:szCs w:val="32"/>
          <w:highlight w:val="none"/>
          <w:lang w:eastAsia="zh-CN"/>
        </w:rPr>
        <w:t>情况，合理调整年度指标值。</w:t>
      </w:r>
    </w:p>
    <w:p w14:paraId="380949AD">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61" w:name="_Toc32289"/>
      <w:r>
        <w:rPr>
          <w:rFonts w:hint="eastAsia"/>
          <w:sz w:val="32"/>
          <w:szCs w:val="32"/>
        </w:rPr>
        <w:t>四、部门预算项目支出绩效自评情况分析</w:t>
      </w:r>
      <w:bookmarkEnd w:id="58"/>
      <w:bookmarkEnd w:id="59"/>
      <w:bookmarkEnd w:id="60"/>
      <w:bookmarkEnd w:id="61"/>
    </w:p>
    <w:p w14:paraId="7BC15DB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hAnsi="宋体"/>
          <w:sz w:val="32"/>
          <w:szCs w:val="32"/>
          <w:lang w:eastAsia="zh-CN"/>
        </w:rPr>
        <w:t>202</w:t>
      </w:r>
      <w:r>
        <w:rPr>
          <w:rFonts w:hint="eastAsia" w:hAnsi="宋体"/>
          <w:sz w:val="32"/>
          <w:szCs w:val="32"/>
          <w:lang w:val="en-US" w:eastAsia="zh-CN"/>
        </w:rPr>
        <w:t>3</w:t>
      </w:r>
      <w:r>
        <w:rPr>
          <w:rFonts w:hint="eastAsia" w:hAnsi="宋体"/>
          <w:sz w:val="32"/>
          <w:szCs w:val="32"/>
        </w:rPr>
        <w:t>年，我院预算支出项目为2个，通过自评，</w:t>
      </w:r>
      <w:r>
        <w:rPr>
          <w:rFonts w:hint="eastAsia" w:hAnsi="宋体"/>
          <w:sz w:val="32"/>
          <w:szCs w:val="32"/>
          <w:lang w:val="en-US" w:eastAsia="zh-CN"/>
        </w:rPr>
        <w:t>2</w:t>
      </w:r>
      <w:r>
        <w:rPr>
          <w:rFonts w:hint="eastAsia" w:hAnsi="宋体"/>
          <w:sz w:val="32"/>
          <w:szCs w:val="32"/>
          <w:highlight w:val="none"/>
        </w:rPr>
        <w:t>个项目结果</w:t>
      </w:r>
      <w:r>
        <w:rPr>
          <w:rFonts w:hint="eastAsia" w:hAnsi="宋体"/>
          <w:sz w:val="32"/>
          <w:szCs w:val="32"/>
          <w:highlight w:val="none"/>
          <w:lang w:val="en-US" w:eastAsia="zh-CN"/>
        </w:rPr>
        <w:t>均</w:t>
      </w:r>
      <w:r>
        <w:rPr>
          <w:rFonts w:hint="eastAsia" w:hAnsi="宋体"/>
          <w:sz w:val="32"/>
          <w:szCs w:val="32"/>
          <w:highlight w:val="none"/>
        </w:rPr>
        <w:t>为“优”</w:t>
      </w:r>
      <w:r>
        <w:rPr>
          <w:rFonts w:hint="eastAsia" w:hAnsi="宋体"/>
          <w:sz w:val="32"/>
          <w:szCs w:val="32"/>
          <w:highlight w:val="none"/>
          <w:lang w:val="en-US" w:eastAsia="zh-CN"/>
        </w:rPr>
        <w:t>。</w:t>
      </w:r>
      <w:r>
        <w:rPr>
          <w:rFonts w:hint="eastAsia" w:hAnsi="宋体"/>
          <w:sz w:val="32"/>
          <w:szCs w:val="32"/>
          <w:highlight w:val="none"/>
        </w:rPr>
        <w:t>分项目自评情况分析如下：</w:t>
      </w:r>
    </w:p>
    <w:p w14:paraId="5D249F82">
      <w:pPr>
        <w:pStyle w:val="4"/>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eastAsia="楷体"/>
          <w:sz w:val="32"/>
          <w:szCs w:val="32"/>
          <w:lang w:val="en-US" w:eastAsia="zh-CN"/>
        </w:rPr>
      </w:pPr>
      <w:bookmarkStart w:id="62" w:name="_Toc40046039"/>
      <w:bookmarkStart w:id="63" w:name="_Toc22792"/>
      <w:bookmarkStart w:id="64" w:name="_Toc4248"/>
      <w:bookmarkStart w:id="65" w:name="_Toc16262"/>
      <w:bookmarkStart w:id="66" w:name="_Toc26116"/>
      <w:r>
        <w:rPr>
          <w:rFonts w:hint="eastAsia"/>
          <w:sz w:val="32"/>
          <w:szCs w:val="32"/>
          <w:lang w:eastAsia="zh-CN"/>
        </w:rPr>
        <w:t>（一）</w:t>
      </w:r>
      <w:bookmarkEnd w:id="62"/>
      <w:bookmarkEnd w:id="63"/>
      <w:bookmarkEnd w:id="64"/>
      <w:bookmarkEnd w:id="65"/>
      <w:r>
        <w:rPr>
          <w:rFonts w:hint="eastAsia"/>
          <w:sz w:val="32"/>
          <w:szCs w:val="32"/>
          <w:highlight w:val="none"/>
          <w:lang w:val="en-US" w:eastAsia="zh-CN"/>
        </w:rPr>
        <w:t>全省法院业务费</w:t>
      </w:r>
      <w:bookmarkEnd w:id="66"/>
    </w:p>
    <w:p w14:paraId="530DB0AB">
      <w:pPr>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bookmarkStart w:id="67" w:name="_Toc40046040"/>
      <w:r>
        <w:rPr>
          <w:rFonts w:hint="eastAsia"/>
          <w:sz w:val="32"/>
          <w:szCs w:val="32"/>
          <w:highlight w:val="none"/>
        </w:rPr>
        <w:t>本次绩效自评综合评定202</w:t>
      </w:r>
      <w:r>
        <w:rPr>
          <w:rFonts w:hint="eastAsia"/>
          <w:sz w:val="32"/>
          <w:szCs w:val="32"/>
          <w:highlight w:val="none"/>
          <w:lang w:val="en-US" w:eastAsia="zh-CN"/>
        </w:rPr>
        <w:t>3</w:t>
      </w:r>
      <w:r>
        <w:rPr>
          <w:rFonts w:hint="eastAsia"/>
          <w:sz w:val="32"/>
          <w:szCs w:val="32"/>
          <w:highlight w:val="none"/>
        </w:rPr>
        <w:t>年</w:t>
      </w:r>
      <w:r>
        <w:rPr>
          <w:rFonts w:hint="eastAsia"/>
          <w:sz w:val="32"/>
          <w:szCs w:val="32"/>
          <w:highlight w:val="none"/>
          <w:lang w:val="en-US" w:eastAsia="zh-CN"/>
        </w:rPr>
        <w:t>全省法院业务费</w:t>
      </w:r>
      <w:r>
        <w:rPr>
          <w:rFonts w:hint="eastAsia"/>
          <w:sz w:val="32"/>
          <w:szCs w:val="32"/>
          <w:highlight w:val="none"/>
        </w:rPr>
        <w:t>支出绩效得分为</w:t>
      </w:r>
      <w:r>
        <w:rPr>
          <w:rFonts w:hint="eastAsia"/>
          <w:sz w:val="32"/>
          <w:szCs w:val="32"/>
          <w:highlight w:val="none"/>
          <w:lang w:val="en-US" w:eastAsia="zh-CN"/>
        </w:rPr>
        <w:t>100</w:t>
      </w:r>
      <w:r>
        <w:rPr>
          <w:rFonts w:hint="eastAsia"/>
          <w:sz w:val="32"/>
          <w:szCs w:val="32"/>
          <w:highlight w:val="none"/>
        </w:rPr>
        <w:t>分，绩效等级为“优”。项目支出绩效评价包括预算执行</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8</w:t>
      </w:r>
      <w:r>
        <w:rPr>
          <w:rFonts w:hint="eastAsia"/>
          <w:sz w:val="32"/>
          <w:szCs w:val="32"/>
          <w:highlight w:val="none"/>
        </w:rPr>
        <w:t>个二级指标和</w:t>
      </w:r>
      <w:r>
        <w:rPr>
          <w:rFonts w:hint="eastAsia"/>
          <w:sz w:val="32"/>
          <w:szCs w:val="32"/>
          <w:highlight w:val="none"/>
          <w:lang w:val="en-US" w:eastAsia="zh-CN"/>
        </w:rPr>
        <w:t>20</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1"/>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5189BF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288" w:type="dxa"/>
            <w:shd w:val="clear" w:color="auto" w:fill="BDD6EE"/>
            <w:vAlign w:val="center"/>
          </w:tcPr>
          <w:p w14:paraId="33F31803">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一级指标</w:t>
            </w:r>
          </w:p>
        </w:tc>
        <w:tc>
          <w:tcPr>
            <w:tcW w:w="1701" w:type="dxa"/>
            <w:shd w:val="clear" w:color="auto" w:fill="BDD6EE"/>
            <w:vAlign w:val="center"/>
          </w:tcPr>
          <w:p w14:paraId="7B864FAC">
            <w:pPr>
              <w:widowControl/>
              <w:wordWrap/>
              <w:autoSpaceDE w:val="0"/>
              <w:autoSpaceDN w:val="0"/>
              <w:adjustRightInd/>
              <w:snapToGrid/>
              <w:spacing w:line="240" w:lineRule="auto"/>
              <w:jc w:val="both"/>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分值</w:t>
            </w:r>
          </w:p>
        </w:tc>
        <w:tc>
          <w:tcPr>
            <w:tcW w:w="1701" w:type="dxa"/>
            <w:shd w:val="clear" w:color="auto" w:fill="BDD6EE"/>
            <w:vAlign w:val="center"/>
          </w:tcPr>
          <w:p w14:paraId="2799339B">
            <w:pPr>
              <w:widowControl/>
              <w:wordWrap/>
              <w:autoSpaceDE w:val="0"/>
              <w:autoSpaceDN w:val="0"/>
              <w:adjustRightInd/>
              <w:snapToGrid/>
              <w:spacing w:line="240" w:lineRule="auto"/>
              <w:ind w:left="0" w:leftChars="0" w:firstLine="0" w:firstLineChars="0"/>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自评得分</w:t>
            </w:r>
          </w:p>
        </w:tc>
        <w:tc>
          <w:tcPr>
            <w:tcW w:w="1701" w:type="dxa"/>
            <w:shd w:val="clear" w:color="auto" w:fill="BDD6EE"/>
            <w:vAlign w:val="center"/>
          </w:tcPr>
          <w:p w14:paraId="19C37E27">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得分率</w:t>
            </w:r>
          </w:p>
        </w:tc>
      </w:tr>
      <w:tr w14:paraId="792B3C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31C1B66F">
            <w:pPr>
              <w:widowControl/>
              <w:wordWrap/>
              <w:autoSpaceDE w:val="0"/>
              <w:autoSpaceDN w:val="0"/>
              <w:adjustRightInd/>
              <w:snapToGrid/>
              <w:spacing w:line="240" w:lineRule="auto"/>
              <w:jc w:val="left"/>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color w:val="000000"/>
                <w:kern w:val="0"/>
                <w:sz w:val="24"/>
                <w:szCs w:val="24"/>
                <w:highlight w:val="none"/>
              </w:rPr>
              <w:t>预算执行率</w:t>
            </w:r>
          </w:p>
        </w:tc>
        <w:tc>
          <w:tcPr>
            <w:tcW w:w="1701" w:type="dxa"/>
            <w:shd w:val="clear" w:color="auto" w:fill="auto"/>
            <w:vAlign w:val="center"/>
          </w:tcPr>
          <w:p w14:paraId="3AA6D832">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701" w:type="dxa"/>
            <w:shd w:val="clear" w:color="auto" w:fill="auto"/>
            <w:vAlign w:val="center"/>
          </w:tcPr>
          <w:p w14:paraId="3AD28F69">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701" w:type="dxa"/>
            <w:shd w:val="clear" w:color="auto" w:fill="auto"/>
            <w:vAlign w:val="center"/>
          </w:tcPr>
          <w:p w14:paraId="5540793B">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2C5C75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336994B0">
            <w:pPr>
              <w:widowControl/>
              <w:wordWrap/>
              <w:autoSpaceDE w:val="0"/>
              <w:autoSpaceDN w:val="0"/>
              <w:adjustRightInd/>
              <w:snapToGrid/>
              <w:spacing w:line="240" w:lineRule="auto"/>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成本指标</w:t>
            </w:r>
          </w:p>
        </w:tc>
        <w:tc>
          <w:tcPr>
            <w:tcW w:w="1701" w:type="dxa"/>
            <w:shd w:val="clear" w:color="auto" w:fill="auto"/>
            <w:vAlign w:val="center"/>
          </w:tcPr>
          <w:p w14:paraId="2966E111">
            <w:pPr>
              <w:widowControl/>
              <w:wordWrap/>
              <w:autoSpaceDE w:val="0"/>
              <w:autoSpaceDN w:val="0"/>
              <w:adjustRightInd/>
              <w:snapToGrid/>
              <w:spacing w:line="240" w:lineRule="auto"/>
              <w:ind w:left="0" w:leftChars="0"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701" w:type="dxa"/>
            <w:shd w:val="clear" w:color="auto" w:fill="auto"/>
            <w:vAlign w:val="center"/>
          </w:tcPr>
          <w:p w14:paraId="6C0854EC">
            <w:pPr>
              <w:widowControl/>
              <w:wordWrap/>
              <w:autoSpaceDE w:val="0"/>
              <w:autoSpaceDN w:val="0"/>
              <w:adjustRightInd/>
              <w:snapToGrid/>
              <w:spacing w:line="240" w:lineRule="auto"/>
              <w:ind w:left="0" w:leftChars="0"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701" w:type="dxa"/>
            <w:shd w:val="clear" w:color="auto" w:fill="auto"/>
            <w:vAlign w:val="center"/>
          </w:tcPr>
          <w:p w14:paraId="5EBB5120">
            <w:pPr>
              <w:widowControl/>
              <w:wordWrap/>
              <w:autoSpaceDE w:val="0"/>
              <w:autoSpaceDN w:val="0"/>
              <w:adjustRightInd/>
              <w:snapToGrid/>
              <w:spacing w:line="240" w:lineRule="auto"/>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10F3D6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3EE7385">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产出</w:t>
            </w:r>
            <w:r>
              <w:rPr>
                <w:rFonts w:hint="eastAsia" w:ascii="仿宋" w:hAnsi="仿宋" w:eastAsia="仿宋" w:cs="仿宋"/>
                <w:color w:val="000000"/>
                <w:kern w:val="0"/>
                <w:sz w:val="24"/>
                <w:szCs w:val="24"/>
                <w:highlight w:val="none"/>
                <w:lang w:val="en-US" w:eastAsia="zh-CN"/>
              </w:rPr>
              <w:t>指标</w:t>
            </w:r>
          </w:p>
        </w:tc>
        <w:tc>
          <w:tcPr>
            <w:tcW w:w="1701" w:type="dxa"/>
            <w:vAlign w:val="center"/>
          </w:tcPr>
          <w:p w14:paraId="3764EA54">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0</w:t>
            </w:r>
          </w:p>
        </w:tc>
        <w:tc>
          <w:tcPr>
            <w:tcW w:w="1701" w:type="dxa"/>
            <w:vAlign w:val="center"/>
          </w:tcPr>
          <w:p w14:paraId="7893465F">
            <w:pPr>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w:t>
            </w:r>
          </w:p>
        </w:tc>
        <w:tc>
          <w:tcPr>
            <w:tcW w:w="1701" w:type="dxa"/>
            <w:vAlign w:val="center"/>
          </w:tcPr>
          <w:p w14:paraId="7B44923D">
            <w:pPr>
              <w:widowControl/>
              <w:wordWrap/>
              <w:autoSpaceDE w:val="0"/>
              <w:autoSpaceDN w:val="0"/>
              <w:adjustRightInd/>
              <w:snapToGrid/>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2B5D39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705C1AA8">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效益</w:t>
            </w:r>
            <w:r>
              <w:rPr>
                <w:rFonts w:hint="eastAsia" w:ascii="仿宋" w:hAnsi="仿宋" w:eastAsia="仿宋" w:cs="仿宋"/>
                <w:color w:val="000000"/>
                <w:kern w:val="0"/>
                <w:sz w:val="24"/>
                <w:szCs w:val="24"/>
                <w:highlight w:val="none"/>
                <w:lang w:val="en-US" w:eastAsia="zh-CN"/>
              </w:rPr>
              <w:t>指标</w:t>
            </w:r>
          </w:p>
        </w:tc>
        <w:tc>
          <w:tcPr>
            <w:tcW w:w="1701" w:type="dxa"/>
            <w:vAlign w:val="center"/>
          </w:tcPr>
          <w:p w14:paraId="43B943AA">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0</w:t>
            </w:r>
          </w:p>
        </w:tc>
        <w:tc>
          <w:tcPr>
            <w:tcW w:w="1701" w:type="dxa"/>
            <w:vAlign w:val="center"/>
          </w:tcPr>
          <w:p w14:paraId="37BC21CF">
            <w:pPr>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701" w:type="dxa"/>
            <w:vAlign w:val="center"/>
          </w:tcPr>
          <w:p w14:paraId="6EE971F5">
            <w:pPr>
              <w:widowControl/>
              <w:wordWrap/>
              <w:autoSpaceDE w:val="0"/>
              <w:autoSpaceDN w:val="0"/>
              <w:adjustRightInd/>
              <w:snapToGrid/>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100</w:t>
            </w:r>
            <w:r>
              <w:rPr>
                <w:rFonts w:hint="eastAsia" w:ascii="仿宋" w:hAnsi="仿宋" w:eastAsia="仿宋" w:cs="仿宋"/>
                <w:color w:val="000000"/>
                <w:kern w:val="0"/>
                <w:sz w:val="24"/>
                <w:szCs w:val="24"/>
                <w:highlight w:val="none"/>
              </w:rPr>
              <w:t>%</w:t>
            </w:r>
          </w:p>
        </w:tc>
      </w:tr>
      <w:tr w14:paraId="347027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2798281F">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满意度</w:t>
            </w:r>
            <w:r>
              <w:rPr>
                <w:rFonts w:hint="eastAsia" w:ascii="仿宋" w:hAnsi="仿宋" w:eastAsia="仿宋" w:cs="仿宋"/>
                <w:color w:val="000000"/>
                <w:kern w:val="0"/>
                <w:sz w:val="24"/>
                <w:szCs w:val="24"/>
                <w:highlight w:val="none"/>
                <w:lang w:val="en-US" w:eastAsia="zh-CN"/>
              </w:rPr>
              <w:t>指标</w:t>
            </w:r>
          </w:p>
        </w:tc>
        <w:tc>
          <w:tcPr>
            <w:tcW w:w="1701" w:type="dxa"/>
            <w:vAlign w:val="center"/>
          </w:tcPr>
          <w:p w14:paraId="6192AEB7">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1701" w:type="dxa"/>
            <w:vAlign w:val="center"/>
          </w:tcPr>
          <w:p w14:paraId="31AC488D">
            <w:pPr>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1701" w:type="dxa"/>
            <w:vAlign w:val="center"/>
          </w:tcPr>
          <w:p w14:paraId="7D783BDD">
            <w:pPr>
              <w:widowControl/>
              <w:wordWrap/>
              <w:autoSpaceDE w:val="0"/>
              <w:autoSpaceDN w:val="0"/>
              <w:adjustRightInd/>
              <w:snapToGrid/>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r>
      <w:tr w14:paraId="228890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48B696E4">
            <w:pPr>
              <w:widowControl/>
              <w:wordWrap/>
              <w:autoSpaceDE w:val="0"/>
              <w:autoSpaceDN w:val="0"/>
              <w:adjustRightInd/>
              <w:snapToGrid/>
              <w:spacing w:line="240" w:lineRule="auto"/>
              <w:jc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color w:val="000000"/>
                <w:kern w:val="0"/>
                <w:sz w:val="24"/>
                <w:szCs w:val="24"/>
                <w:highlight w:val="none"/>
                <w:shd w:val="clear" w:color="auto" w:fill="BDD6EE"/>
              </w:rPr>
              <w:t>合计</w:t>
            </w:r>
          </w:p>
        </w:tc>
        <w:tc>
          <w:tcPr>
            <w:tcW w:w="1701" w:type="dxa"/>
            <w:shd w:val="clear" w:color="auto" w:fill="BDD6EE"/>
            <w:vAlign w:val="center"/>
          </w:tcPr>
          <w:p w14:paraId="54339626">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100</w:t>
            </w:r>
          </w:p>
        </w:tc>
        <w:tc>
          <w:tcPr>
            <w:tcW w:w="1701" w:type="dxa"/>
            <w:shd w:val="clear" w:color="auto" w:fill="BDD6EE"/>
            <w:vAlign w:val="center"/>
          </w:tcPr>
          <w:p w14:paraId="0CA2A1AA">
            <w:pPr>
              <w:widowControl/>
              <w:wordWrap/>
              <w:autoSpaceDE w:val="0"/>
              <w:autoSpaceDN w:val="0"/>
              <w:adjustRightInd/>
              <w:snapToGrid/>
              <w:spacing w:line="240" w:lineRule="auto"/>
              <w:ind w:left="0" w:leftChars="0" w:firstLine="0" w:firstLineChars="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100</w:t>
            </w:r>
          </w:p>
        </w:tc>
        <w:tc>
          <w:tcPr>
            <w:tcW w:w="1701" w:type="dxa"/>
            <w:shd w:val="clear" w:color="auto" w:fill="BDD6EE"/>
            <w:vAlign w:val="center"/>
          </w:tcPr>
          <w:p w14:paraId="7D692E5E">
            <w:pPr>
              <w:widowControl/>
              <w:wordWrap/>
              <w:autoSpaceDE w:val="0"/>
              <w:autoSpaceDN w:val="0"/>
              <w:adjustRightInd/>
              <w:snapToGrid/>
              <w:spacing w:line="240" w:lineRule="auto"/>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val="en-US" w:eastAsia="zh-CN"/>
              </w:rPr>
              <w:t>100</w:t>
            </w:r>
            <w:r>
              <w:rPr>
                <w:rFonts w:hint="eastAsia" w:ascii="仿宋" w:hAnsi="仿宋" w:eastAsia="仿宋" w:cs="仿宋"/>
                <w:b/>
                <w:color w:val="000000"/>
                <w:kern w:val="0"/>
                <w:sz w:val="24"/>
                <w:szCs w:val="24"/>
                <w:highlight w:val="none"/>
              </w:rPr>
              <w:t>%</w:t>
            </w:r>
          </w:p>
        </w:tc>
      </w:tr>
    </w:tbl>
    <w:p w14:paraId="71664F71">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bookmarkEnd w:id="67"/>
    </w:p>
    <w:p w14:paraId="1CE70DB9">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lang w:val="en-US" w:eastAsia="zh-CN"/>
        </w:rPr>
        <w:t>全省法院业务费</w:t>
      </w:r>
      <w:r>
        <w:rPr>
          <w:rFonts w:hint="eastAsia"/>
          <w:sz w:val="32"/>
          <w:szCs w:val="32"/>
        </w:rPr>
        <w:t>年初预算数</w:t>
      </w:r>
      <w:r>
        <w:rPr>
          <w:rFonts w:hint="eastAsia"/>
          <w:sz w:val="32"/>
          <w:szCs w:val="32"/>
          <w:lang w:val="en-US" w:eastAsia="zh-CN"/>
        </w:rPr>
        <w:t>130.00万元，</w:t>
      </w:r>
      <w:r>
        <w:rPr>
          <w:rFonts w:hint="eastAsia"/>
          <w:sz w:val="32"/>
          <w:szCs w:val="32"/>
        </w:rPr>
        <w:t>全年预算数</w:t>
      </w:r>
      <w:r>
        <w:rPr>
          <w:rFonts w:hint="eastAsia"/>
          <w:sz w:val="32"/>
          <w:szCs w:val="32"/>
          <w:lang w:val="en-US" w:eastAsia="zh-CN"/>
        </w:rPr>
        <w:t>195.00万元，</w:t>
      </w:r>
      <w:r>
        <w:rPr>
          <w:rFonts w:hint="eastAsia"/>
          <w:sz w:val="32"/>
          <w:szCs w:val="32"/>
        </w:rPr>
        <w:t>全年执行数</w:t>
      </w:r>
      <w:r>
        <w:rPr>
          <w:rFonts w:hint="eastAsia"/>
          <w:sz w:val="32"/>
          <w:szCs w:val="32"/>
          <w:lang w:val="en-US" w:eastAsia="zh-CN"/>
        </w:rPr>
        <w:t>195.00</w:t>
      </w:r>
      <w:r>
        <w:rPr>
          <w:rFonts w:hint="eastAsia"/>
          <w:sz w:val="32"/>
          <w:szCs w:val="32"/>
          <w:highlight w:val="none"/>
        </w:rPr>
        <w:t>万元，预算执行率</w:t>
      </w:r>
      <w:r>
        <w:rPr>
          <w:rFonts w:hint="eastAsia"/>
          <w:sz w:val="32"/>
          <w:szCs w:val="32"/>
          <w:highlight w:val="none"/>
          <w:lang w:val="en-US" w:eastAsia="zh-CN"/>
        </w:rPr>
        <w:t>100</w:t>
      </w:r>
      <w:r>
        <w:rPr>
          <w:rFonts w:hint="eastAsia"/>
          <w:sz w:val="32"/>
          <w:szCs w:val="32"/>
          <w:highlight w:val="none"/>
        </w:rPr>
        <w:t>%，满分10分，得分</w:t>
      </w:r>
      <w:r>
        <w:rPr>
          <w:rFonts w:hint="eastAsia"/>
          <w:sz w:val="32"/>
          <w:szCs w:val="32"/>
          <w:highlight w:val="none"/>
          <w:lang w:val="en-US" w:eastAsia="zh-CN"/>
        </w:rPr>
        <w:t>10</w:t>
      </w:r>
      <w:r>
        <w:rPr>
          <w:rFonts w:hint="eastAsia"/>
          <w:sz w:val="32"/>
          <w:szCs w:val="32"/>
          <w:highlight w:val="none"/>
        </w:rPr>
        <w:t>分。</w:t>
      </w:r>
    </w:p>
    <w:p w14:paraId="6DB34821">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68" w:name="_Toc40046041"/>
      <w:r>
        <w:rPr>
          <w:rFonts w:hint="eastAsia"/>
          <w:sz w:val="32"/>
          <w:szCs w:val="32"/>
        </w:rPr>
        <w:t>2</w:t>
      </w:r>
      <w:r>
        <w:rPr>
          <w:rFonts w:hint="eastAsia"/>
          <w:sz w:val="32"/>
          <w:szCs w:val="32"/>
          <w:lang w:eastAsia="zh-CN"/>
        </w:rPr>
        <w:t>.</w:t>
      </w:r>
      <w:r>
        <w:rPr>
          <w:rFonts w:hint="eastAsia"/>
          <w:sz w:val="32"/>
          <w:szCs w:val="32"/>
        </w:rPr>
        <w:t>总体绩效目标完成情况分析</w:t>
      </w:r>
      <w:bookmarkEnd w:id="68"/>
    </w:p>
    <w:p w14:paraId="10B35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bookmarkStart w:id="69" w:name="_Toc40046042"/>
      <w:r>
        <w:rPr>
          <w:rFonts w:hint="eastAsia"/>
          <w:sz w:val="32"/>
          <w:szCs w:val="32"/>
          <w:highlight w:val="none"/>
        </w:rPr>
        <w:t>本年度通过项目实施，完成了年初预算的设备购置工作，验收合格率达到100%，案件审判在规定时间内优质高效的完成，法定审限内结案率达到98.92%，人民群众满意度达到90%。</w:t>
      </w:r>
    </w:p>
    <w:p w14:paraId="1B22134B">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bookmarkEnd w:id="69"/>
    </w:p>
    <w:p w14:paraId="5F8DEBD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1</w:t>
      </w:r>
      <w:r>
        <w:rPr>
          <w:rFonts w:hint="eastAsia"/>
          <w:b/>
          <w:bCs/>
          <w:sz w:val="32"/>
          <w:szCs w:val="32"/>
          <w:lang w:eastAsia="zh-CN"/>
        </w:rPr>
        <w:t>）</w:t>
      </w:r>
      <w:r>
        <w:rPr>
          <w:rFonts w:hint="eastAsia"/>
          <w:b/>
          <w:bCs/>
          <w:sz w:val="32"/>
          <w:szCs w:val="32"/>
          <w:lang w:val="en-US" w:eastAsia="zh-CN"/>
        </w:rPr>
        <w:t>成本指标</w:t>
      </w:r>
    </w:p>
    <w:p w14:paraId="280FAB0D">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成本指标下设经济成本指标1个二级指标。指标分值20分，自评得分20分。得分率为100%。</w:t>
      </w:r>
    </w:p>
    <w:p w14:paraId="77427168">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eastAsia="zh-CN"/>
        </w:rPr>
      </w:pPr>
      <w:r>
        <w:rPr>
          <w:rFonts w:hint="eastAsia"/>
          <w:b/>
          <w:bCs/>
          <w:sz w:val="32"/>
          <w:szCs w:val="32"/>
          <w:lang w:val="en-US" w:eastAsia="zh-CN"/>
        </w:rPr>
        <w:t>成本控制情况：</w:t>
      </w:r>
      <w:r>
        <w:rPr>
          <w:rFonts w:hint="eastAsia"/>
          <w:b w:val="0"/>
          <w:bCs w:val="0"/>
          <w:sz w:val="32"/>
          <w:szCs w:val="32"/>
          <w:lang w:val="en-US" w:eastAsia="zh-CN"/>
        </w:rPr>
        <w:t>我院法院业务费成本控制在预算范围内，指标分值20分，自评得分20分，得分率为100%。</w:t>
      </w:r>
    </w:p>
    <w:p w14:paraId="02EEA43B">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2</w:t>
      </w:r>
      <w:r>
        <w:rPr>
          <w:rFonts w:hint="eastAsia"/>
          <w:b/>
          <w:bCs/>
          <w:sz w:val="32"/>
          <w:szCs w:val="32"/>
        </w:rPr>
        <w:t>）产出指标</w:t>
      </w:r>
    </w:p>
    <w:p w14:paraId="6EB23B24">
      <w:pPr>
        <w:pageBreakBefore w:val="0"/>
        <w:widowControl w:val="0"/>
        <w:kinsoku/>
        <w:wordWrap/>
        <w:overflowPunct/>
        <w:topLinePunct w:val="0"/>
        <w:autoSpaceDE/>
        <w:autoSpaceDN/>
        <w:bidi w:val="0"/>
        <w:adjustRightInd/>
        <w:snapToGrid/>
        <w:spacing w:line="560" w:lineRule="exact"/>
        <w:ind w:firstLine="640" w:firstLineChars="200"/>
        <w:textAlignment w:val="auto"/>
        <w:rPr>
          <w:rFonts w:cs="仿宋_GB2312"/>
          <w:sz w:val="32"/>
          <w:szCs w:val="32"/>
        </w:rPr>
      </w:pPr>
      <w:r>
        <w:rPr>
          <w:rFonts w:hint="eastAsia"/>
          <w:sz w:val="32"/>
          <w:szCs w:val="32"/>
        </w:rPr>
        <w:t>产出指标下设数量</w:t>
      </w:r>
      <w:r>
        <w:rPr>
          <w:rFonts w:hint="eastAsia"/>
          <w:sz w:val="32"/>
          <w:szCs w:val="32"/>
          <w:lang w:eastAsia="zh-CN"/>
        </w:rPr>
        <w:t>、</w:t>
      </w:r>
      <w:r>
        <w:rPr>
          <w:rFonts w:hint="eastAsia"/>
          <w:sz w:val="32"/>
          <w:szCs w:val="32"/>
        </w:rPr>
        <w:t>质量</w:t>
      </w:r>
      <w:r>
        <w:rPr>
          <w:rFonts w:hint="eastAsia"/>
          <w:sz w:val="32"/>
          <w:szCs w:val="32"/>
          <w:lang w:val="en-US" w:eastAsia="zh-CN"/>
        </w:rPr>
        <w:t>和</w:t>
      </w:r>
      <w:r>
        <w:rPr>
          <w:rFonts w:hint="eastAsia"/>
          <w:sz w:val="32"/>
          <w:szCs w:val="32"/>
          <w:lang w:eastAsia="zh-CN"/>
        </w:rPr>
        <w:t>时效</w:t>
      </w:r>
      <w:r>
        <w:rPr>
          <w:rFonts w:hint="eastAsia"/>
          <w:sz w:val="32"/>
          <w:szCs w:val="32"/>
          <w:lang w:val="en-US" w:eastAsia="zh-CN"/>
        </w:rPr>
        <w:t>3</w:t>
      </w:r>
      <w:r>
        <w:rPr>
          <w:rFonts w:hint="eastAsia"/>
          <w:sz w:val="32"/>
          <w:szCs w:val="32"/>
        </w:rPr>
        <w:t>个二级指标。</w:t>
      </w:r>
      <w:r>
        <w:rPr>
          <w:rFonts w:hint="eastAsia"/>
          <w:sz w:val="32"/>
          <w:szCs w:val="32"/>
          <w:lang w:val="en-US" w:eastAsia="zh-CN"/>
        </w:rPr>
        <w:t>指标</w:t>
      </w:r>
      <w:r>
        <w:rPr>
          <w:rFonts w:hint="eastAsia"/>
          <w:sz w:val="32"/>
          <w:szCs w:val="32"/>
        </w:rPr>
        <w:t>分值</w:t>
      </w:r>
      <w:r>
        <w:rPr>
          <w:rFonts w:hint="eastAsia"/>
          <w:sz w:val="32"/>
          <w:szCs w:val="32"/>
          <w:lang w:val="en-US" w:eastAsia="zh-CN"/>
        </w:rPr>
        <w:t>4</w:t>
      </w:r>
      <w:r>
        <w:rPr>
          <w:rFonts w:hint="eastAsia"/>
          <w:sz w:val="32"/>
          <w:szCs w:val="32"/>
        </w:rPr>
        <w:t>0分，</w:t>
      </w:r>
      <w:r>
        <w:rPr>
          <w:rFonts w:hint="eastAsia"/>
          <w:sz w:val="32"/>
          <w:szCs w:val="32"/>
          <w:lang w:val="en-US" w:eastAsia="zh-CN"/>
        </w:rPr>
        <w:t>自评</w:t>
      </w:r>
      <w:r>
        <w:rPr>
          <w:rFonts w:hint="eastAsia"/>
          <w:sz w:val="32"/>
          <w:szCs w:val="32"/>
        </w:rPr>
        <w:t>得分</w:t>
      </w:r>
      <w:r>
        <w:rPr>
          <w:rFonts w:hint="eastAsia"/>
          <w:sz w:val="32"/>
          <w:szCs w:val="32"/>
          <w:lang w:val="en-US" w:eastAsia="zh-CN"/>
        </w:rPr>
        <w:t>40</w:t>
      </w:r>
      <w:r>
        <w:rPr>
          <w:rFonts w:hint="eastAsia"/>
          <w:sz w:val="32"/>
          <w:szCs w:val="32"/>
        </w:rPr>
        <w:t>分，</w:t>
      </w:r>
      <w:r>
        <w:rPr>
          <w:rFonts w:hint="eastAsia"/>
          <w:sz w:val="32"/>
          <w:szCs w:val="32"/>
          <w:lang w:eastAsia="zh-CN"/>
        </w:rPr>
        <w:t>得分率为</w:t>
      </w:r>
      <w:r>
        <w:rPr>
          <w:rFonts w:hint="eastAsia"/>
          <w:sz w:val="32"/>
          <w:szCs w:val="32"/>
          <w:lang w:val="en-US" w:eastAsia="zh-CN"/>
        </w:rPr>
        <w:t>100</w:t>
      </w:r>
      <w:r>
        <w:rPr>
          <w:rFonts w:hint="eastAsia"/>
          <w:sz w:val="32"/>
          <w:szCs w:val="32"/>
        </w:rPr>
        <w:t>%</w:t>
      </w:r>
      <w:r>
        <w:rPr>
          <w:rFonts w:hint="eastAsia" w:cs="仿宋_GB2312"/>
          <w:sz w:val="32"/>
          <w:szCs w:val="32"/>
        </w:rPr>
        <w:t>。</w:t>
      </w:r>
    </w:p>
    <w:p w14:paraId="52A2B330">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仿宋_GB2312"/>
          <w:sz w:val="32"/>
          <w:szCs w:val="32"/>
        </w:rPr>
      </w:pPr>
      <w:r>
        <w:rPr>
          <w:rFonts w:hint="eastAsia"/>
          <w:b/>
          <w:bCs/>
          <w:sz w:val="32"/>
          <w:szCs w:val="32"/>
        </w:rPr>
        <w:t>①数量指标</w:t>
      </w:r>
    </w:p>
    <w:p w14:paraId="1A78D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数量指标下设</w:t>
      </w:r>
      <w:r>
        <w:rPr>
          <w:rFonts w:hint="eastAsia"/>
          <w:sz w:val="32"/>
          <w:szCs w:val="32"/>
          <w:lang w:val="en-US" w:eastAsia="zh-CN"/>
        </w:rPr>
        <w:t>5</w:t>
      </w:r>
      <w:r>
        <w:rPr>
          <w:rFonts w:hint="eastAsia"/>
          <w:sz w:val="32"/>
          <w:szCs w:val="32"/>
        </w:rPr>
        <w:t>个三级指标，</w:t>
      </w:r>
      <w:r>
        <w:rPr>
          <w:rFonts w:hint="eastAsia" w:hAnsi="宋体"/>
          <w:sz w:val="32"/>
          <w:szCs w:val="32"/>
        </w:rPr>
        <w:t>指标权重合计</w:t>
      </w:r>
      <w:r>
        <w:rPr>
          <w:rFonts w:hint="eastAsia" w:hAnsi="宋体"/>
          <w:sz w:val="32"/>
          <w:szCs w:val="32"/>
          <w:lang w:val="en-US" w:eastAsia="zh-CN"/>
        </w:rPr>
        <w:t>15.44</w:t>
      </w:r>
      <w:r>
        <w:rPr>
          <w:rFonts w:hint="eastAsia" w:hAnsi="宋体"/>
          <w:sz w:val="32"/>
          <w:szCs w:val="32"/>
        </w:rPr>
        <w:t>分，自评得分</w:t>
      </w:r>
      <w:r>
        <w:rPr>
          <w:rFonts w:hint="eastAsia" w:hAnsi="宋体"/>
          <w:sz w:val="32"/>
          <w:szCs w:val="32"/>
          <w:lang w:val="en-US" w:eastAsia="zh-CN"/>
        </w:rPr>
        <w:t>15.44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3B8BC7A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lang w:val="en-US" w:eastAsia="zh-CN"/>
        </w:rPr>
      </w:pPr>
      <w:r>
        <w:rPr>
          <w:rFonts w:hint="eastAsia" w:hAnsi="宋体"/>
          <w:b/>
          <w:bCs/>
          <w:sz w:val="32"/>
          <w:szCs w:val="32"/>
          <w:lang w:val="en-US" w:eastAsia="zh-CN"/>
        </w:rPr>
        <w:t>结案率：</w:t>
      </w:r>
      <w:r>
        <w:rPr>
          <w:rFonts w:hint="eastAsia" w:hAnsi="宋体"/>
          <w:b w:val="0"/>
          <w:bCs w:val="0"/>
          <w:sz w:val="32"/>
          <w:szCs w:val="32"/>
          <w:lang w:val="en-US" w:eastAsia="zh-CN"/>
        </w:rPr>
        <w:t>我院结案率年度指标值≥90，实际完成97.46%，该指标分值3.16分，自评得分为3.16分，得分率为100%。</w:t>
      </w:r>
    </w:p>
    <w:p w14:paraId="51A48F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lang w:val="en-US" w:eastAsia="zh-CN"/>
        </w:rPr>
      </w:pPr>
      <w:r>
        <w:rPr>
          <w:rFonts w:hint="eastAsia" w:hAnsi="宋体"/>
          <w:b/>
          <w:bCs/>
          <w:sz w:val="32"/>
          <w:szCs w:val="32"/>
          <w:lang w:val="en-US" w:eastAsia="zh-CN"/>
        </w:rPr>
        <w:t>设备购置数量：</w:t>
      </w:r>
      <w:r>
        <w:rPr>
          <w:rFonts w:hint="eastAsia" w:hAnsi="宋体" w:cstheme="minorBidi"/>
          <w:b w:val="0"/>
          <w:bCs w:val="0"/>
          <w:kern w:val="2"/>
          <w:sz w:val="32"/>
          <w:szCs w:val="32"/>
          <w:highlight w:val="none"/>
          <w:lang w:val="en-US" w:eastAsia="zh-CN" w:bidi="ar-SA"/>
        </w:rPr>
        <w:t>我院按照年初采购计划进行采购，</w:t>
      </w:r>
      <w:r>
        <w:rPr>
          <w:rFonts w:hint="eastAsia"/>
          <w:sz w:val="32"/>
          <w:szCs w:val="32"/>
        </w:rPr>
        <w:t>购置</w:t>
      </w:r>
      <w:r>
        <w:rPr>
          <w:rFonts w:hint="eastAsia"/>
          <w:sz w:val="32"/>
          <w:szCs w:val="32"/>
          <w:lang w:val="en-US" w:eastAsia="zh-CN"/>
        </w:rPr>
        <w:t>26套（组）设备，</w:t>
      </w:r>
      <w:r>
        <w:rPr>
          <w:rFonts w:hint="eastAsia" w:hAnsi="宋体"/>
          <w:b w:val="0"/>
          <w:bCs w:val="0"/>
          <w:sz w:val="32"/>
          <w:szCs w:val="32"/>
          <w:highlight w:val="none"/>
        </w:rPr>
        <w:t>指标分值</w:t>
      </w:r>
      <w:r>
        <w:rPr>
          <w:rFonts w:hint="eastAsia" w:hAnsi="宋体"/>
          <w:sz w:val="32"/>
          <w:szCs w:val="32"/>
          <w:lang w:val="en-US" w:eastAsia="zh-CN"/>
        </w:rPr>
        <w:t>3.07</w:t>
      </w:r>
      <w:r>
        <w:rPr>
          <w:rFonts w:hint="eastAsia" w:hAnsi="宋体"/>
          <w:b w:val="0"/>
          <w:bCs w:val="0"/>
          <w:sz w:val="32"/>
          <w:szCs w:val="32"/>
          <w:highlight w:val="none"/>
        </w:rPr>
        <w:t>分，自评得分为</w:t>
      </w:r>
      <w:r>
        <w:rPr>
          <w:rFonts w:hint="eastAsia" w:hAnsi="宋体"/>
          <w:sz w:val="32"/>
          <w:szCs w:val="32"/>
          <w:lang w:val="en-US" w:eastAsia="zh-CN"/>
        </w:rPr>
        <w:t>3.07</w:t>
      </w:r>
      <w:r>
        <w:rPr>
          <w:rFonts w:hint="eastAsia" w:hAnsi="宋体"/>
          <w:b w:val="0"/>
          <w:bCs w:val="0"/>
          <w:sz w:val="32"/>
          <w:szCs w:val="32"/>
          <w:highlight w:val="none"/>
        </w:rPr>
        <w:t>分</w:t>
      </w:r>
      <w:r>
        <w:rPr>
          <w:rFonts w:hint="eastAsia" w:hAnsi="宋体"/>
          <w:sz w:val="32"/>
          <w:szCs w:val="32"/>
          <w:highlight w:val="none"/>
        </w:rPr>
        <w:t>，得分率为</w:t>
      </w:r>
      <w:r>
        <w:rPr>
          <w:rFonts w:hint="eastAsia" w:hAnsi="宋体"/>
          <w:sz w:val="32"/>
          <w:szCs w:val="32"/>
          <w:highlight w:val="none"/>
          <w:lang w:val="en-US" w:eastAsia="zh-CN"/>
        </w:rPr>
        <w:t>100</w:t>
      </w:r>
      <w:r>
        <w:rPr>
          <w:rFonts w:hint="eastAsia" w:hAnsi="宋体" w:cstheme="minorBidi"/>
          <w:b w:val="0"/>
          <w:bCs w:val="0"/>
          <w:kern w:val="2"/>
          <w:sz w:val="32"/>
          <w:szCs w:val="32"/>
          <w:highlight w:val="none"/>
          <w:lang w:val="en-US" w:eastAsia="zh-CN" w:bidi="ar-SA"/>
        </w:rPr>
        <w:t>%。</w:t>
      </w:r>
    </w:p>
    <w:p w14:paraId="08E7C185">
      <w:pPr>
        <w:pStyle w:val="20"/>
        <w:keepNext w:val="0"/>
        <w:keepLines w:val="0"/>
        <w:pageBreakBefore w:val="0"/>
        <w:widowControl w:val="0"/>
        <w:kinsoku/>
        <w:wordWrap/>
        <w:overflowPunct/>
        <w:topLinePunct w:val="0"/>
        <w:autoSpaceDE/>
        <w:autoSpaceDN/>
        <w:bidi w:val="0"/>
        <w:adjustRightInd/>
        <w:snapToGrid/>
        <w:spacing w:before="0" w:beforeAutospacing="0" w:line="560" w:lineRule="exact"/>
        <w:ind w:firstLine="643" w:firstLineChars="200"/>
        <w:textAlignment w:val="auto"/>
        <w:rPr>
          <w:rFonts w:hint="default" w:hAnsi="宋体"/>
          <w:b/>
          <w:bCs/>
          <w:sz w:val="32"/>
          <w:szCs w:val="32"/>
          <w:lang w:val="en-US" w:eastAsia="zh-CN"/>
        </w:rPr>
      </w:pPr>
      <w:r>
        <w:rPr>
          <w:rFonts w:hint="eastAsia" w:hAnsi="宋体"/>
          <w:b/>
          <w:bCs/>
          <w:sz w:val="32"/>
          <w:szCs w:val="32"/>
          <w:lang w:val="en-US" w:eastAsia="zh-CN"/>
        </w:rPr>
        <w:t>维修维护项目数：</w:t>
      </w:r>
      <w:r>
        <w:rPr>
          <w:rFonts w:hint="eastAsia" w:hAnsi="宋体"/>
          <w:b w:val="0"/>
          <w:bCs w:val="0"/>
          <w:sz w:val="32"/>
          <w:szCs w:val="32"/>
          <w:lang w:val="en-US" w:eastAsia="zh-CN"/>
        </w:rPr>
        <w:t>我院维修维护项目数年度指标值＝3项，实际实施了3个维修维护项目，该指标分值3.07，自评得分为3.07分，得分率为100%。</w:t>
      </w:r>
    </w:p>
    <w:p w14:paraId="1F2C27AD">
      <w:pPr>
        <w:pStyle w:val="20"/>
        <w:keepNext w:val="0"/>
        <w:keepLines w:val="0"/>
        <w:pageBreakBefore w:val="0"/>
        <w:widowControl w:val="0"/>
        <w:kinsoku/>
        <w:wordWrap/>
        <w:overflowPunct/>
        <w:topLinePunct w:val="0"/>
        <w:autoSpaceDE/>
        <w:autoSpaceDN/>
        <w:bidi w:val="0"/>
        <w:adjustRightInd/>
        <w:snapToGrid/>
        <w:spacing w:before="0" w:beforeAutospacing="0" w:line="560" w:lineRule="exact"/>
        <w:ind w:firstLine="643" w:firstLineChars="200"/>
        <w:textAlignment w:val="auto"/>
        <w:rPr>
          <w:rFonts w:hint="default" w:hAnsi="宋体"/>
          <w:b/>
          <w:bCs/>
          <w:sz w:val="32"/>
          <w:szCs w:val="32"/>
          <w:highlight w:val="none"/>
          <w:lang w:val="en-US" w:eastAsia="zh-CN"/>
        </w:rPr>
      </w:pPr>
      <w:r>
        <w:rPr>
          <w:rFonts w:hint="eastAsia" w:hAnsi="宋体"/>
          <w:b/>
          <w:bCs/>
          <w:sz w:val="32"/>
          <w:szCs w:val="32"/>
          <w:highlight w:val="none"/>
          <w:lang w:val="en-US" w:eastAsia="zh-CN"/>
        </w:rPr>
        <w:t>物业管理面积：</w:t>
      </w:r>
      <w:r>
        <w:rPr>
          <w:rFonts w:hint="eastAsia" w:hAnsi="宋体"/>
          <w:b w:val="0"/>
          <w:bCs w:val="0"/>
          <w:sz w:val="32"/>
          <w:szCs w:val="32"/>
          <w:highlight w:val="none"/>
          <w:lang w:val="en-US" w:eastAsia="zh-CN"/>
        </w:rPr>
        <w:t>我院本年度实际保障物业管理面积8452平方米，该指标分值3.07分，自评得分3.07分，得分率为100%。</w:t>
      </w:r>
    </w:p>
    <w:p w14:paraId="3F09490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val="0"/>
          <w:bCs w:val="0"/>
          <w:sz w:val="32"/>
          <w:szCs w:val="32"/>
          <w:highlight w:val="none"/>
          <w:lang w:eastAsia="zh-CN"/>
        </w:rPr>
      </w:pPr>
      <w:r>
        <w:rPr>
          <w:rFonts w:hint="eastAsia" w:hAnsi="宋体"/>
          <w:b/>
          <w:bCs/>
          <w:sz w:val="32"/>
          <w:szCs w:val="32"/>
          <w:highlight w:val="none"/>
          <w:lang w:val="en-US" w:eastAsia="zh-CN"/>
        </w:rPr>
        <w:t>信息化运维服务完成率：</w:t>
      </w:r>
      <w:r>
        <w:rPr>
          <w:rFonts w:hint="eastAsia" w:hAnsi="宋体"/>
          <w:b w:val="0"/>
          <w:bCs w:val="0"/>
          <w:sz w:val="32"/>
          <w:szCs w:val="32"/>
          <w:highlight w:val="none"/>
          <w:lang w:val="en-US" w:eastAsia="zh-CN"/>
        </w:rPr>
        <w:t>我院</w:t>
      </w:r>
      <w:r>
        <w:rPr>
          <w:rFonts w:hint="eastAsia" w:hAnsi="宋体"/>
          <w:b w:val="0"/>
          <w:bCs w:val="0"/>
          <w:sz w:val="32"/>
          <w:szCs w:val="32"/>
          <w:highlight w:val="none"/>
          <w:lang w:eastAsia="zh-CN"/>
        </w:rPr>
        <w:t>加大智慧法院建设力度，进一步落实指尖化、电子化、自助化的诉讼服务模式，完善综合配套机制改革，深化智慧法院建设，以信息化推动审判智能化。</w:t>
      </w:r>
      <w:r>
        <w:rPr>
          <w:rFonts w:hint="eastAsia" w:hAnsi="宋体"/>
          <w:b w:val="0"/>
          <w:bCs w:val="0"/>
          <w:sz w:val="32"/>
          <w:szCs w:val="32"/>
          <w:highlight w:val="none"/>
          <w:lang w:val="en-US" w:eastAsia="zh-CN"/>
        </w:rPr>
        <w:t>信息化运维服务完成率达到100%，</w:t>
      </w:r>
      <w:r>
        <w:rPr>
          <w:rFonts w:hint="eastAsia" w:hAnsi="宋体"/>
          <w:b w:val="0"/>
          <w:bCs w:val="0"/>
          <w:sz w:val="32"/>
          <w:szCs w:val="32"/>
          <w:highlight w:val="none"/>
          <w:lang w:eastAsia="zh-CN"/>
        </w:rPr>
        <w:t>该指标分值</w:t>
      </w:r>
      <w:r>
        <w:rPr>
          <w:rFonts w:hint="eastAsia" w:hAnsi="宋体"/>
          <w:b w:val="0"/>
          <w:bCs w:val="0"/>
          <w:sz w:val="32"/>
          <w:szCs w:val="32"/>
          <w:highlight w:val="none"/>
          <w:lang w:val="en-US" w:eastAsia="zh-CN"/>
        </w:rPr>
        <w:t>3.07</w:t>
      </w:r>
      <w:r>
        <w:rPr>
          <w:rFonts w:hint="eastAsia" w:hAnsi="宋体"/>
          <w:b w:val="0"/>
          <w:bCs w:val="0"/>
          <w:sz w:val="32"/>
          <w:szCs w:val="32"/>
          <w:highlight w:val="none"/>
          <w:lang w:eastAsia="zh-CN"/>
        </w:rPr>
        <w:t>分，自评得分</w:t>
      </w:r>
      <w:r>
        <w:rPr>
          <w:rFonts w:hint="eastAsia" w:hAnsi="宋体"/>
          <w:b w:val="0"/>
          <w:bCs w:val="0"/>
          <w:sz w:val="32"/>
          <w:szCs w:val="32"/>
          <w:highlight w:val="none"/>
          <w:lang w:val="en-US" w:eastAsia="zh-CN"/>
        </w:rPr>
        <w:t>3.07</w:t>
      </w:r>
      <w:r>
        <w:rPr>
          <w:rFonts w:hint="eastAsia" w:hAnsi="宋体"/>
          <w:b w:val="0"/>
          <w:bCs w:val="0"/>
          <w:sz w:val="32"/>
          <w:szCs w:val="32"/>
          <w:highlight w:val="none"/>
          <w:lang w:eastAsia="zh-CN"/>
        </w:rPr>
        <w:t>分，得分率为100%。</w:t>
      </w:r>
    </w:p>
    <w:p w14:paraId="3D2F9EE1">
      <w:pPr>
        <w:pStyle w:val="18"/>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ascii="仿宋_GB2312" w:hAnsi="仿宋_GB2312" w:eastAsia="仿宋_GB2312" w:cstheme="minorBidi"/>
          <w:b/>
          <w:bCs/>
          <w:kern w:val="2"/>
          <w:sz w:val="32"/>
          <w:szCs w:val="32"/>
          <w:lang w:val="en-US" w:eastAsia="zh-CN" w:bidi="ar-SA"/>
        </w:rPr>
        <w:t>②</w:t>
      </w:r>
      <w:r>
        <w:rPr>
          <w:rFonts w:hint="eastAsia" w:ascii="Calibri" w:hAnsi="Calibri" w:cs="Calibri"/>
          <w:b/>
          <w:bCs/>
          <w:sz w:val="32"/>
          <w:szCs w:val="32"/>
        </w:rPr>
        <w:t>质量</w:t>
      </w:r>
      <w:r>
        <w:rPr>
          <w:rFonts w:hint="eastAsia" w:hAnsi="宋体"/>
          <w:b/>
          <w:bCs/>
          <w:sz w:val="32"/>
          <w:szCs w:val="32"/>
        </w:rPr>
        <w:t>指标</w:t>
      </w:r>
    </w:p>
    <w:p w14:paraId="355741B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质量指标下设</w:t>
      </w:r>
      <w:r>
        <w:rPr>
          <w:rFonts w:hint="eastAsia"/>
          <w:sz w:val="32"/>
          <w:szCs w:val="32"/>
          <w:lang w:val="en-US" w:eastAsia="zh-CN"/>
        </w:rPr>
        <w:t>5</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分值15.35</w:t>
      </w:r>
      <w:r>
        <w:rPr>
          <w:rFonts w:hint="eastAsia" w:hAnsi="宋体"/>
          <w:sz w:val="32"/>
          <w:szCs w:val="32"/>
        </w:rPr>
        <w:t>分，自评得分</w:t>
      </w:r>
      <w:r>
        <w:rPr>
          <w:rFonts w:hint="eastAsia" w:hAnsi="宋体"/>
          <w:sz w:val="32"/>
          <w:szCs w:val="32"/>
          <w:lang w:val="en-US" w:eastAsia="zh-CN"/>
        </w:rPr>
        <w:t>15.35</w:t>
      </w:r>
      <w:r>
        <w:rPr>
          <w:rFonts w:hint="eastAsia" w:hAnsi="宋体"/>
          <w:sz w:val="32"/>
          <w:szCs w:val="32"/>
        </w:rPr>
        <w:t>分，得分率为100%。</w:t>
      </w:r>
    </w:p>
    <w:p w14:paraId="5106BD0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cstheme="minorBidi"/>
          <w:b/>
          <w:bCs/>
          <w:kern w:val="2"/>
          <w:sz w:val="32"/>
          <w:szCs w:val="32"/>
          <w:lang w:val="en-US" w:eastAsia="zh-CN" w:bidi="ar-SA"/>
        </w:rPr>
      </w:pPr>
      <w:r>
        <w:rPr>
          <w:rFonts w:hint="eastAsia" w:ascii="Calibri" w:hAnsi="Calibri" w:cs="Calibri"/>
          <w:b/>
          <w:bCs/>
          <w:kern w:val="2"/>
          <w:sz w:val="32"/>
          <w:szCs w:val="32"/>
          <w:lang w:val="en-US" w:eastAsia="zh-CN" w:bidi="ar-SA"/>
        </w:rPr>
        <w:t>设备购置数量验收合格率：</w:t>
      </w:r>
      <w:r>
        <w:rPr>
          <w:rFonts w:hint="eastAsia" w:hAnsi="宋体" w:cstheme="minorBidi"/>
          <w:b w:val="0"/>
          <w:bCs w:val="0"/>
          <w:kern w:val="2"/>
          <w:sz w:val="32"/>
          <w:szCs w:val="32"/>
          <w:lang w:val="en-US" w:eastAsia="zh-CN" w:bidi="ar-SA"/>
        </w:rPr>
        <w:t>我院按计划完成装备购置，并通过验收，</w:t>
      </w:r>
      <w:r>
        <w:rPr>
          <w:rFonts w:hint="default"/>
          <w:b w:val="0"/>
          <w:bCs w:val="0"/>
          <w:sz w:val="32"/>
          <w:szCs w:val="32"/>
          <w:lang w:val="en-US" w:eastAsia="zh-CN"/>
        </w:rPr>
        <w:t>验收合格率</w:t>
      </w:r>
      <w:r>
        <w:rPr>
          <w:rFonts w:hint="eastAsia" w:hAnsi="宋体" w:cstheme="minorBidi"/>
          <w:b w:val="0"/>
          <w:bCs w:val="0"/>
          <w:kern w:val="2"/>
          <w:sz w:val="32"/>
          <w:szCs w:val="32"/>
          <w:lang w:val="en-US" w:eastAsia="zh-CN" w:bidi="ar-SA"/>
        </w:rPr>
        <w:t>100%，</w:t>
      </w:r>
      <w:r>
        <w:rPr>
          <w:rFonts w:hint="eastAsia" w:hAnsi="宋体"/>
          <w:b w:val="0"/>
          <w:bCs w:val="0"/>
          <w:sz w:val="32"/>
          <w:szCs w:val="32"/>
        </w:rPr>
        <w:t>该指标分值</w:t>
      </w:r>
      <w:r>
        <w:rPr>
          <w:rFonts w:hint="eastAsia" w:hAnsi="宋体"/>
          <w:b w:val="0"/>
          <w:bCs w:val="0"/>
          <w:sz w:val="32"/>
          <w:szCs w:val="32"/>
          <w:lang w:val="en-US" w:eastAsia="zh-CN"/>
        </w:rPr>
        <w:t>3.07</w:t>
      </w:r>
      <w:r>
        <w:rPr>
          <w:rFonts w:hint="eastAsia" w:hAnsi="宋体"/>
          <w:b w:val="0"/>
          <w:bCs w:val="0"/>
          <w:sz w:val="32"/>
          <w:szCs w:val="32"/>
        </w:rPr>
        <w:t>分，自评得分为</w:t>
      </w:r>
      <w:r>
        <w:rPr>
          <w:rFonts w:hint="eastAsia" w:hAnsi="宋体"/>
          <w:b w:val="0"/>
          <w:bCs w:val="0"/>
          <w:sz w:val="32"/>
          <w:szCs w:val="32"/>
          <w:lang w:val="en-US" w:eastAsia="zh-CN"/>
        </w:rPr>
        <w:t>3.07</w:t>
      </w:r>
      <w:r>
        <w:rPr>
          <w:rFonts w:hint="eastAsia" w:hAnsi="宋体"/>
          <w:b w:val="0"/>
          <w:bCs w:val="0"/>
          <w:sz w:val="32"/>
          <w:szCs w:val="32"/>
        </w:rPr>
        <w:t>分，得分</w:t>
      </w:r>
      <w:r>
        <w:rPr>
          <w:rFonts w:hint="eastAsia" w:hAnsi="宋体"/>
          <w:sz w:val="32"/>
          <w:szCs w:val="32"/>
        </w:rPr>
        <w:t>率为</w:t>
      </w:r>
      <w:r>
        <w:rPr>
          <w:rFonts w:hint="eastAsia" w:hAnsi="宋体"/>
          <w:sz w:val="32"/>
          <w:szCs w:val="32"/>
          <w:lang w:val="en-US" w:eastAsia="zh-CN"/>
        </w:rPr>
        <w:t>100</w:t>
      </w:r>
      <w:r>
        <w:rPr>
          <w:rFonts w:hint="eastAsia" w:hAnsi="宋体"/>
          <w:sz w:val="32"/>
          <w:szCs w:val="32"/>
        </w:rPr>
        <w:t>%。</w:t>
      </w:r>
    </w:p>
    <w:p w14:paraId="25A2AF7C">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alibri" w:hAnsi="Calibri" w:cs="Calibri"/>
          <w:b/>
          <w:bCs/>
          <w:kern w:val="2"/>
          <w:sz w:val="32"/>
          <w:szCs w:val="32"/>
          <w:lang w:val="en-US" w:eastAsia="zh-CN" w:bidi="ar-SA"/>
        </w:rPr>
      </w:pPr>
      <w:r>
        <w:rPr>
          <w:rFonts w:hint="eastAsia" w:ascii="Calibri" w:hAnsi="Calibri" w:cs="Calibri"/>
          <w:b/>
          <w:bCs/>
          <w:kern w:val="2"/>
          <w:sz w:val="32"/>
          <w:szCs w:val="32"/>
          <w:lang w:val="en-US" w:eastAsia="zh-CN" w:bidi="ar-SA"/>
        </w:rPr>
        <w:t>维修维护项目验收合格率：</w:t>
      </w:r>
      <w:r>
        <w:rPr>
          <w:rFonts w:hint="eastAsia" w:hAnsi="宋体" w:cstheme="minorBidi"/>
          <w:b w:val="0"/>
          <w:bCs w:val="0"/>
          <w:kern w:val="2"/>
          <w:sz w:val="32"/>
          <w:szCs w:val="32"/>
          <w:lang w:val="en-US" w:eastAsia="zh-CN" w:bidi="ar-SA"/>
        </w:rPr>
        <w:t>我院按计划实施</w:t>
      </w:r>
      <w:r>
        <w:rPr>
          <w:rFonts w:hint="eastAsia" w:ascii="Calibri" w:hAnsi="Calibri" w:cs="Calibri"/>
          <w:b w:val="0"/>
          <w:bCs w:val="0"/>
          <w:kern w:val="2"/>
          <w:sz w:val="32"/>
          <w:szCs w:val="32"/>
          <w:lang w:val="en-US" w:eastAsia="zh-CN" w:bidi="ar-SA"/>
        </w:rPr>
        <w:t>维修维护项目</w:t>
      </w:r>
      <w:r>
        <w:rPr>
          <w:rFonts w:hint="eastAsia" w:hAnsi="宋体" w:cstheme="minorBidi"/>
          <w:b w:val="0"/>
          <w:bCs w:val="0"/>
          <w:kern w:val="2"/>
          <w:sz w:val="32"/>
          <w:szCs w:val="32"/>
          <w:lang w:val="en-US" w:eastAsia="zh-CN" w:bidi="ar-SA"/>
        </w:rPr>
        <w:t>，并通过验收，验收合格率100%，</w:t>
      </w:r>
      <w:r>
        <w:rPr>
          <w:rFonts w:hint="eastAsia" w:hAnsi="宋体"/>
          <w:sz w:val="32"/>
          <w:szCs w:val="32"/>
        </w:rPr>
        <w:t>该指标分值</w:t>
      </w:r>
      <w:r>
        <w:rPr>
          <w:rFonts w:hint="eastAsia" w:hAnsi="宋体"/>
          <w:sz w:val="32"/>
          <w:szCs w:val="32"/>
          <w:lang w:val="en-US" w:eastAsia="zh-CN"/>
        </w:rPr>
        <w:t>3.07</w:t>
      </w:r>
      <w:r>
        <w:rPr>
          <w:rFonts w:hint="eastAsia" w:hAnsi="宋体"/>
          <w:sz w:val="32"/>
          <w:szCs w:val="32"/>
        </w:rPr>
        <w:t>分，自评得分为</w:t>
      </w:r>
      <w:r>
        <w:rPr>
          <w:rFonts w:hint="eastAsia" w:hAnsi="宋体"/>
          <w:sz w:val="32"/>
          <w:szCs w:val="32"/>
          <w:lang w:val="en-US" w:eastAsia="zh-CN"/>
        </w:rPr>
        <w:t>3.07</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sz w:val="32"/>
          <w:szCs w:val="32"/>
          <w:lang w:eastAsia="zh-CN"/>
        </w:rPr>
        <w:t>。</w:t>
      </w:r>
    </w:p>
    <w:p w14:paraId="05CA52C0">
      <w:pPr>
        <w:pStyle w:val="28"/>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sz w:val="32"/>
          <w:szCs w:val="32"/>
          <w:lang w:val="en-US" w:eastAsia="zh-CN"/>
        </w:rPr>
      </w:pPr>
      <w:r>
        <w:rPr>
          <w:rFonts w:hint="eastAsia" w:ascii="Calibri" w:hAnsi="Calibri" w:cs="Calibri"/>
          <w:b/>
          <w:bCs/>
          <w:kern w:val="2"/>
          <w:sz w:val="32"/>
          <w:szCs w:val="32"/>
          <w:lang w:val="en-US" w:eastAsia="zh-CN" w:bidi="ar-SA"/>
        </w:rPr>
        <w:t>物业管理合格率：</w:t>
      </w:r>
      <w:r>
        <w:rPr>
          <w:rFonts w:hint="eastAsia" w:hAnsi="宋体"/>
          <w:b w:val="0"/>
          <w:bCs w:val="0"/>
          <w:sz w:val="32"/>
          <w:szCs w:val="32"/>
          <w:lang w:val="en-US" w:eastAsia="zh-CN"/>
        </w:rPr>
        <w:t>我院物业管理合格率年度指标值=100%，实际完成100%，该指标分值3.07分，自评得分为3.07分，得分率为100%。</w:t>
      </w:r>
    </w:p>
    <w:p w14:paraId="50DDD30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宋体"/>
          <w:b/>
          <w:bCs/>
          <w:sz w:val="32"/>
          <w:szCs w:val="32"/>
          <w:lang w:val="en-US" w:eastAsia="zh-CN"/>
        </w:rPr>
      </w:pPr>
      <w:r>
        <w:rPr>
          <w:rFonts w:hint="eastAsia" w:ascii="Calibri" w:hAnsi="Calibri" w:cs="Calibri"/>
          <w:b/>
          <w:bCs/>
          <w:kern w:val="2"/>
          <w:sz w:val="32"/>
          <w:szCs w:val="32"/>
          <w:lang w:val="en-US" w:eastAsia="zh-CN" w:bidi="ar-SA"/>
        </w:rPr>
        <w:t>信息化运维服务验收合格率：</w:t>
      </w:r>
      <w:r>
        <w:rPr>
          <w:rFonts w:hint="eastAsia" w:hAnsi="宋体"/>
          <w:b w:val="0"/>
          <w:bCs w:val="0"/>
          <w:sz w:val="32"/>
          <w:szCs w:val="32"/>
          <w:lang w:val="en-US" w:eastAsia="zh-CN"/>
        </w:rPr>
        <w:t>我院积极开展信息化运维服务并通过验收，验收合格率100%，</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分，自评得分为</w:t>
      </w:r>
      <w:r>
        <w:rPr>
          <w:rFonts w:hint="eastAsia" w:hAnsi="宋体" w:cstheme="minorBidi"/>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p>
    <w:p w14:paraId="6AFD062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eastAsia="zh-CN"/>
        </w:rPr>
      </w:pPr>
      <w:r>
        <w:rPr>
          <w:rFonts w:hint="eastAsia" w:ascii="Calibri" w:hAnsi="Calibri" w:cs="Calibri"/>
          <w:b/>
          <w:bCs/>
          <w:kern w:val="2"/>
          <w:sz w:val="32"/>
          <w:szCs w:val="32"/>
          <w:lang w:val="en-US" w:eastAsia="zh-CN" w:bidi="ar-SA"/>
        </w:rPr>
        <w:t>一审服判息诉率：</w:t>
      </w:r>
      <w:r>
        <w:rPr>
          <w:rFonts w:hint="eastAsia"/>
          <w:b w:val="0"/>
          <w:bCs w:val="0"/>
          <w:sz w:val="32"/>
          <w:szCs w:val="32"/>
          <w:lang w:val="en-US" w:eastAsia="zh-CN"/>
        </w:rPr>
        <w:t>我院一审服判息诉率年度指标值≥90%，实际完成85.82%，</w:t>
      </w:r>
      <w:r>
        <w:rPr>
          <w:rFonts w:hint="eastAsia" w:ascii="仿宋_GB2312" w:hAnsi="宋体" w:eastAsia="仿宋_GB2312" w:cstheme="minorBidi"/>
          <w:b w:val="0"/>
          <w:bCs w:val="0"/>
          <w:kern w:val="2"/>
          <w:sz w:val="32"/>
          <w:szCs w:val="32"/>
          <w:lang w:val="en-US" w:eastAsia="zh-CN" w:bidi="ar-SA"/>
        </w:rPr>
        <w:t>该</w:t>
      </w:r>
      <w:r>
        <w:rPr>
          <w:rFonts w:hint="eastAsia" w:ascii="仿宋_GB2312" w:hAnsi="宋体" w:eastAsia="仿宋_GB2312" w:cstheme="minorBidi"/>
          <w:kern w:val="2"/>
          <w:sz w:val="32"/>
          <w:szCs w:val="32"/>
          <w:lang w:val="en-US" w:eastAsia="zh-CN" w:bidi="ar-SA"/>
        </w:rPr>
        <w:t>指标分值</w:t>
      </w:r>
      <w:r>
        <w:rPr>
          <w:rFonts w:hint="eastAsia" w:hAnsi="宋体" w:cstheme="minorBidi"/>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分，自评得分为</w:t>
      </w:r>
      <w:r>
        <w:rPr>
          <w:rFonts w:hint="eastAsia" w:hAnsi="宋体" w:cstheme="minorBidi"/>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p>
    <w:p w14:paraId="08B8FA08">
      <w:pPr>
        <w:pStyle w:val="2"/>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alibri" w:hAnsi="Calibri" w:eastAsia="仿宋_GB2312" w:cs="Calibri"/>
          <w:b/>
          <w:bCs/>
          <w:kern w:val="2"/>
          <w:sz w:val="32"/>
          <w:szCs w:val="32"/>
          <w:lang w:val="en-US" w:eastAsia="zh-CN" w:bidi="ar-SA"/>
        </w:rPr>
      </w:pPr>
      <w:r>
        <w:rPr>
          <w:rFonts w:hint="eastAsia" w:ascii="Calibri" w:hAnsi="Calibri" w:eastAsia="仿宋_GB2312" w:cs="Calibri"/>
          <w:b/>
          <w:bCs/>
          <w:kern w:val="2"/>
          <w:sz w:val="32"/>
          <w:szCs w:val="32"/>
          <w:lang w:val="en-US" w:eastAsia="zh-CN" w:bidi="ar-SA"/>
        </w:rPr>
        <w:t>③时效指标</w:t>
      </w:r>
    </w:p>
    <w:p w14:paraId="3FA9C9B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时效</w:t>
      </w:r>
      <w:r>
        <w:rPr>
          <w:rFonts w:hint="eastAsia"/>
          <w:sz w:val="32"/>
          <w:szCs w:val="32"/>
        </w:rPr>
        <w:t>指标下设</w:t>
      </w:r>
      <w:r>
        <w:rPr>
          <w:rFonts w:hint="eastAsia"/>
          <w:sz w:val="32"/>
          <w:szCs w:val="32"/>
          <w:lang w:val="en-US" w:eastAsia="zh-CN"/>
        </w:rPr>
        <w:t>3</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分值9.21</w:t>
      </w:r>
      <w:r>
        <w:rPr>
          <w:rFonts w:hint="eastAsia" w:hAnsi="宋体"/>
          <w:sz w:val="32"/>
          <w:szCs w:val="32"/>
        </w:rPr>
        <w:t>分，自评得</w:t>
      </w:r>
      <w:r>
        <w:rPr>
          <w:rFonts w:hint="eastAsia" w:hAnsi="宋体"/>
          <w:sz w:val="32"/>
          <w:szCs w:val="32"/>
          <w:highlight w:val="none"/>
        </w:rPr>
        <w:t>分</w:t>
      </w:r>
      <w:r>
        <w:rPr>
          <w:rFonts w:hint="eastAsia" w:hAnsi="宋体"/>
          <w:sz w:val="32"/>
          <w:szCs w:val="32"/>
          <w:highlight w:val="none"/>
          <w:lang w:val="en-US" w:eastAsia="zh-CN"/>
        </w:rPr>
        <w:t>9.21</w:t>
      </w:r>
      <w:r>
        <w:rPr>
          <w:rFonts w:hint="eastAsia" w:hAnsi="宋体"/>
          <w:sz w:val="32"/>
          <w:szCs w:val="32"/>
        </w:rPr>
        <w:t>分，得分率</w:t>
      </w:r>
      <w:r>
        <w:rPr>
          <w:rFonts w:hint="eastAsia" w:hAnsi="宋体"/>
          <w:sz w:val="32"/>
          <w:szCs w:val="32"/>
          <w:highlight w:val="none"/>
        </w:rPr>
        <w:t>为</w:t>
      </w:r>
      <w:r>
        <w:rPr>
          <w:rFonts w:hint="eastAsia" w:hAnsi="宋体"/>
          <w:sz w:val="32"/>
          <w:szCs w:val="32"/>
          <w:highlight w:val="none"/>
          <w:lang w:val="en-US" w:eastAsia="zh-CN"/>
        </w:rPr>
        <w:t>100</w:t>
      </w:r>
      <w:r>
        <w:rPr>
          <w:rFonts w:hint="eastAsia" w:hAnsi="宋体"/>
          <w:sz w:val="32"/>
          <w:szCs w:val="32"/>
          <w:highlight w:val="none"/>
        </w:rPr>
        <w:t>%。</w:t>
      </w:r>
    </w:p>
    <w:p w14:paraId="1B72BCF1">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cs="Calibri"/>
          <w:b/>
          <w:bCs/>
          <w:kern w:val="2"/>
          <w:sz w:val="32"/>
          <w:szCs w:val="32"/>
          <w:lang w:val="en-US" w:eastAsia="zh-CN" w:bidi="ar-SA"/>
        </w:rPr>
      </w:pPr>
      <w:r>
        <w:rPr>
          <w:rFonts w:hint="eastAsia" w:ascii="Calibri" w:hAnsi="Calibri" w:cs="Calibri"/>
          <w:b/>
          <w:bCs/>
          <w:kern w:val="2"/>
          <w:sz w:val="32"/>
          <w:szCs w:val="32"/>
          <w:lang w:val="en-US" w:eastAsia="zh-CN" w:bidi="ar-SA"/>
        </w:rPr>
        <w:t>法定审限内结案率：</w:t>
      </w:r>
      <w:r>
        <w:rPr>
          <w:rFonts w:hint="eastAsia"/>
          <w:b w:val="0"/>
          <w:bCs w:val="0"/>
          <w:sz w:val="32"/>
          <w:szCs w:val="32"/>
          <w:highlight w:val="none"/>
          <w:lang w:val="en-US" w:eastAsia="zh-CN"/>
        </w:rPr>
        <w:t>我院</w:t>
      </w:r>
      <w:r>
        <w:rPr>
          <w:rFonts w:hint="eastAsia"/>
          <w:sz w:val="32"/>
          <w:szCs w:val="32"/>
          <w:highlight w:val="none"/>
          <w:lang w:val="en-US" w:eastAsia="zh-CN"/>
        </w:rPr>
        <w:t>各项审判执行质效指标持续保持高位运行，法定审限内结案率</w:t>
      </w:r>
      <w:r>
        <w:rPr>
          <w:rFonts w:hint="eastAsia" w:hAnsi="宋体" w:cstheme="minorBidi"/>
          <w:b w:val="0"/>
          <w:bCs w:val="0"/>
          <w:kern w:val="2"/>
          <w:sz w:val="32"/>
          <w:szCs w:val="32"/>
          <w:highlight w:val="none"/>
          <w:lang w:val="en-US" w:eastAsia="zh-CN" w:bidi="ar-SA"/>
        </w:rPr>
        <w:t>达到</w:t>
      </w:r>
      <w:r>
        <w:rPr>
          <w:rFonts w:hint="eastAsia"/>
          <w:sz w:val="32"/>
          <w:szCs w:val="32"/>
          <w:highlight w:val="none"/>
          <w:lang w:val="en-US" w:eastAsia="zh-CN"/>
        </w:rPr>
        <w:t>98.92%</w:t>
      </w:r>
      <w:r>
        <w:rPr>
          <w:rFonts w:hint="eastAsia" w:hAnsi="宋体" w:cstheme="minorBidi"/>
          <w:b w:val="0"/>
          <w:bCs w:val="0"/>
          <w:kern w:val="2"/>
          <w:sz w:val="32"/>
          <w:szCs w:val="32"/>
          <w:highlight w:val="none"/>
          <w:lang w:val="en-US" w:eastAsia="zh-CN" w:bidi="ar-SA"/>
        </w:rPr>
        <w:t>，</w:t>
      </w:r>
      <w:r>
        <w:rPr>
          <w:rFonts w:hint="eastAsia" w:hAnsi="宋体"/>
          <w:sz w:val="32"/>
          <w:szCs w:val="32"/>
          <w:highlight w:val="none"/>
        </w:rPr>
        <w:t>该指标分值</w:t>
      </w:r>
      <w:r>
        <w:rPr>
          <w:rFonts w:hint="eastAsia" w:hAnsi="宋体"/>
          <w:sz w:val="32"/>
          <w:szCs w:val="32"/>
          <w:highlight w:val="none"/>
          <w:lang w:val="en-US" w:eastAsia="zh-CN"/>
        </w:rPr>
        <w:t>3.07</w:t>
      </w:r>
      <w:r>
        <w:rPr>
          <w:rFonts w:hint="eastAsia" w:hAnsi="宋体"/>
          <w:sz w:val="32"/>
          <w:szCs w:val="32"/>
          <w:highlight w:val="none"/>
        </w:rPr>
        <w:t>分，自评得分为</w:t>
      </w:r>
      <w:r>
        <w:rPr>
          <w:rFonts w:hint="eastAsia" w:hAnsi="宋体"/>
          <w:sz w:val="32"/>
          <w:szCs w:val="32"/>
          <w:highlight w:val="none"/>
          <w:lang w:val="en-US" w:eastAsia="zh-CN"/>
        </w:rPr>
        <w:t>3.07</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00DF92A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bCs/>
          <w:sz w:val="32"/>
          <w:szCs w:val="32"/>
          <w:lang w:val="en-US" w:eastAsia="zh-CN"/>
        </w:rPr>
      </w:pPr>
      <w:r>
        <w:rPr>
          <w:rFonts w:hint="eastAsia" w:ascii="Calibri" w:hAnsi="Calibri" w:cs="Calibri"/>
          <w:b/>
          <w:bCs/>
          <w:kern w:val="2"/>
          <w:sz w:val="32"/>
          <w:szCs w:val="32"/>
          <w:lang w:val="en-US" w:eastAsia="zh-CN" w:bidi="ar-SA"/>
        </w:rPr>
        <w:t>物业服务保障及时性：</w:t>
      </w:r>
      <w:r>
        <w:rPr>
          <w:rFonts w:hint="eastAsia"/>
          <w:b w:val="0"/>
          <w:bCs w:val="0"/>
          <w:sz w:val="32"/>
          <w:szCs w:val="32"/>
          <w:lang w:val="en-US" w:eastAsia="zh-CN"/>
        </w:rPr>
        <w:t>我院及时完成</w:t>
      </w:r>
      <w:r>
        <w:rPr>
          <w:rFonts w:hint="eastAsia" w:ascii="Calibri" w:hAnsi="Calibri" w:cs="Calibri"/>
          <w:b w:val="0"/>
          <w:bCs w:val="0"/>
          <w:kern w:val="2"/>
          <w:sz w:val="32"/>
          <w:szCs w:val="32"/>
          <w:lang w:val="en-US" w:eastAsia="zh-CN" w:bidi="ar-SA"/>
        </w:rPr>
        <w:t>物业服务保障</w:t>
      </w:r>
      <w:r>
        <w:rPr>
          <w:rFonts w:hint="eastAsia"/>
          <w:b w:val="0"/>
          <w:bCs w:val="0"/>
          <w:sz w:val="32"/>
          <w:szCs w:val="32"/>
          <w:lang w:val="en-US" w:eastAsia="zh-CN"/>
        </w:rPr>
        <w:t>，</w:t>
      </w:r>
      <w:r>
        <w:rPr>
          <w:rFonts w:hint="eastAsia" w:hAnsi="宋体"/>
          <w:b w:val="0"/>
          <w:bCs w:val="0"/>
          <w:sz w:val="32"/>
          <w:szCs w:val="32"/>
        </w:rPr>
        <w:t>该指标分值</w:t>
      </w:r>
      <w:r>
        <w:rPr>
          <w:rFonts w:hint="eastAsia" w:hAnsi="宋体"/>
          <w:sz w:val="32"/>
          <w:szCs w:val="32"/>
          <w:lang w:val="en-US" w:eastAsia="zh-CN"/>
        </w:rPr>
        <w:t>3.07</w:t>
      </w:r>
      <w:r>
        <w:rPr>
          <w:rFonts w:hint="eastAsia" w:hAnsi="宋体"/>
          <w:b w:val="0"/>
          <w:bCs w:val="0"/>
          <w:sz w:val="32"/>
          <w:szCs w:val="32"/>
        </w:rPr>
        <w:t>分，自评得分为</w:t>
      </w:r>
      <w:r>
        <w:rPr>
          <w:rFonts w:hint="eastAsia" w:hAnsi="宋体"/>
          <w:sz w:val="32"/>
          <w:szCs w:val="32"/>
          <w:lang w:val="en-US" w:eastAsia="zh-CN"/>
        </w:rPr>
        <w:t>3,07</w:t>
      </w:r>
      <w:r>
        <w:rPr>
          <w:rFonts w:hint="eastAsia" w:hAnsi="宋体"/>
          <w:b w:val="0"/>
          <w:bCs w:val="0"/>
          <w:sz w:val="32"/>
          <w:szCs w:val="32"/>
        </w:rPr>
        <w:t>分，得分率为100%。</w:t>
      </w:r>
    </w:p>
    <w:p w14:paraId="538039AE">
      <w:pPr>
        <w:pStyle w:val="2"/>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sz w:val="32"/>
          <w:szCs w:val="32"/>
          <w:lang w:val="en-US" w:eastAsia="zh-CN"/>
        </w:rPr>
      </w:pPr>
      <w:r>
        <w:rPr>
          <w:rFonts w:hint="eastAsia" w:ascii="Calibri" w:hAnsi="Calibri" w:cs="Calibri"/>
          <w:b/>
          <w:bCs/>
          <w:kern w:val="2"/>
          <w:sz w:val="32"/>
          <w:szCs w:val="32"/>
          <w:lang w:val="en-US" w:eastAsia="zh-CN" w:bidi="ar-SA"/>
        </w:rPr>
        <w:t>信息化运维工作及时性：</w:t>
      </w:r>
      <w:r>
        <w:rPr>
          <w:rFonts w:hint="eastAsia" w:hAnsi="宋体"/>
          <w:b w:val="0"/>
          <w:bCs w:val="0"/>
          <w:sz w:val="32"/>
          <w:szCs w:val="32"/>
          <w:lang w:val="en-US" w:eastAsia="zh-CN"/>
        </w:rPr>
        <w:t>我院系信息化运维工作开展及时</w:t>
      </w:r>
      <w:r>
        <w:rPr>
          <w:rFonts w:hint="eastAsia"/>
          <w:b w:val="0"/>
          <w:bCs w:val="0"/>
          <w:sz w:val="32"/>
          <w:szCs w:val="32"/>
          <w:lang w:val="en-US" w:eastAsia="zh-CN"/>
        </w:rPr>
        <w:t>，</w:t>
      </w:r>
      <w:r>
        <w:rPr>
          <w:rFonts w:hint="eastAsia" w:hAnsi="宋体"/>
          <w:sz w:val="32"/>
          <w:szCs w:val="32"/>
          <w:lang w:eastAsia="zh-CN"/>
        </w:rPr>
        <w:t>达到年度指标值，</w:t>
      </w:r>
      <w:r>
        <w:rPr>
          <w:rFonts w:hint="eastAsia" w:ascii="仿宋_GB2312" w:hAnsi="宋体" w:eastAsia="仿宋_GB2312" w:cstheme="minorBidi"/>
          <w:kern w:val="2"/>
          <w:sz w:val="32"/>
          <w:szCs w:val="32"/>
          <w:lang w:val="en-US" w:eastAsia="zh-CN" w:bidi="ar-SA"/>
        </w:rPr>
        <w:t>该指标分值</w:t>
      </w:r>
      <w:r>
        <w:rPr>
          <w:rFonts w:hint="eastAsia" w:hAnsi="宋体" w:cstheme="minorBidi"/>
          <w:b w:val="0"/>
          <w:bCs w:val="0"/>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分，自评得分为</w:t>
      </w:r>
      <w:r>
        <w:rPr>
          <w:rFonts w:hint="eastAsia" w:hAnsi="宋体" w:cstheme="minorBidi"/>
          <w:b w:val="0"/>
          <w:bCs w:val="0"/>
          <w:kern w:val="2"/>
          <w:sz w:val="32"/>
          <w:szCs w:val="32"/>
          <w:lang w:val="en-US" w:eastAsia="zh-CN" w:bidi="ar-SA"/>
        </w:rPr>
        <w:t>3.07</w:t>
      </w:r>
      <w:r>
        <w:rPr>
          <w:rFonts w:hint="eastAsia" w:ascii="仿宋_GB2312" w:hAnsi="宋体" w:eastAsia="仿宋_GB2312" w:cstheme="minorBidi"/>
          <w:kern w:val="2"/>
          <w:sz w:val="32"/>
          <w:szCs w:val="32"/>
          <w:lang w:val="en-US" w:eastAsia="zh-CN" w:bidi="ar-SA"/>
        </w:rPr>
        <w:t>分，得分率为</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p>
    <w:p w14:paraId="1B462FB8">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highlight w:val="none"/>
        </w:rPr>
      </w:pPr>
      <w:r>
        <w:rPr>
          <w:rFonts w:hint="eastAsia"/>
          <w:b/>
          <w:bCs/>
          <w:sz w:val="32"/>
          <w:szCs w:val="32"/>
          <w:highlight w:val="none"/>
        </w:rPr>
        <w:t>（</w:t>
      </w:r>
      <w:r>
        <w:rPr>
          <w:rFonts w:hint="eastAsia"/>
          <w:b/>
          <w:bCs/>
          <w:sz w:val="32"/>
          <w:szCs w:val="32"/>
          <w:highlight w:val="none"/>
          <w:lang w:val="en-US" w:eastAsia="zh-CN"/>
        </w:rPr>
        <w:t>3</w:t>
      </w:r>
      <w:r>
        <w:rPr>
          <w:rFonts w:hint="eastAsia"/>
          <w:b/>
          <w:bCs/>
          <w:sz w:val="32"/>
          <w:szCs w:val="32"/>
          <w:highlight w:val="none"/>
        </w:rPr>
        <w:t>）效益指标</w:t>
      </w:r>
    </w:p>
    <w:p w14:paraId="1897C978">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本项目效益指标主要考虑</w:t>
      </w:r>
      <w:r>
        <w:rPr>
          <w:rFonts w:hint="eastAsia"/>
          <w:sz w:val="32"/>
          <w:szCs w:val="32"/>
          <w:highlight w:val="none"/>
          <w:lang w:val="en-US" w:eastAsia="zh-CN"/>
        </w:rPr>
        <w:t>经济效益</w:t>
      </w:r>
      <w:r>
        <w:rPr>
          <w:rFonts w:hint="eastAsia"/>
          <w:sz w:val="32"/>
          <w:szCs w:val="32"/>
          <w:highlight w:val="none"/>
          <w:lang w:eastAsia="zh-CN"/>
        </w:rPr>
        <w:t>、</w:t>
      </w:r>
      <w:r>
        <w:rPr>
          <w:rFonts w:hint="eastAsia"/>
          <w:sz w:val="32"/>
          <w:szCs w:val="32"/>
          <w:highlight w:val="none"/>
        </w:rPr>
        <w:t>社会效益</w:t>
      </w:r>
      <w:r>
        <w:rPr>
          <w:rFonts w:hint="eastAsia"/>
          <w:sz w:val="32"/>
          <w:szCs w:val="32"/>
          <w:highlight w:val="none"/>
          <w:lang w:val="en-US" w:eastAsia="zh-CN"/>
        </w:rPr>
        <w:t>和生态效益指标</w:t>
      </w:r>
      <w:r>
        <w:rPr>
          <w:rFonts w:hint="eastAsia"/>
          <w:sz w:val="32"/>
          <w:szCs w:val="32"/>
          <w:highlight w:val="none"/>
        </w:rPr>
        <w:t>。</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0分，得分</w:t>
      </w:r>
      <w:r>
        <w:rPr>
          <w:rFonts w:hint="eastAsia"/>
          <w:sz w:val="32"/>
          <w:szCs w:val="32"/>
          <w:highlight w:val="none"/>
          <w:lang w:val="en-US" w:eastAsia="zh-CN"/>
        </w:rPr>
        <w:t>2</w:t>
      </w:r>
      <w:r>
        <w:rPr>
          <w:rFonts w:hint="eastAsia"/>
          <w:sz w:val="32"/>
          <w:szCs w:val="32"/>
          <w:highlight w:val="none"/>
        </w:rPr>
        <w:t>0分，</w:t>
      </w:r>
      <w:r>
        <w:rPr>
          <w:rFonts w:hint="eastAsia"/>
          <w:sz w:val="32"/>
          <w:szCs w:val="32"/>
          <w:highlight w:val="none"/>
          <w:lang w:eastAsia="zh-CN"/>
        </w:rPr>
        <w:t>得分率为</w:t>
      </w:r>
      <w:r>
        <w:rPr>
          <w:rFonts w:hint="eastAsia"/>
          <w:sz w:val="32"/>
          <w:szCs w:val="32"/>
          <w:highlight w:val="none"/>
        </w:rPr>
        <w:t>100%。</w:t>
      </w:r>
    </w:p>
    <w:p w14:paraId="2A36F4F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①经济效益指标</w:t>
      </w:r>
    </w:p>
    <w:p w14:paraId="45412B41">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sz w:val="32"/>
          <w:szCs w:val="32"/>
          <w:lang w:val="en-US" w:eastAsia="zh-CN"/>
        </w:rPr>
        <w:t>经济效益</w:t>
      </w:r>
      <w:r>
        <w:rPr>
          <w:rFonts w:hint="eastAsia"/>
          <w:sz w:val="32"/>
          <w:szCs w:val="32"/>
        </w:rPr>
        <w:t>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分值5</w:t>
      </w:r>
      <w:r>
        <w:rPr>
          <w:rFonts w:hint="eastAsia" w:hAnsi="宋体"/>
          <w:sz w:val="32"/>
          <w:szCs w:val="32"/>
        </w:rPr>
        <w:t>分，自评得分</w:t>
      </w:r>
      <w:r>
        <w:rPr>
          <w:rFonts w:hint="eastAsia" w:hAnsi="宋体"/>
          <w:sz w:val="32"/>
          <w:szCs w:val="32"/>
          <w:lang w:val="en-US" w:eastAsia="zh-CN"/>
        </w:rPr>
        <w:t>5</w:t>
      </w:r>
      <w:r>
        <w:rPr>
          <w:rFonts w:hint="eastAsia" w:hAnsi="宋体"/>
          <w:sz w:val="32"/>
          <w:szCs w:val="32"/>
        </w:rPr>
        <w:t>分，得</w:t>
      </w:r>
      <w:r>
        <w:rPr>
          <w:rFonts w:hint="eastAsia" w:hAnsi="宋体"/>
          <w:sz w:val="32"/>
          <w:szCs w:val="32"/>
          <w:highlight w:val="none"/>
        </w:rPr>
        <w:t>分率为10</w:t>
      </w:r>
      <w:r>
        <w:rPr>
          <w:rFonts w:hAnsi="宋体"/>
          <w:sz w:val="32"/>
          <w:szCs w:val="32"/>
          <w:highlight w:val="none"/>
        </w:rPr>
        <w:t>0</w:t>
      </w:r>
      <w:r>
        <w:rPr>
          <w:rFonts w:hint="eastAsia" w:hAnsi="宋体"/>
          <w:sz w:val="32"/>
          <w:szCs w:val="32"/>
          <w:highlight w:val="none"/>
        </w:rPr>
        <w:t>%。</w:t>
      </w:r>
    </w:p>
    <w:p w14:paraId="457BC09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bCs/>
          <w:sz w:val="32"/>
          <w:szCs w:val="32"/>
          <w:highlight w:val="none"/>
          <w:lang w:val="en-US" w:eastAsia="zh-CN"/>
        </w:rPr>
      </w:pPr>
      <w:r>
        <w:rPr>
          <w:rFonts w:hint="eastAsia"/>
          <w:b/>
          <w:bCs/>
          <w:sz w:val="32"/>
          <w:szCs w:val="32"/>
          <w:highlight w:val="none"/>
          <w:lang w:val="en-US" w:eastAsia="zh-CN"/>
        </w:rPr>
        <w:t>挽回经济损失效果：</w:t>
      </w:r>
      <w:r>
        <w:rPr>
          <w:rFonts w:hint="eastAsia"/>
          <w:b w:val="0"/>
          <w:bCs w:val="0"/>
          <w:sz w:val="32"/>
          <w:szCs w:val="32"/>
          <w:highlight w:val="none"/>
          <w:lang w:val="en-US" w:eastAsia="zh-CN"/>
        </w:rPr>
        <w:t>我院紧盯人民群众“钱袋子”安全，审结掩隐、帮信等涉电诈犯罪关联案件54件，挽回经济损失效果显著，该指标分值5分，自评得分5分，得分率为100%。</w:t>
      </w:r>
    </w:p>
    <w:p w14:paraId="618F46FD">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lang w:val="en-US" w:eastAsia="zh-CN"/>
        </w:rPr>
        <w:t>②</w:t>
      </w:r>
      <w:r>
        <w:rPr>
          <w:rFonts w:hint="eastAsia"/>
          <w:b/>
          <w:bCs/>
          <w:sz w:val="32"/>
          <w:szCs w:val="32"/>
        </w:rPr>
        <w:t>社会效益指标</w:t>
      </w:r>
    </w:p>
    <w:p w14:paraId="02CAED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sz w:val="32"/>
          <w:szCs w:val="32"/>
        </w:rPr>
        <w:t>社会效益指标下设</w:t>
      </w:r>
      <w:r>
        <w:rPr>
          <w:rFonts w:hint="eastAsia"/>
          <w:sz w:val="32"/>
          <w:szCs w:val="32"/>
          <w:lang w:val="en-US" w:eastAsia="zh-CN"/>
        </w:rPr>
        <w:t>2</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分值10</w:t>
      </w:r>
      <w:r>
        <w:rPr>
          <w:rFonts w:hint="eastAsia" w:hAnsi="宋体"/>
          <w:sz w:val="32"/>
          <w:szCs w:val="32"/>
        </w:rPr>
        <w:t>分，自评得分</w:t>
      </w:r>
      <w:r>
        <w:rPr>
          <w:rFonts w:hint="eastAsia" w:hAnsi="宋体"/>
          <w:sz w:val="32"/>
          <w:szCs w:val="32"/>
          <w:lang w:val="en-US" w:eastAsia="zh-CN"/>
        </w:rPr>
        <w:t>10</w:t>
      </w:r>
      <w:r>
        <w:rPr>
          <w:rFonts w:hint="eastAsia" w:hAnsi="宋体"/>
          <w:sz w:val="32"/>
          <w:szCs w:val="32"/>
        </w:rPr>
        <w:t>分，得分率为10</w:t>
      </w:r>
      <w:r>
        <w:rPr>
          <w:rFonts w:hAnsi="宋体"/>
          <w:sz w:val="32"/>
          <w:szCs w:val="32"/>
        </w:rPr>
        <w:t>0</w:t>
      </w:r>
      <w:r>
        <w:rPr>
          <w:rFonts w:hint="eastAsia" w:hAnsi="宋体"/>
          <w:sz w:val="32"/>
          <w:szCs w:val="32"/>
        </w:rPr>
        <w:t>%。</w:t>
      </w:r>
    </w:p>
    <w:p w14:paraId="1F513A7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highlight w:val="none"/>
          <w:lang w:val="en-US" w:eastAsia="zh-CN"/>
        </w:rPr>
      </w:pPr>
      <w:r>
        <w:rPr>
          <w:rFonts w:hint="eastAsia"/>
          <w:b/>
          <w:bCs/>
          <w:sz w:val="32"/>
          <w:szCs w:val="32"/>
          <w:highlight w:val="none"/>
          <w:lang w:val="en-US" w:eastAsia="zh-CN"/>
        </w:rPr>
        <w:t>维护社会稳定：</w:t>
      </w:r>
      <w:r>
        <w:rPr>
          <w:rFonts w:hint="eastAsia"/>
          <w:b w:val="0"/>
          <w:bCs w:val="0"/>
          <w:sz w:val="32"/>
          <w:szCs w:val="32"/>
          <w:highlight w:val="none"/>
          <w:lang w:val="en-US" w:eastAsia="zh-CN"/>
        </w:rPr>
        <w:t>我院深入贯彻总体国家安全观，全力推进平安红古建设，全方位开展《反有组织犯罪法》宣贯，常态化开展扫黑除恶斗争，坚持以刑事“利剑”严惩暴力犯罪，维护社会稳定，该指标分值5分，自评得分5分，得分率为100%。</w:t>
      </w:r>
    </w:p>
    <w:p w14:paraId="2397464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b/>
          <w:bCs/>
          <w:sz w:val="32"/>
          <w:szCs w:val="32"/>
          <w:highlight w:val="none"/>
          <w:lang w:val="en-US" w:eastAsia="zh-CN"/>
        </w:rPr>
        <w:t>有效保障审判服务：</w:t>
      </w:r>
      <w:r>
        <w:rPr>
          <w:rFonts w:hint="eastAsia"/>
          <w:b w:val="0"/>
          <w:bCs w:val="0"/>
          <w:sz w:val="32"/>
          <w:szCs w:val="32"/>
          <w:highlight w:val="none"/>
          <w:lang w:val="en-US" w:eastAsia="zh-CN"/>
        </w:rPr>
        <w:t>我院保障基层法庭的</w:t>
      </w:r>
      <w:r>
        <w:rPr>
          <w:rFonts w:hint="eastAsia" w:ascii="仿宋_GB2312" w:hAnsi="宋体" w:eastAsia="仿宋_GB2312" w:cstheme="minorBidi"/>
          <w:kern w:val="2"/>
          <w:sz w:val="32"/>
          <w:szCs w:val="32"/>
          <w:highlight w:val="none"/>
          <w:lang w:val="en-US" w:eastAsia="zh-CN" w:bidi="ar-SA"/>
        </w:rPr>
        <w:t>正常运行</w:t>
      </w:r>
      <w:r>
        <w:rPr>
          <w:rFonts w:hint="eastAsia"/>
          <w:b w:val="0"/>
          <w:bCs w:val="0"/>
          <w:sz w:val="32"/>
          <w:szCs w:val="32"/>
          <w:highlight w:val="none"/>
          <w:lang w:val="en-US" w:eastAsia="zh-CN"/>
        </w:rPr>
        <w:t>，后</w:t>
      </w:r>
      <w:r>
        <w:rPr>
          <w:rFonts w:hint="eastAsia" w:ascii="仿宋_GB2312" w:hAnsi="宋体" w:eastAsia="仿宋_GB2312" w:cstheme="minorBidi"/>
          <w:b w:val="0"/>
          <w:bCs w:val="0"/>
          <w:kern w:val="2"/>
          <w:sz w:val="32"/>
          <w:szCs w:val="32"/>
          <w:highlight w:val="none"/>
          <w:lang w:val="en-US" w:eastAsia="zh-CN" w:bidi="ar-SA"/>
        </w:rPr>
        <w:t>勤保</w:t>
      </w:r>
      <w:r>
        <w:rPr>
          <w:rFonts w:hint="eastAsia" w:ascii="仿宋_GB2312" w:hAnsi="宋体" w:eastAsia="仿宋_GB2312" w:cstheme="minorBidi"/>
          <w:kern w:val="2"/>
          <w:sz w:val="32"/>
          <w:szCs w:val="32"/>
          <w:highlight w:val="none"/>
          <w:lang w:val="en-US" w:eastAsia="zh-CN" w:bidi="ar-SA"/>
        </w:rPr>
        <w:t>障能力得到提升，水电暖运行通畅，日常维修维护及时，有效保障审判服务</w:t>
      </w:r>
      <w:r>
        <w:rPr>
          <w:rFonts w:hint="eastAsia" w:hAnsi="宋体" w:cstheme="minorBidi"/>
          <w:kern w:val="2"/>
          <w:sz w:val="32"/>
          <w:szCs w:val="32"/>
          <w:highlight w:val="none"/>
          <w:lang w:val="en-US" w:eastAsia="zh-CN" w:bidi="ar-SA"/>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161B738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rPr>
      </w:pPr>
      <w:r>
        <w:rPr>
          <w:rFonts w:hint="eastAsia"/>
          <w:b/>
          <w:bCs/>
          <w:sz w:val="32"/>
          <w:szCs w:val="32"/>
          <w:lang w:val="en-US" w:eastAsia="zh-CN"/>
        </w:rPr>
        <w:t>③生态效益</w:t>
      </w:r>
      <w:r>
        <w:rPr>
          <w:rFonts w:hint="eastAsia"/>
          <w:b/>
          <w:bCs/>
          <w:sz w:val="32"/>
          <w:szCs w:val="32"/>
        </w:rPr>
        <w:t>指标</w:t>
      </w:r>
    </w:p>
    <w:p w14:paraId="40BDF95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highlight w:val="none"/>
        </w:rPr>
      </w:pPr>
      <w:r>
        <w:rPr>
          <w:rFonts w:hint="eastAsia"/>
          <w:sz w:val="32"/>
          <w:szCs w:val="32"/>
        </w:rPr>
        <w:t>可持续影响指标下设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分值5</w:t>
      </w:r>
      <w:r>
        <w:rPr>
          <w:rFonts w:hint="eastAsia" w:hAnsi="宋体"/>
          <w:sz w:val="32"/>
          <w:szCs w:val="32"/>
        </w:rPr>
        <w:t>分，自评得分</w:t>
      </w:r>
      <w:r>
        <w:rPr>
          <w:rFonts w:hint="eastAsia" w:hAnsi="宋体"/>
          <w:sz w:val="32"/>
          <w:szCs w:val="32"/>
          <w:lang w:val="en-US" w:eastAsia="zh-CN"/>
        </w:rPr>
        <w:t>5</w:t>
      </w:r>
      <w:r>
        <w:rPr>
          <w:rFonts w:hint="eastAsia" w:hAnsi="宋体"/>
          <w:sz w:val="32"/>
          <w:szCs w:val="32"/>
          <w:highlight w:val="none"/>
        </w:rPr>
        <w:t>分，得分率为10</w:t>
      </w:r>
      <w:r>
        <w:rPr>
          <w:rFonts w:hAnsi="宋体"/>
          <w:sz w:val="32"/>
          <w:szCs w:val="32"/>
          <w:highlight w:val="none"/>
        </w:rPr>
        <w:t>0</w:t>
      </w:r>
      <w:r>
        <w:rPr>
          <w:rFonts w:hint="eastAsia" w:hAnsi="宋体"/>
          <w:sz w:val="32"/>
          <w:szCs w:val="32"/>
          <w:highlight w:val="none"/>
        </w:rPr>
        <w:t>%。</w:t>
      </w:r>
    </w:p>
    <w:p w14:paraId="38AC919C">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val="0"/>
          <w:bCs w:val="0"/>
          <w:sz w:val="32"/>
          <w:szCs w:val="32"/>
          <w:highlight w:val="none"/>
          <w:lang w:val="en-US" w:eastAsia="zh-CN"/>
        </w:rPr>
      </w:pPr>
      <w:r>
        <w:rPr>
          <w:rFonts w:hint="eastAsia" w:hAnsi="宋体"/>
          <w:b/>
          <w:bCs/>
          <w:sz w:val="32"/>
          <w:szCs w:val="32"/>
          <w:highlight w:val="none"/>
          <w:lang w:val="en-US" w:eastAsia="zh-CN"/>
        </w:rPr>
        <w:t>打击生态犯罪，维护生态秩序；</w:t>
      </w:r>
      <w:r>
        <w:rPr>
          <w:rFonts w:hint="eastAsia" w:hAnsi="宋体"/>
          <w:b w:val="0"/>
          <w:bCs w:val="0"/>
          <w:sz w:val="32"/>
          <w:szCs w:val="32"/>
          <w:highlight w:val="none"/>
          <w:lang w:val="en-US" w:eastAsia="zh-CN"/>
        </w:rPr>
        <w:t>我院强化司法服务工业、产业、区域、生态、创新的深度和广度，打击生态犯罪，维护生态秩序，实际完成100%，指标分值5分，自评得分5分，得分率为100%。</w:t>
      </w:r>
    </w:p>
    <w:p w14:paraId="6576AE3A">
      <w:pPr>
        <w:pageBreakBefore w:val="0"/>
        <w:widowControl w:val="0"/>
        <w:numPr>
          <w:ilvl w:val="255"/>
          <w:numId w:val="0"/>
        </w:numPr>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63723C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hAnsi="宋体"/>
          <w:sz w:val="32"/>
          <w:szCs w:val="32"/>
        </w:rPr>
        <w:t>服务对象满意度主要考察工作人员满意度</w:t>
      </w:r>
      <w:r>
        <w:rPr>
          <w:rFonts w:hint="eastAsia" w:hAnsi="宋体"/>
          <w:sz w:val="32"/>
          <w:szCs w:val="32"/>
          <w:lang w:val="en-US" w:eastAsia="zh-CN"/>
        </w:rPr>
        <w:t>和当事人</w:t>
      </w:r>
      <w:r>
        <w:rPr>
          <w:rFonts w:hint="eastAsia" w:hAnsi="宋体"/>
          <w:sz w:val="32"/>
          <w:szCs w:val="32"/>
        </w:rPr>
        <w:t>满意度，</w:t>
      </w:r>
      <w:r>
        <w:rPr>
          <w:rFonts w:hint="eastAsia" w:hAnsi="宋体"/>
          <w:sz w:val="32"/>
          <w:szCs w:val="32"/>
          <w:lang w:val="en-US" w:eastAsia="zh-CN"/>
        </w:rPr>
        <w:t>该</w:t>
      </w:r>
      <w:r>
        <w:rPr>
          <w:rFonts w:hint="eastAsia" w:hAnsi="宋体"/>
          <w:sz w:val="32"/>
          <w:szCs w:val="32"/>
        </w:rPr>
        <w:t>指标分值合计10分，自评得分10分，得分率为100%。</w:t>
      </w:r>
    </w:p>
    <w:p w14:paraId="21B816E4">
      <w:pPr>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b/>
          <w:bCs/>
          <w:sz w:val="32"/>
          <w:szCs w:val="32"/>
          <w:lang w:val="en-US" w:eastAsia="zh-CN"/>
        </w:rPr>
        <w:t>工作人员满意度</w:t>
      </w:r>
      <w:r>
        <w:rPr>
          <w:rFonts w:hint="eastAsia"/>
          <w:b/>
          <w:bCs/>
          <w:sz w:val="32"/>
          <w:szCs w:val="32"/>
        </w:rPr>
        <w:t>：</w:t>
      </w:r>
      <w:bookmarkStart w:id="70" w:name="_Toc40046043"/>
      <w:r>
        <w:rPr>
          <w:rFonts w:hint="eastAsia"/>
          <w:sz w:val="32"/>
          <w:szCs w:val="32"/>
        </w:rPr>
        <w:t>通过该项目的实施，提升了后勤保障能力，改善了办公环境，提高了工作人员满意度，满意度达到9</w:t>
      </w:r>
      <w:r>
        <w:rPr>
          <w:rFonts w:hint="eastAsia"/>
          <w:sz w:val="32"/>
          <w:szCs w:val="32"/>
          <w:lang w:val="en-US" w:eastAsia="zh-CN"/>
        </w:rPr>
        <w:t>0</w:t>
      </w:r>
      <w:r>
        <w:rPr>
          <w:rFonts w:hint="eastAsia"/>
          <w:sz w:val="32"/>
          <w:szCs w:val="32"/>
        </w:rPr>
        <w:t>%，</w:t>
      </w:r>
      <w:r>
        <w:rPr>
          <w:rFonts w:hint="eastAsia"/>
          <w:sz w:val="32"/>
          <w:szCs w:val="32"/>
          <w:lang w:eastAsia="zh-CN"/>
        </w:rPr>
        <w:t>达到年度指标值</w:t>
      </w:r>
      <w:r>
        <w:rPr>
          <w:sz w:val="32"/>
          <w:szCs w:val="32"/>
        </w:rPr>
        <w:t>。该指标分值</w:t>
      </w:r>
      <w:r>
        <w:rPr>
          <w:rFonts w:hint="eastAsia"/>
          <w:sz w:val="32"/>
          <w:szCs w:val="32"/>
          <w:lang w:val="en-US" w:eastAsia="zh-CN"/>
        </w:rPr>
        <w:t>5</w:t>
      </w:r>
      <w:r>
        <w:rPr>
          <w:sz w:val="32"/>
          <w:szCs w:val="32"/>
        </w:rPr>
        <w:t>分，自评得分为</w:t>
      </w:r>
      <w:r>
        <w:rPr>
          <w:rFonts w:hint="eastAsia"/>
          <w:sz w:val="32"/>
          <w:szCs w:val="32"/>
          <w:lang w:val="en-US" w:eastAsia="zh-CN"/>
        </w:rPr>
        <w:t>5</w:t>
      </w:r>
      <w:r>
        <w:rPr>
          <w:sz w:val="32"/>
          <w:szCs w:val="32"/>
        </w:rPr>
        <w:t>分，</w:t>
      </w:r>
      <w:r>
        <w:rPr>
          <w:rFonts w:hint="eastAsia"/>
          <w:sz w:val="32"/>
          <w:szCs w:val="32"/>
          <w:lang w:eastAsia="zh-CN"/>
        </w:rPr>
        <w:t>得分率为</w:t>
      </w:r>
      <w:r>
        <w:rPr>
          <w:sz w:val="32"/>
          <w:szCs w:val="32"/>
        </w:rPr>
        <w:t>100%</w:t>
      </w:r>
    </w:p>
    <w:p w14:paraId="4CC6AF51">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rPr>
      </w:pPr>
      <w:r>
        <w:rPr>
          <w:rFonts w:hint="eastAsia" w:cs="仿宋_GB2312"/>
          <w:b/>
          <w:bCs/>
          <w:sz w:val="32"/>
          <w:szCs w:val="32"/>
          <w:lang w:val="en-US" w:eastAsia="zh-CN"/>
        </w:rPr>
        <w:t>当事人</w:t>
      </w:r>
      <w:r>
        <w:rPr>
          <w:rFonts w:hint="eastAsia" w:ascii="仿宋_GB2312" w:hAnsi="仿宋_GB2312" w:eastAsia="仿宋_GB2312" w:cs="仿宋_GB2312"/>
          <w:b/>
          <w:bCs/>
          <w:sz w:val="32"/>
          <w:szCs w:val="32"/>
        </w:rPr>
        <w:t>满意度：</w:t>
      </w:r>
      <w:r>
        <w:rPr>
          <w:rFonts w:hint="eastAsia" w:ascii="仿宋_GB2312" w:hAnsi="仿宋_GB2312" w:eastAsia="仿宋_GB2312" w:cs="仿宋_GB2312"/>
          <w:sz w:val="32"/>
          <w:szCs w:val="32"/>
        </w:rPr>
        <w:t>我院积极审判各类案件，保障</w:t>
      </w:r>
      <w:r>
        <w:rPr>
          <w:rFonts w:hint="eastAsia" w:cs="仿宋_GB2312"/>
          <w:sz w:val="32"/>
          <w:szCs w:val="32"/>
          <w:lang w:val="en-US" w:eastAsia="zh-CN"/>
        </w:rPr>
        <w:t>当事人</w:t>
      </w:r>
      <w:r>
        <w:rPr>
          <w:rFonts w:hint="eastAsia" w:ascii="仿宋_GB2312" w:hAnsi="仿宋_GB2312" w:eastAsia="仿宋_GB2312" w:cs="仿宋_GB2312"/>
          <w:sz w:val="32"/>
          <w:szCs w:val="32"/>
        </w:rPr>
        <w:t>合法权益，得到</w:t>
      </w:r>
      <w:r>
        <w:rPr>
          <w:rFonts w:hint="eastAsia" w:cs="仿宋_GB2312"/>
          <w:sz w:val="32"/>
          <w:szCs w:val="32"/>
          <w:lang w:val="en-US" w:eastAsia="zh-CN"/>
        </w:rPr>
        <w:t>当事人</w:t>
      </w:r>
      <w:r>
        <w:rPr>
          <w:rFonts w:hint="eastAsia" w:ascii="仿宋_GB2312" w:hAnsi="仿宋_GB2312" w:eastAsia="仿宋_GB2312" w:cs="仿宋_GB2312"/>
          <w:sz w:val="32"/>
          <w:szCs w:val="32"/>
        </w:rPr>
        <w:t>认可，</w:t>
      </w:r>
      <w:r>
        <w:rPr>
          <w:rFonts w:hint="eastAsia" w:cs="仿宋_GB2312"/>
          <w:sz w:val="32"/>
          <w:szCs w:val="32"/>
          <w:highlight w:val="none"/>
          <w:lang w:val="en-US" w:eastAsia="zh-CN"/>
        </w:rPr>
        <w:t>当事人</w:t>
      </w:r>
      <w:r>
        <w:rPr>
          <w:rFonts w:hint="eastAsia" w:ascii="仿宋_GB2312" w:hAnsi="仿宋_GB2312" w:eastAsia="仿宋_GB2312" w:cs="仿宋_GB2312"/>
          <w:sz w:val="32"/>
          <w:szCs w:val="32"/>
          <w:highlight w:val="none"/>
        </w:rPr>
        <w:t>满意度达到</w:t>
      </w:r>
      <w:r>
        <w:rPr>
          <w:rFonts w:hint="eastAsia" w:cs="仿宋_GB2312"/>
          <w:sz w:val="32"/>
          <w:szCs w:val="32"/>
          <w:highlight w:val="none"/>
          <w:lang w:val="en-US" w:eastAsia="zh-CN"/>
        </w:rPr>
        <w:t>90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该指标分值</w:t>
      </w:r>
      <w:r>
        <w:rPr>
          <w:rFonts w:hint="eastAsia"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分，自评得分为</w:t>
      </w:r>
      <w:r>
        <w:rPr>
          <w:rFonts w:hint="eastAsia"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分，得分率为100%。</w:t>
      </w:r>
    </w:p>
    <w:p w14:paraId="6200697F">
      <w:pPr>
        <w:pStyle w:val="5"/>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lang w:val="en-US" w:eastAsia="zh-CN"/>
        </w:rPr>
        <w:t>3.</w:t>
      </w:r>
      <w:r>
        <w:rPr>
          <w:rFonts w:hint="eastAsia"/>
          <w:sz w:val="32"/>
          <w:szCs w:val="32"/>
        </w:rPr>
        <w:t>偏离绩效目标的原因及下一步改进措施</w:t>
      </w:r>
      <w:bookmarkEnd w:id="70"/>
    </w:p>
    <w:p w14:paraId="1635E54D">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bookmarkStart w:id="71" w:name="_Toc40046044"/>
      <w:bookmarkStart w:id="72" w:name="_Toc6037"/>
      <w:bookmarkStart w:id="73" w:name="_Toc7812"/>
      <w:bookmarkStart w:id="74" w:name="_Toc28429"/>
      <w:bookmarkStart w:id="75" w:name="_Toc513"/>
      <w:r>
        <w:rPr>
          <w:rFonts w:hint="eastAsia" w:ascii="仿宋_GB2312" w:hAnsi="仿宋_GB2312" w:eastAsia="仿宋_GB2312" w:cs="仿宋_GB2312"/>
          <w:b w:val="0"/>
          <w:bCs w:val="0"/>
          <w:sz w:val="32"/>
          <w:szCs w:val="32"/>
          <w:lang w:val="en-US" w:eastAsia="zh-CN"/>
        </w:rPr>
        <w:t>无</w:t>
      </w:r>
      <w:r>
        <w:rPr>
          <w:rFonts w:hint="eastAsia" w:cs="仿宋_GB2312"/>
          <w:b w:val="0"/>
          <w:bCs w:val="0"/>
          <w:sz w:val="32"/>
          <w:szCs w:val="32"/>
          <w:lang w:val="en-US" w:eastAsia="zh-CN"/>
        </w:rPr>
        <w:t>。</w:t>
      </w:r>
    </w:p>
    <w:p w14:paraId="5DE329C0">
      <w:pPr>
        <w:pStyle w:val="4"/>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76" w:name="_Toc23462"/>
      <w:r>
        <w:rPr>
          <w:rFonts w:hint="eastAsia"/>
          <w:sz w:val="32"/>
          <w:szCs w:val="32"/>
        </w:rPr>
        <w:t>（二）</w:t>
      </w:r>
      <w:bookmarkEnd w:id="71"/>
      <w:bookmarkEnd w:id="72"/>
      <w:r>
        <w:rPr>
          <w:rFonts w:hint="eastAsia"/>
          <w:sz w:val="32"/>
          <w:szCs w:val="32"/>
          <w:lang w:val="en-US" w:eastAsia="zh-CN"/>
        </w:rPr>
        <w:t>法庭运维</w:t>
      </w:r>
      <w:r>
        <w:rPr>
          <w:rFonts w:hint="eastAsia"/>
          <w:sz w:val="32"/>
          <w:szCs w:val="32"/>
        </w:rPr>
        <w:t>费</w:t>
      </w:r>
      <w:bookmarkEnd w:id="73"/>
      <w:bookmarkEnd w:id="74"/>
      <w:bookmarkEnd w:id="75"/>
      <w:bookmarkEnd w:id="76"/>
    </w:p>
    <w:p w14:paraId="01D0CD8A">
      <w:pPr>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bookmarkStart w:id="77" w:name="_Toc1889"/>
      <w:bookmarkStart w:id="78" w:name="_Toc3777"/>
      <w:bookmarkStart w:id="79" w:name="_Toc40046064"/>
      <w:bookmarkStart w:id="80" w:name="_Toc18806"/>
      <w:bookmarkStart w:id="81" w:name="_Toc22570"/>
      <w:bookmarkStart w:id="82" w:name="_Toc40046065"/>
      <w:bookmarkStart w:id="83" w:name="_Toc7144"/>
      <w:r>
        <w:rPr>
          <w:rFonts w:hint="eastAsia"/>
          <w:sz w:val="32"/>
          <w:szCs w:val="32"/>
          <w:highlight w:val="none"/>
        </w:rPr>
        <w:t>本次绩效自评综合评定202</w:t>
      </w:r>
      <w:r>
        <w:rPr>
          <w:rFonts w:hint="eastAsia"/>
          <w:sz w:val="32"/>
          <w:szCs w:val="32"/>
          <w:highlight w:val="none"/>
          <w:lang w:val="en-US" w:eastAsia="zh-CN"/>
        </w:rPr>
        <w:t>3</w:t>
      </w:r>
      <w:r>
        <w:rPr>
          <w:rFonts w:hint="eastAsia"/>
          <w:sz w:val="32"/>
          <w:szCs w:val="32"/>
          <w:highlight w:val="none"/>
        </w:rPr>
        <w:t>年</w:t>
      </w:r>
      <w:r>
        <w:rPr>
          <w:rFonts w:hint="eastAsia"/>
          <w:sz w:val="32"/>
          <w:szCs w:val="32"/>
          <w:highlight w:val="none"/>
          <w:lang w:val="en-US" w:eastAsia="zh-CN"/>
        </w:rPr>
        <w:t>法庭运维费</w:t>
      </w:r>
      <w:r>
        <w:rPr>
          <w:rFonts w:hint="eastAsia"/>
          <w:sz w:val="32"/>
          <w:szCs w:val="32"/>
          <w:highlight w:val="none"/>
        </w:rPr>
        <w:t>项目支出绩效得分为</w:t>
      </w:r>
      <w:r>
        <w:rPr>
          <w:rFonts w:hint="eastAsia"/>
          <w:sz w:val="32"/>
          <w:szCs w:val="32"/>
          <w:highlight w:val="none"/>
          <w:lang w:val="en-US" w:eastAsia="zh-CN"/>
        </w:rPr>
        <w:t>100</w:t>
      </w:r>
      <w:r>
        <w:rPr>
          <w:rFonts w:hint="eastAsia"/>
          <w:sz w:val="32"/>
          <w:szCs w:val="32"/>
          <w:highlight w:val="none"/>
        </w:rPr>
        <w:t>分，绩效等级为“</w:t>
      </w:r>
      <w:r>
        <w:rPr>
          <w:rFonts w:hint="eastAsia"/>
          <w:sz w:val="32"/>
          <w:szCs w:val="32"/>
          <w:highlight w:val="none"/>
          <w:lang w:val="en-US" w:eastAsia="zh-CN"/>
        </w:rPr>
        <w:t>优</w:t>
      </w:r>
      <w:r>
        <w:rPr>
          <w:rFonts w:hint="eastAsia"/>
          <w:sz w:val="32"/>
          <w:szCs w:val="32"/>
          <w:highlight w:val="none"/>
        </w:rPr>
        <w:t>”。项目支出绩效评价包括预算执行率</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6</w:t>
      </w:r>
      <w:r>
        <w:rPr>
          <w:rFonts w:hint="eastAsia"/>
          <w:sz w:val="32"/>
          <w:szCs w:val="32"/>
          <w:highlight w:val="none"/>
        </w:rPr>
        <w:t>个二级指标和</w:t>
      </w:r>
      <w:r>
        <w:rPr>
          <w:rFonts w:hint="eastAsia"/>
          <w:sz w:val="32"/>
          <w:szCs w:val="32"/>
          <w:highlight w:val="none"/>
          <w:lang w:val="en-US" w:eastAsia="zh-CN"/>
        </w:rPr>
        <w:t>10</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r>
        <w:rPr>
          <w:rFonts w:hint="eastAsia"/>
          <w:highlight w:val="none"/>
        </w:rPr>
        <w:t>：</w:t>
      </w:r>
    </w:p>
    <w:tbl>
      <w:tblPr>
        <w:tblStyle w:val="21"/>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14:paraId="543008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288" w:type="dxa"/>
            <w:shd w:val="clear" w:color="auto" w:fill="BDD6EE"/>
            <w:vAlign w:val="center"/>
          </w:tcPr>
          <w:p w14:paraId="62F9E377">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701" w:type="dxa"/>
            <w:shd w:val="clear" w:color="auto" w:fill="BDD6EE"/>
            <w:vAlign w:val="center"/>
          </w:tcPr>
          <w:p w14:paraId="7EEBC9F0">
            <w:pPr>
              <w:keepNext w:val="0"/>
              <w:keepLines w:val="0"/>
              <w:widowControl/>
              <w:suppressLineNumbers w:val="0"/>
              <w:ind w:firstLine="482" w:firstLineChars="200"/>
              <w:jc w:val="both"/>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701" w:type="dxa"/>
            <w:shd w:val="clear" w:color="auto" w:fill="BDD6EE"/>
            <w:vAlign w:val="center"/>
          </w:tcPr>
          <w:p w14:paraId="4EC728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lang w:val="en-US" w:eastAsia="zh-CN"/>
              </w:rPr>
              <w:t>自评得分</w:t>
            </w:r>
          </w:p>
        </w:tc>
        <w:tc>
          <w:tcPr>
            <w:tcW w:w="1701" w:type="dxa"/>
            <w:shd w:val="clear" w:color="auto" w:fill="BDD6EE"/>
            <w:vAlign w:val="center"/>
          </w:tcPr>
          <w:p w14:paraId="48AAF0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lang w:val="en-US" w:eastAsia="zh-CN"/>
              </w:rPr>
              <w:t>得分率</w:t>
            </w:r>
          </w:p>
        </w:tc>
      </w:tr>
      <w:tr w14:paraId="15B3F6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1ACDC746">
            <w:pPr>
              <w:widowControl/>
              <w:wordWrap/>
              <w:autoSpaceDE w:val="0"/>
              <w:autoSpaceDN w:val="0"/>
              <w:adjustRightInd/>
              <w:snapToGrid/>
              <w:spacing w:line="240" w:lineRule="auto"/>
              <w:ind w:firstLine="480" w:firstLineChars="200"/>
              <w:jc w:val="left"/>
              <w:rPr>
                <w:rFonts w:hint="eastAsia" w:ascii="宋体" w:hAnsi="宋体" w:eastAsia="仿宋_GB2312" w:cs="宋体"/>
                <w:b/>
                <w:color w:val="000000"/>
                <w:kern w:val="0"/>
                <w:sz w:val="24"/>
                <w:szCs w:val="22"/>
                <w:highlight w:val="none"/>
                <w:shd w:val="clear" w:color="auto" w:fill="BDD6EE"/>
                <w:lang w:val="en-US" w:eastAsia="zh-CN" w:bidi="ar-SA"/>
              </w:rPr>
            </w:pPr>
            <w:r>
              <w:rPr>
                <w:rFonts w:hint="eastAsia" w:hAnsi="宋体" w:cs="宋体"/>
                <w:color w:val="000000"/>
                <w:kern w:val="0"/>
                <w:sz w:val="24"/>
                <w:szCs w:val="28"/>
                <w:highlight w:val="none"/>
              </w:rPr>
              <w:t>预算执行率</w:t>
            </w:r>
          </w:p>
        </w:tc>
        <w:tc>
          <w:tcPr>
            <w:tcW w:w="1701" w:type="dxa"/>
            <w:shd w:val="clear" w:color="auto" w:fill="auto"/>
            <w:vAlign w:val="center"/>
          </w:tcPr>
          <w:p w14:paraId="166E55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01" w:type="dxa"/>
            <w:shd w:val="clear" w:color="auto" w:fill="auto"/>
            <w:vAlign w:val="center"/>
          </w:tcPr>
          <w:p w14:paraId="281D3E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01" w:type="dxa"/>
            <w:shd w:val="clear" w:color="auto" w:fill="auto"/>
            <w:vAlign w:val="center"/>
          </w:tcPr>
          <w:p w14:paraId="79269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15171D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auto"/>
            <w:vAlign w:val="center"/>
          </w:tcPr>
          <w:p w14:paraId="42241C0C">
            <w:pPr>
              <w:widowControl/>
              <w:wordWrap/>
              <w:autoSpaceDE w:val="0"/>
              <w:autoSpaceDN w:val="0"/>
              <w:adjustRightInd/>
              <w:snapToGrid/>
              <w:spacing w:line="240" w:lineRule="auto"/>
              <w:ind w:firstLine="480" w:firstLineChars="200"/>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成本指标</w:t>
            </w:r>
          </w:p>
        </w:tc>
        <w:tc>
          <w:tcPr>
            <w:tcW w:w="1701" w:type="dxa"/>
            <w:shd w:val="clear" w:color="auto" w:fill="auto"/>
            <w:vAlign w:val="center"/>
          </w:tcPr>
          <w:p w14:paraId="0DA2397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701" w:type="dxa"/>
            <w:shd w:val="clear" w:color="auto" w:fill="auto"/>
            <w:vAlign w:val="center"/>
          </w:tcPr>
          <w:p w14:paraId="545740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701" w:type="dxa"/>
            <w:shd w:val="clear" w:color="auto" w:fill="auto"/>
            <w:vAlign w:val="center"/>
          </w:tcPr>
          <w:p w14:paraId="3502C7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274406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AFBE9C4">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产出指标</w:t>
            </w:r>
          </w:p>
        </w:tc>
        <w:tc>
          <w:tcPr>
            <w:tcW w:w="1701" w:type="dxa"/>
            <w:vAlign w:val="center"/>
          </w:tcPr>
          <w:p w14:paraId="79ECD2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701" w:type="dxa"/>
            <w:vAlign w:val="center"/>
          </w:tcPr>
          <w:p w14:paraId="2559D5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701" w:type="dxa"/>
            <w:vAlign w:val="center"/>
          </w:tcPr>
          <w:p w14:paraId="47C9B2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0B6AC1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5B2A9865">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效益指标</w:t>
            </w:r>
          </w:p>
        </w:tc>
        <w:tc>
          <w:tcPr>
            <w:tcW w:w="1701" w:type="dxa"/>
            <w:vAlign w:val="center"/>
          </w:tcPr>
          <w:p w14:paraId="7BB6E8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701" w:type="dxa"/>
            <w:vAlign w:val="center"/>
          </w:tcPr>
          <w:p w14:paraId="347CF2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701" w:type="dxa"/>
            <w:vAlign w:val="center"/>
          </w:tcPr>
          <w:p w14:paraId="0DA939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06E5B2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14:paraId="3F6C583E">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满意度指标</w:t>
            </w:r>
          </w:p>
        </w:tc>
        <w:tc>
          <w:tcPr>
            <w:tcW w:w="1701" w:type="dxa"/>
            <w:vAlign w:val="center"/>
          </w:tcPr>
          <w:p w14:paraId="656F39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701" w:type="dxa"/>
            <w:vAlign w:val="center"/>
          </w:tcPr>
          <w:p w14:paraId="64B921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701" w:type="dxa"/>
            <w:vAlign w:val="center"/>
          </w:tcPr>
          <w:p w14:paraId="7C2558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14:paraId="4D2B05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14:paraId="45BB882B">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701" w:type="dxa"/>
            <w:shd w:val="clear" w:color="auto" w:fill="BDD6EE"/>
            <w:vAlign w:val="center"/>
          </w:tcPr>
          <w:p w14:paraId="69A383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701" w:type="dxa"/>
            <w:shd w:val="clear" w:color="auto" w:fill="BDD6EE"/>
            <w:vAlign w:val="center"/>
          </w:tcPr>
          <w:p w14:paraId="1FA39D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1701" w:type="dxa"/>
            <w:shd w:val="clear" w:color="auto" w:fill="BDD6EE"/>
            <w:vAlign w:val="center"/>
          </w:tcPr>
          <w:p w14:paraId="017FAC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r>
    </w:tbl>
    <w:p w14:paraId="7750BAB2">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14:paraId="48BB2E0A">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lang w:val="en-US" w:eastAsia="zh-CN"/>
        </w:rPr>
        <w:t>运维</w:t>
      </w:r>
      <w:r>
        <w:rPr>
          <w:rFonts w:hint="eastAsia"/>
          <w:sz w:val="32"/>
          <w:szCs w:val="32"/>
          <w:lang w:eastAsia="zh-CN"/>
        </w:rPr>
        <w:t>费</w:t>
      </w:r>
      <w:r>
        <w:rPr>
          <w:rFonts w:hint="eastAsia"/>
          <w:sz w:val="32"/>
          <w:szCs w:val="32"/>
        </w:rPr>
        <w:t>项目年初预算数</w:t>
      </w:r>
      <w:r>
        <w:rPr>
          <w:rFonts w:hint="eastAsia"/>
          <w:sz w:val="32"/>
          <w:szCs w:val="32"/>
          <w:lang w:val="en-US" w:eastAsia="zh-CN"/>
        </w:rPr>
        <w:t>24.00万元</w:t>
      </w:r>
      <w:r>
        <w:rPr>
          <w:rFonts w:hint="eastAsia"/>
          <w:sz w:val="32"/>
          <w:szCs w:val="32"/>
          <w:lang w:eastAsia="zh-CN"/>
        </w:rPr>
        <w:t>，</w:t>
      </w:r>
      <w:r>
        <w:rPr>
          <w:rFonts w:hint="eastAsia"/>
          <w:sz w:val="32"/>
          <w:szCs w:val="32"/>
        </w:rPr>
        <w:t>全年预算数</w:t>
      </w:r>
      <w:r>
        <w:rPr>
          <w:rFonts w:hint="eastAsia"/>
          <w:sz w:val="32"/>
          <w:szCs w:val="32"/>
          <w:lang w:val="en-US" w:eastAsia="zh-CN"/>
        </w:rPr>
        <w:t>为24.00万元，</w:t>
      </w:r>
      <w:r>
        <w:rPr>
          <w:rFonts w:hint="eastAsia"/>
          <w:sz w:val="32"/>
          <w:szCs w:val="32"/>
        </w:rPr>
        <w:t>全年执行数为</w:t>
      </w:r>
      <w:r>
        <w:rPr>
          <w:rFonts w:hint="eastAsia"/>
          <w:sz w:val="32"/>
          <w:szCs w:val="32"/>
          <w:lang w:val="en-US" w:eastAsia="zh-CN"/>
        </w:rPr>
        <w:t>24.00</w:t>
      </w:r>
      <w:r>
        <w:rPr>
          <w:rFonts w:hint="eastAsia"/>
          <w:sz w:val="32"/>
          <w:szCs w:val="32"/>
        </w:rPr>
        <w:t>万元，预算执行率</w:t>
      </w:r>
      <w:r>
        <w:rPr>
          <w:rFonts w:hint="eastAsia"/>
          <w:sz w:val="32"/>
          <w:szCs w:val="32"/>
          <w:lang w:val="en-US" w:eastAsia="zh-CN"/>
        </w:rPr>
        <w:t>100</w:t>
      </w:r>
      <w:r>
        <w:rPr>
          <w:rFonts w:hint="eastAsia"/>
          <w:sz w:val="32"/>
          <w:szCs w:val="32"/>
        </w:rPr>
        <w:t>%，满分10分，得分</w:t>
      </w:r>
      <w:r>
        <w:rPr>
          <w:rFonts w:hint="eastAsia"/>
          <w:sz w:val="32"/>
          <w:szCs w:val="32"/>
          <w:lang w:val="en-US" w:eastAsia="zh-CN"/>
        </w:rPr>
        <w:t>10</w:t>
      </w:r>
      <w:r>
        <w:rPr>
          <w:rFonts w:hint="eastAsia"/>
          <w:sz w:val="32"/>
          <w:szCs w:val="32"/>
        </w:rPr>
        <w:t>分。</w:t>
      </w:r>
    </w:p>
    <w:p w14:paraId="65D47525">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14:paraId="3C8532D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eastAsia="zh-CN"/>
        </w:rPr>
      </w:pPr>
      <w:r>
        <w:rPr>
          <w:rFonts w:hint="eastAsia" w:cstheme="minorBidi"/>
          <w:b w:val="0"/>
          <w:bCs w:val="0"/>
          <w:kern w:val="2"/>
          <w:sz w:val="32"/>
          <w:szCs w:val="32"/>
          <w:highlight w:val="none"/>
          <w:lang w:val="en-US" w:eastAsia="zh-CN" w:bidi="ar-SA"/>
        </w:rPr>
        <w:t>本年度通过项目的实施，保障派出法庭后勤工作，维持我院所辖3个基层法庭的正常运行；按照年初预算对派出法庭进行维修维护，在规定时间内进行验收，验收合格率达到100%</w:t>
      </w:r>
      <w:r>
        <w:rPr>
          <w:rFonts w:hint="eastAsia" w:ascii="仿宋_GB2312" w:hAnsi="仿宋_GB2312" w:eastAsia="仿宋_GB2312" w:cstheme="minorBidi"/>
          <w:b w:val="0"/>
          <w:bCs w:val="0"/>
          <w:kern w:val="2"/>
          <w:sz w:val="32"/>
          <w:szCs w:val="32"/>
          <w:highlight w:val="none"/>
          <w:lang w:val="en-US" w:eastAsia="zh-CN" w:bidi="ar-SA"/>
        </w:rPr>
        <w:t>。</w:t>
      </w:r>
    </w:p>
    <w:p w14:paraId="224B7655">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p>
    <w:p w14:paraId="38D7204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lang w:val="en-US" w:eastAsia="zh-CN"/>
        </w:rPr>
        <w:t>成本指标</w:t>
      </w:r>
    </w:p>
    <w:p w14:paraId="3A0834A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成本</w:t>
      </w:r>
      <w:r>
        <w:rPr>
          <w:rFonts w:hint="eastAsia"/>
          <w:sz w:val="32"/>
          <w:szCs w:val="32"/>
        </w:rPr>
        <w:t>指标下设</w:t>
      </w:r>
      <w:r>
        <w:rPr>
          <w:rFonts w:hint="eastAsia"/>
          <w:sz w:val="32"/>
          <w:szCs w:val="32"/>
          <w:lang w:val="en-US" w:eastAsia="zh-CN"/>
        </w:rPr>
        <w:t>1</w:t>
      </w:r>
      <w:r>
        <w:rPr>
          <w:rFonts w:hint="eastAsia"/>
          <w:sz w:val="32"/>
          <w:szCs w:val="32"/>
        </w:rPr>
        <w:t>个三级指标，指标</w:t>
      </w:r>
      <w:r>
        <w:rPr>
          <w:rFonts w:hint="eastAsia"/>
          <w:sz w:val="32"/>
          <w:szCs w:val="32"/>
          <w:lang w:val="en-US" w:eastAsia="zh-CN"/>
        </w:rPr>
        <w:t>分值</w:t>
      </w:r>
      <w:r>
        <w:rPr>
          <w:rFonts w:hint="eastAsia" w:hAnsi="宋体"/>
          <w:sz w:val="32"/>
          <w:szCs w:val="32"/>
          <w:lang w:val="en-US" w:eastAsia="zh-CN"/>
        </w:rPr>
        <w:t>20</w:t>
      </w:r>
      <w:r>
        <w:rPr>
          <w:rFonts w:hint="eastAsia"/>
          <w:sz w:val="32"/>
          <w:szCs w:val="32"/>
        </w:rPr>
        <w:t>分，自评得分</w:t>
      </w:r>
      <w:r>
        <w:rPr>
          <w:rFonts w:hint="eastAsia" w:hAnsi="宋体"/>
          <w:sz w:val="32"/>
          <w:szCs w:val="32"/>
          <w:lang w:val="en-US" w:eastAsia="zh-CN"/>
        </w:rPr>
        <w:t>20</w:t>
      </w:r>
      <w:r>
        <w:rPr>
          <w:rFonts w:hint="eastAsia"/>
          <w:sz w:val="32"/>
          <w:szCs w:val="32"/>
        </w:rPr>
        <w:t>分，得分率为</w:t>
      </w:r>
      <w:r>
        <w:rPr>
          <w:rFonts w:hint="eastAsia"/>
          <w:sz w:val="32"/>
          <w:szCs w:val="32"/>
          <w:lang w:val="en-US" w:eastAsia="zh-CN"/>
        </w:rPr>
        <w:t>100</w:t>
      </w:r>
      <w:r>
        <w:rPr>
          <w:rFonts w:hint="eastAsia"/>
          <w:sz w:val="32"/>
          <w:szCs w:val="32"/>
        </w:rPr>
        <w:t>%。</w:t>
      </w:r>
    </w:p>
    <w:p w14:paraId="4A6AA3BF">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成本控制情况：</w:t>
      </w:r>
      <w:r>
        <w:rPr>
          <w:rFonts w:hint="eastAsia" w:hAnsi="宋体"/>
          <w:sz w:val="32"/>
          <w:szCs w:val="32"/>
          <w:lang w:val="en-US" w:eastAsia="zh-CN"/>
        </w:rPr>
        <w:t>我院法庭运维费</w:t>
      </w:r>
      <w:r>
        <w:rPr>
          <w:rFonts w:hint="eastAsia" w:hAnsi="宋体"/>
          <w:sz w:val="32"/>
          <w:szCs w:val="32"/>
        </w:rPr>
        <w:t>全年支出</w:t>
      </w:r>
      <w:r>
        <w:rPr>
          <w:rFonts w:hint="eastAsia" w:hAnsi="宋体" w:cs="宋体"/>
          <w:kern w:val="0"/>
          <w:sz w:val="32"/>
          <w:szCs w:val="32"/>
          <w:highlight w:val="none"/>
          <w:lang w:eastAsia="zh-CN"/>
        </w:rPr>
        <w:t>控制在</w:t>
      </w:r>
      <w:r>
        <w:rPr>
          <w:rFonts w:hint="eastAsia" w:hAnsi="宋体" w:cs="宋体"/>
          <w:kern w:val="0"/>
          <w:sz w:val="32"/>
          <w:szCs w:val="32"/>
          <w:highlight w:val="none"/>
        </w:rPr>
        <w:t>预算</w:t>
      </w:r>
      <w:r>
        <w:rPr>
          <w:rFonts w:hint="eastAsia" w:hAnsi="宋体" w:cs="宋体"/>
          <w:kern w:val="0"/>
          <w:sz w:val="32"/>
          <w:szCs w:val="32"/>
          <w:highlight w:val="none"/>
          <w:lang w:val="en-US" w:eastAsia="zh-CN"/>
        </w:rPr>
        <w:t>范围</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w:t>
      </w:r>
      <w:r>
        <w:rPr>
          <w:rFonts w:hint="eastAsia" w:hAnsi="宋体" w:cs="宋体"/>
          <w:kern w:val="0"/>
          <w:sz w:val="32"/>
          <w:szCs w:val="32"/>
          <w:lang w:eastAsia="zh-CN"/>
        </w:rPr>
        <w:t>年度指标值</w:t>
      </w:r>
      <w:r>
        <w:rPr>
          <w:rFonts w:hint="eastAsia" w:hAnsi="宋体" w:cs="宋体"/>
          <w:kern w:val="0"/>
          <w:sz w:val="32"/>
          <w:szCs w:val="32"/>
        </w:rPr>
        <w:t>的要求。</w:t>
      </w:r>
      <w:r>
        <w:rPr>
          <w:rFonts w:hint="eastAsia" w:hAnsi="宋体"/>
          <w:sz w:val="32"/>
          <w:szCs w:val="32"/>
        </w:rPr>
        <w:t>该指标分值</w:t>
      </w:r>
      <w:r>
        <w:rPr>
          <w:rFonts w:hint="eastAsia" w:hAnsi="宋体"/>
          <w:sz w:val="32"/>
          <w:szCs w:val="32"/>
          <w:lang w:val="en-US" w:eastAsia="zh-CN"/>
        </w:rPr>
        <w:t>20</w:t>
      </w:r>
      <w:r>
        <w:rPr>
          <w:rFonts w:hint="eastAsia" w:hAnsi="宋体"/>
          <w:sz w:val="32"/>
          <w:szCs w:val="32"/>
        </w:rPr>
        <w:t>分，</w:t>
      </w:r>
      <w:r>
        <w:rPr>
          <w:rFonts w:hAnsi="宋体"/>
          <w:sz w:val="32"/>
          <w:szCs w:val="32"/>
        </w:rPr>
        <w:t>按评价标</w:t>
      </w:r>
      <w:r>
        <w:rPr>
          <w:rFonts w:hAnsi="宋体"/>
          <w:sz w:val="32"/>
          <w:szCs w:val="32"/>
          <w:highlight w:val="none"/>
        </w:rPr>
        <w:t>准得</w:t>
      </w:r>
      <w:r>
        <w:rPr>
          <w:rFonts w:hint="eastAsia" w:hAnsi="宋体"/>
          <w:sz w:val="32"/>
          <w:szCs w:val="32"/>
          <w:lang w:val="en-US" w:eastAsia="zh-CN"/>
        </w:rPr>
        <w:t>20</w:t>
      </w:r>
      <w:r>
        <w:rPr>
          <w:rFonts w:hAnsi="宋体"/>
          <w:sz w:val="32"/>
          <w:szCs w:val="32"/>
          <w:highlight w:val="none"/>
        </w:rPr>
        <w:t>分，得分率为</w:t>
      </w:r>
      <w:r>
        <w:rPr>
          <w:rFonts w:hint="eastAsia" w:hAnsi="宋体"/>
          <w:sz w:val="32"/>
          <w:szCs w:val="32"/>
          <w:highlight w:val="none"/>
          <w:lang w:val="en-US" w:eastAsia="zh-CN"/>
        </w:rPr>
        <w:t>100</w:t>
      </w:r>
      <w:r>
        <w:rPr>
          <w:rFonts w:hAnsi="宋体"/>
          <w:sz w:val="32"/>
          <w:szCs w:val="32"/>
          <w:highlight w:val="none"/>
        </w:rPr>
        <w:t>%。</w:t>
      </w:r>
    </w:p>
    <w:p w14:paraId="245753A2">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sz w:val="32"/>
          <w:szCs w:val="32"/>
        </w:rPr>
      </w:pPr>
      <w:r>
        <w:rPr>
          <w:rFonts w:hint="eastAsia"/>
          <w:sz w:val="32"/>
          <w:szCs w:val="32"/>
        </w:rPr>
        <w:t>（</w:t>
      </w:r>
      <w:r>
        <w:rPr>
          <w:rFonts w:hint="eastAsia"/>
          <w:sz w:val="32"/>
          <w:szCs w:val="32"/>
          <w:lang w:val="en-US" w:eastAsia="zh-CN"/>
        </w:rPr>
        <w:t>2</w:t>
      </w:r>
      <w:r>
        <w:rPr>
          <w:rFonts w:hint="eastAsia"/>
          <w:sz w:val="32"/>
          <w:szCs w:val="32"/>
        </w:rPr>
        <w:t>）产出指标</w:t>
      </w:r>
    </w:p>
    <w:p w14:paraId="36D0501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sz w:val="32"/>
          <w:szCs w:val="32"/>
          <w:lang w:val="en-US" w:eastAsia="zh-CN"/>
        </w:rPr>
      </w:pPr>
      <w:r>
        <w:rPr>
          <w:rFonts w:hint="eastAsia" w:cs="仿宋_GB2312"/>
          <w:sz w:val="32"/>
          <w:szCs w:val="32"/>
        </w:rPr>
        <w:t>产出指标下设数量</w:t>
      </w:r>
      <w:r>
        <w:rPr>
          <w:rFonts w:hint="eastAsia" w:cs="仿宋_GB2312"/>
          <w:sz w:val="32"/>
          <w:szCs w:val="32"/>
          <w:lang w:eastAsia="zh-CN"/>
        </w:rPr>
        <w:t>、</w:t>
      </w:r>
      <w:r>
        <w:rPr>
          <w:rFonts w:hint="eastAsia" w:cs="仿宋_GB2312"/>
          <w:sz w:val="32"/>
          <w:szCs w:val="32"/>
        </w:rPr>
        <w:t>质量</w:t>
      </w:r>
      <w:r>
        <w:rPr>
          <w:rFonts w:hint="eastAsia" w:cs="仿宋_GB2312"/>
          <w:sz w:val="32"/>
          <w:szCs w:val="32"/>
          <w:lang w:val="en-US" w:eastAsia="zh-CN"/>
        </w:rPr>
        <w:t>和</w:t>
      </w:r>
      <w:r>
        <w:rPr>
          <w:rFonts w:hint="eastAsia" w:cs="仿宋_GB2312"/>
          <w:sz w:val="32"/>
          <w:szCs w:val="32"/>
          <w:lang w:eastAsia="zh-CN"/>
        </w:rPr>
        <w:t>时效</w:t>
      </w:r>
      <w:r>
        <w:rPr>
          <w:rFonts w:hint="eastAsia" w:cs="仿宋_GB2312"/>
          <w:sz w:val="32"/>
          <w:szCs w:val="32"/>
          <w:lang w:val="en-US" w:eastAsia="zh-CN"/>
        </w:rPr>
        <w:t>3</w:t>
      </w:r>
      <w:r>
        <w:rPr>
          <w:rFonts w:hint="eastAsia" w:cs="仿宋_GB2312"/>
          <w:sz w:val="32"/>
          <w:szCs w:val="32"/>
        </w:rPr>
        <w:t>个二级指标。总分值</w:t>
      </w:r>
      <w:r>
        <w:rPr>
          <w:rFonts w:hint="eastAsia" w:cs="仿宋_GB2312"/>
          <w:sz w:val="32"/>
          <w:szCs w:val="32"/>
          <w:lang w:val="en-US" w:eastAsia="zh-CN"/>
        </w:rPr>
        <w:t>4</w:t>
      </w:r>
      <w:r>
        <w:rPr>
          <w:rFonts w:hint="eastAsia" w:cs="仿宋_GB2312"/>
          <w:sz w:val="32"/>
          <w:szCs w:val="32"/>
        </w:rPr>
        <w:t>0分，得分</w:t>
      </w:r>
      <w:r>
        <w:rPr>
          <w:rFonts w:hint="eastAsia" w:cs="仿宋_GB2312"/>
          <w:sz w:val="32"/>
          <w:szCs w:val="32"/>
          <w:lang w:val="en-US" w:eastAsia="zh-CN"/>
        </w:rPr>
        <w:t>40</w:t>
      </w:r>
      <w:r>
        <w:rPr>
          <w:rFonts w:hint="eastAsia" w:cs="仿宋_GB2312"/>
          <w:sz w:val="32"/>
          <w:szCs w:val="32"/>
        </w:rPr>
        <w:t>分，</w:t>
      </w:r>
      <w:r>
        <w:rPr>
          <w:rFonts w:hint="eastAsia" w:cs="仿宋_GB2312"/>
          <w:sz w:val="32"/>
          <w:szCs w:val="32"/>
          <w:lang w:eastAsia="zh-CN"/>
        </w:rPr>
        <w:t>得分率为</w:t>
      </w:r>
      <w:r>
        <w:rPr>
          <w:rFonts w:hint="eastAsia" w:cs="仿宋_GB2312"/>
          <w:sz w:val="32"/>
          <w:szCs w:val="32"/>
          <w:lang w:val="en-US" w:eastAsia="zh-CN"/>
        </w:rPr>
        <w:t>100</w:t>
      </w:r>
      <w:r>
        <w:rPr>
          <w:rFonts w:hint="eastAsia" w:cs="仿宋_GB2312"/>
          <w:sz w:val="32"/>
          <w:szCs w:val="32"/>
        </w:rPr>
        <w:t>%</w:t>
      </w:r>
      <w:r>
        <w:rPr>
          <w:rFonts w:hint="eastAsia" w:cs="仿宋_GB2312"/>
          <w:sz w:val="32"/>
          <w:szCs w:val="32"/>
          <w:lang w:eastAsia="zh-CN"/>
        </w:rPr>
        <w:t>。</w:t>
      </w:r>
    </w:p>
    <w:p w14:paraId="35A1B3F0">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仿宋_GB2312"/>
          <w:sz w:val="32"/>
          <w:szCs w:val="32"/>
        </w:rPr>
      </w:pPr>
      <w:r>
        <w:rPr>
          <w:rFonts w:hint="eastAsia"/>
          <w:b/>
          <w:bCs/>
          <w:sz w:val="32"/>
          <w:szCs w:val="32"/>
        </w:rPr>
        <w:t>①数量指标</w:t>
      </w:r>
    </w:p>
    <w:p w14:paraId="17382B0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sz w:val="32"/>
          <w:szCs w:val="32"/>
        </w:rPr>
        <w:t>数量指标下设</w:t>
      </w:r>
      <w:r>
        <w:rPr>
          <w:rFonts w:hint="eastAsia"/>
          <w:sz w:val="32"/>
          <w:szCs w:val="32"/>
          <w:lang w:val="en-US" w:eastAsia="zh-CN"/>
        </w:rPr>
        <w:t>3</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分值17.16</w:t>
      </w:r>
      <w:r>
        <w:rPr>
          <w:rFonts w:hint="eastAsia" w:hAnsi="宋体"/>
          <w:sz w:val="32"/>
          <w:szCs w:val="32"/>
          <w:highlight w:val="none"/>
        </w:rPr>
        <w:t>分，自评得分</w:t>
      </w:r>
      <w:r>
        <w:rPr>
          <w:rFonts w:hint="eastAsia" w:hAnsi="宋体"/>
          <w:sz w:val="32"/>
          <w:szCs w:val="32"/>
          <w:highlight w:val="none"/>
          <w:lang w:val="en-US" w:eastAsia="zh-CN"/>
        </w:rPr>
        <w:t>17.16</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38BE76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lang w:val="en-US" w:eastAsia="zh-CN"/>
        </w:rPr>
      </w:pPr>
      <w:r>
        <w:rPr>
          <w:rFonts w:hint="eastAsia" w:hAnsi="宋体"/>
          <w:b/>
          <w:bCs/>
          <w:sz w:val="32"/>
          <w:szCs w:val="32"/>
          <w:lang w:val="en-US" w:eastAsia="zh-CN"/>
        </w:rPr>
        <w:t>保障法庭个数：</w:t>
      </w:r>
      <w:r>
        <w:rPr>
          <w:rFonts w:hint="eastAsia" w:hAnsi="宋体"/>
          <w:b w:val="0"/>
          <w:bCs w:val="0"/>
          <w:sz w:val="32"/>
          <w:szCs w:val="32"/>
          <w:lang w:val="en-US" w:eastAsia="zh-CN"/>
        </w:rPr>
        <w:t>我院保障3</w:t>
      </w:r>
      <w:r>
        <w:rPr>
          <w:rFonts w:hint="eastAsia" w:hAnsi="宋体"/>
          <w:sz w:val="32"/>
          <w:szCs w:val="32"/>
          <w:highlight w:val="none"/>
          <w:lang w:val="en-US" w:eastAsia="zh-CN"/>
        </w:rPr>
        <w:t>个基层法庭正常运行，改善了基层法庭办公、办案条件，为其提供了稳</w:t>
      </w:r>
      <w:r>
        <w:rPr>
          <w:rFonts w:hint="eastAsia" w:hAnsi="宋体"/>
          <w:sz w:val="32"/>
          <w:szCs w:val="32"/>
          <w:highlight w:val="none"/>
        </w:rPr>
        <w:t>定的经费保障</w:t>
      </w:r>
      <w:r>
        <w:rPr>
          <w:rFonts w:hint="eastAsia" w:hAnsi="宋体"/>
          <w:sz w:val="32"/>
          <w:szCs w:val="32"/>
          <w:highlight w:val="none"/>
          <w:lang w:eastAsia="zh-CN"/>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5.74</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5.74</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r>
        <w:rPr>
          <w:rFonts w:hint="eastAsia" w:hAnsi="宋体"/>
          <w:sz w:val="32"/>
          <w:szCs w:val="32"/>
        </w:rPr>
        <w:t>。</w:t>
      </w:r>
    </w:p>
    <w:p w14:paraId="66FD8DC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val="0"/>
          <w:bCs w:val="0"/>
          <w:kern w:val="2"/>
          <w:sz w:val="32"/>
          <w:szCs w:val="32"/>
          <w:lang w:val="en-US" w:eastAsia="zh-CN" w:bidi="ar-SA"/>
        </w:rPr>
      </w:pPr>
      <w:r>
        <w:rPr>
          <w:rFonts w:hint="eastAsia"/>
          <w:b/>
          <w:bCs/>
          <w:sz w:val="32"/>
          <w:szCs w:val="32"/>
          <w:lang w:val="en-US" w:eastAsia="zh-CN"/>
        </w:rPr>
        <w:t>派出法庭维修维护完成率：</w:t>
      </w:r>
      <w:r>
        <w:rPr>
          <w:b w:val="0"/>
          <w:bCs w:val="0"/>
          <w:sz w:val="32"/>
          <w:szCs w:val="32"/>
        </w:rPr>
        <w:t>我院</w:t>
      </w:r>
      <w:r>
        <w:rPr>
          <w:rFonts w:hint="eastAsia"/>
          <w:b w:val="0"/>
          <w:bCs w:val="0"/>
          <w:sz w:val="32"/>
          <w:szCs w:val="32"/>
          <w:lang w:val="en-US" w:eastAsia="zh-CN"/>
        </w:rPr>
        <w:t>派出法庭的维修维护完成率达到100%</w:t>
      </w:r>
      <w:r>
        <w:rPr>
          <w:rFonts w:hint="eastAsia"/>
          <w:b w:val="0"/>
          <w:bCs w:val="0"/>
          <w:sz w:val="32"/>
          <w:szCs w:val="32"/>
          <w:lang w:eastAsia="zh-CN"/>
        </w:rPr>
        <w:t>，</w:t>
      </w:r>
      <w:r>
        <w:rPr>
          <w:rFonts w:hint="eastAsia" w:hAnsi="宋体"/>
          <w:b w:val="0"/>
          <w:bCs w:val="0"/>
          <w:sz w:val="32"/>
          <w:szCs w:val="32"/>
        </w:rPr>
        <w:t>该指标分值</w:t>
      </w:r>
      <w:r>
        <w:rPr>
          <w:rFonts w:hint="eastAsia" w:hAnsi="宋体"/>
          <w:b w:val="0"/>
          <w:bCs w:val="0"/>
          <w:sz w:val="32"/>
          <w:szCs w:val="32"/>
          <w:lang w:val="en-US" w:eastAsia="zh-CN"/>
        </w:rPr>
        <w:t>5.71</w:t>
      </w:r>
      <w:r>
        <w:rPr>
          <w:rFonts w:hint="eastAsia" w:hAnsi="宋体"/>
          <w:b w:val="0"/>
          <w:bCs w:val="0"/>
          <w:sz w:val="32"/>
          <w:szCs w:val="32"/>
        </w:rPr>
        <w:t>分，自评得分为</w:t>
      </w:r>
      <w:r>
        <w:rPr>
          <w:rFonts w:hint="eastAsia" w:hAnsi="宋体"/>
          <w:b w:val="0"/>
          <w:bCs w:val="0"/>
          <w:sz w:val="32"/>
          <w:szCs w:val="32"/>
          <w:lang w:val="en-US" w:eastAsia="zh-CN"/>
        </w:rPr>
        <w:t>5.71</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14:paraId="554DE9D1">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sz w:val="32"/>
          <w:szCs w:val="32"/>
          <w:lang w:val="en-US" w:eastAsia="zh-CN"/>
        </w:rPr>
      </w:pPr>
      <w:r>
        <w:rPr>
          <w:rFonts w:hint="eastAsia"/>
          <w:b/>
          <w:bCs/>
          <w:sz w:val="32"/>
          <w:szCs w:val="32"/>
          <w:lang w:val="en-US" w:eastAsia="zh-CN"/>
        </w:rPr>
        <w:t>设备购置数量：</w:t>
      </w:r>
      <w:r>
        <w:rPr>
          <w:rFonts w:hint="eastAsia"/>
          <w:b w:val="0"/>
          <w:bCs w:val="0"/>
          <w:sz w:val="32"/>
          <w:szCs w:val="32"/>
          <w:lang w:val="en-US" w:eastAsia="zh-CN"/>
        </w:rPr>
        <w:t>我院按照年初采购计划，采购了3组设备，该指标分值5.71分，自评得分5.71分，得分率为100%。</w:t>
      </w:r>
    </w:p>
    <w:p w14:paraId="7893FD59">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②质量指标</w:t>
      </w:r>
    </w:p>
    <w:p w14:paraId="2F52536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质</w:t>
      </w:r>
      <w:r>
        <w:rPr>
          <w:rFonts w:hint="eastAsia"/>
          <w:sz w:val="32"/>
          <w:szCs w:val="32"/>
        </w:rPr>
        <w:t>量指标下设</w:t>
      </w:r>
      <w:r>
        <w:rPr>
          <w:rFonts w:hint="eastAsia"/>
          <w:sz w:val="32"/>
          <w:szCs w:val="32"/>
          <w:lang w:val="en-US" w:eastAsia="zh-CN"/>
        </w:rPr>
        <w:t>3</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分值17.13</w:t>
      </w:r>
      <w:r>
        <w:rPr>
          <w:rFonts w:hint="eastAsia" w:hAnsi="宋体"/>
          <w:sz w:val="32"/>
          <w:szCs w:val="32"/>
          <w:highlight w:val="none"/>
        </w:rPr>
        <w:t>分，自评得分</w:t>
      </w:r>
      <w:r>
        <w:rPr>
          <w:rFonts w:hint="eastAsia" w:hAnsi="宋体"/>
          <w:sz w:val="32"/>
          <w:szCs w:val="32"/>
          <w:highlight w:val="none"/>
          <w:lang w:val="en-US" w:eastAsia="zh-CN"/>
        </w:rPr>
        <w:t>17.13</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5294E78F">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val="0"/>
          <w:bCs w:val="0"/>
          <w:sz w:val="32"/>
          <w:szCs w:val="32"/>
          <w:highlight w:val="yellow"/>
          <w:lang w:val="en-US" w:eastAsia="zh-CN"/>
        </w:rPr>
      </w:pPr>
      <w:r>
        <w:rPr>
          <w:rFonts w:hint="eastAsia"/>
          <w:b/>
          <w:bCs/>
          <w:sz w:val="32"/>
          <w:szCs w:val="32"/>
          <w:lang w:val="en-US" w:eastAsia="zh-CN"/>
        </w:rPr>
        <w:t>法庭水电畅通率</w:t>
      </w:r>
      <w:r>
        <w:rPr>
          <w:rFonts w:hint="eastAsia"/>
          <w:b/>
          <w:bCs/>
          <w:sz w:val="32"/>
          <w:szCs w:val="32"/>
          <w:highlight w:val="none"/>
          <w:lang w:val="en-US" w:eastAsia="zh-CN"/>
        </w:rPr>
        <w:t>：</w:t>
      </w:r>
      <w:r>
        <w:rPr>
          <w:rFonts w:hint="eastAsia"/>
          <w:b w:val="0"/>
          <w:bCs w:val="0"/>
          <w:sz w:val="32"/>
          <w:szCs w:val="32"/>
          <w:highlight w:val="none"/>
          <w:lang w:val="en-US" w:eastAsia="zh-CN"/>
        </w:rPr>
        <w:t>我院保障派出法庭基础设施运行，法庭水电畅通率达到100%，该指标分值5.71分，自评得分5.71分，得分率为100%。</w:t>
      </w:r>
    </w:p>
    <w:p w14:paraId="523BAFC3">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sz w:val="32"/>
          <w:szCs w:val="32"/>
          <w:lang w:val="en-US" w:eastAsia="zh-CN"/>
        </w:rPr>
      </w:pPr>
      <w:r>
        <w:rPr>
          <w:rFonts w:hint="eastAsia"/>
          <w:b/>
          <w:bCs/>
          <w:sz w:val="32"/>
          <w:szCs w:val="32"/>
          <w:lang w:val="en-US" w:eastAsia="zh-CN"/>
        </w:rPr>
        <w:t>派出法庭维修维护验收合格率：</w:t>
      </w:r>
      <w:r>
        <w:rPr>
          <w:rFonts w:hint="eastAsia"/>
          <w:b w:val="0"/>
          <w:bCs w:val="0"/>
          <w:sz w:val="32"/>
          <w:szCs w:val="32"/>
          <w:lang w:val="en-US" w:eastAsia="zh-CN"/>
        </w:rPr>
        <w:t>我院派出法庭维修维护验收合格率100%，该指标分值5.71分，自评得分5.71分，得分率为100%。</w:t>
      </w:r>
    </w:p>
    <w:p w14:paraId="68634848">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sz w:val="32"/>
          <w:szCs w:val="32"/>
          <w:lang w:val="en-US" w:eastAsia="zh-CN"/>
        </w:rPr>
      </w:pPr>
      <w:r>
        <w:rPr>
          <w:rFonts w:hint="eastAsia"/>
          <w:b/>
          <w:bCs/>
          <w:sz w:val="32"/>
          <w:szCs w:val="32"/>
          <w:lang w:val="en-US" w:eastAsia="zh-CN"/>
        </w:rPr>
        <w:t>设备购置验收合格率：</w:t>
      </w:r>
      <w:r>
        <w:rPr>
          <w:rFonts w:hint="eastAsia"/>
          <w:b w:val="0"/>
          <w:bCs w:val="0"/>
          <w:sz w:val="32"/>
          <w:szCs w:val="32"/>
          <w:lang w:val="en-US" w:eastAsia="zh-CN"/>
        </w:rPr>
        <w:t>我院设备购置验收合格率100%，该指标分值5.71分，自评得分5.71分，得分率为100%。</w:t>
      </w:r>
    </w:p>
    <w:p w14:paraId="5F4E0E53">
      <w:pPr>
        <w:pStyle w:val="2"/>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③时效指标</w:t>
      </w:r>
    </w:p>
    <w:p w14:paraId="10375A9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时效</w:t>
      </w:r>
      <w:r>
        <w:rPr>
          <w:rFonts w:hint="eastAsia"/>
          <w:sz w:val="32"/>
          <w:szCs w:val="32"/>
        </w:rPr>
        <w:t>指标下设</w:t>
      </w:r>
      <w:r>
        <w:rPr>
          <w:rFonts w:hint="eastAsia"/>
          <w:sz w:val="32"/>
          <w:szCs w:val="32"/>
          <w:lang w:val="en-US" w:eastAsia="zh-CN"/>
        </w:rPr>
        <w:t>1</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分值5.71</w:t>
      </w:r>
      <w:r>
        <w:rPr>
          <w:rFonts w:hint="eastAsia" w:hAnsi="宋体"/>
          <w:sz w:val="32"/>
          <w:szCs w:val="32"/>
          <w:highlight w:val="none"/>
        </w:rPr>
        <w:t>分，自评得分</w:t>
      </w:r>
      <w:r>
        <w:rPr>
          <w:rFonts w:hint="eastAsia" w:hAnsi="宋体"/>
          <w:sz w:val="32"/>
          <w:szCs w:val="32"/>
          <w:highlight w:val="none"/>
          <w:lang w:val="en-US" w:eastAsia="zh-CN"/>
        </w:rPr>
        <w:t>5.71</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4E066794">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highlight w:val="none"/>
          <w:lang w:val="en-US" w:eastAsia="zh-CN"/>
        </w:rPr>
      </w:pPr>
      <w:r>
        <w:rPr>
          <w:rFonts w:hint="eastAsia"/>
          <w:b/>
          <w:bCs/>
          <w:sz w:val="32"/>
          <w:szCs w:val="32"/>
          <w:lang w:val="en-US" w:eastAsia="zh-CN"/>
        </w:rPr>
        <w:t>派出法庭维修维护及时性：</w:t>
      </w:r>
      <w:r>
        <w:rPr>
          <w:rFonts w:hint="eastAsia" w:hAnsi="宋体"/>
          <w:sz w:val="32"/>
          <w:szCs w:val="32"/>
          <w:highlight w:val="none"/>
          <w:lang w:val="en-US" w:eastAsia="zh-CN"/>
        </w:rPr>
        <w:t>我院按照年初计划对派出法庭进行维修维护，维修维护工作开展及时，</w:t>
      </w:r>
      <w:r>
        <w:rPr>
          <w:rFonts w:hint="eastAsia" w:hAnsi="宋体"/>
          <w:sz w:val="32"/>
          <w:szCs w:val="32"/>
          <w:highlight w:val="none"/>
        </w:rPr>
        <w:t>指标</w:t>
      </w:r>
      <w:r>
        <w:rPr>
          <w:rFonts w:hint="eastAsia" w:hAnsi="宋体"/>
          <w:sz w:val="32"/>
          <w:szCs w:val="32"/>
          <w:highlight w:val="none"/>
          <w:lang w:val="en-US" w:eastAsia="zh-CN"/>
        </w:rPr>
        <w:t>分值5.71</w:t>
      </w:r>
      <w:r>
        <w:rPr>
          <w:rFonts w:hint="eastAsia" w:hAnsi="宋体"/>
          <w:sz w:val="32"/>
          <w:szCs w:val="32"/>
          <w:highlight w:val="none"/>
        </w:rPr>
        <w:t>分，自评得分</w:t>
      </w:r>
      <w:r>
        <w:rPr>
          <w:rFonts w:hint="eastAsia" w:hAnsi="宋体"/>
          <w:sz w:val="32"/>
          <w:szCs w:val="32"/>
          <w:highlight w:val="none"/>
          <w:lang w:val="en-US" w:eastAsia="zh-CN"/>
        </w:rPr>
        <w:t>5.71</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7D7043A7">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（三）效益指标</w:t>
      </w:r>
    </w:p>
    <w:p w14:paraId="592EC29F">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rPr>
        <w:t>效益</w:t>
      </w:r>
      <w:r>
        <w:rPr>
          <w:rFonts w:hint="eastAsia"/>
          <w:sz w:val="32"/>
          <w:szCs w:val="32"/>
          <w:lang w:eastAsia="zh-CN"/>
        </w:rPr>
        <w:t>指标</w:t>
      </w:r>
      <w:r>
        <w:rPr>
          <w:rFonts w:hint="eastAsia"/>
          <w:sz w:val="32"/>
          <w:szCs w:val="32"/>
        </w:rPr>
        <w:t>下设社会效益</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分值20</w:t>
      </w:r>
      <w:r>
        <w:rPr>
          <w:rFonts w:hint="eastAsia" w:hAnsi="宋体"/>
          <w:sz w:val="32"/>
          <w:szCs w:val="32"/>
          <w:highlight w:val="none"/>
        </w:rPr>
        <w:t>分，自评得分</w:t>
      </w:r>
      <w:r>
        <w:rPr>
          <w:rFonts w:hint="eastAsia" w:hAnsi="宋体"/>
          <w:sz w:val="32"/>
          <w:szCs w:val="32"/>
          <w:highlight w:val="none"/>
          <w:lang w:val="en-US" w:eastAsia="zh-CN"/>
        </w:rPr>
        <w:t>20</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00964CF7">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val="0"/>
          <w:bCs w:val="0"/>
          <w:sz w:val="32"/>
          <w:szCs w:val="32"/>
          <w:highlight w:val="none"/>
          <w:lang w:val="en-US" w:eastAsia="zh-CN"/>
        </w:rPr>
      </w:pPr>
      <w:r>
        <w:rPr>
          <w:rFonts w:hint="eastAsia"/>
          <w:b/>
          <w:bCs/>
          <w:sz w:val="32"/>
          <w:szCs w:val="32"/>
          <w:lang w:eastAsia="zh-CN"/>
        </w:rPr>
        <w:t>有效保障审判服务：</w:t>
      </w:r>
      <w:r>
        <w:rPr>
          <w:rFonts w:hint="eastAsia"/>
          <w:b w:val="0"/>
          <w:bCs w:val="0"/>
          <w:sz w:val="32"/>
          <w:szCs w:val="32"/>
          <w:highlight w:val="none"/>
          <w:lang w:val="en-US" w:eastAsia="zh-CN"/>
        </w:rPr>
        <w:t>我院维持所辖3个基层法庭的正常运行，改善了基层法庭办公、办案条件，为其提供了稳定的经费保障，有效保障审判服务，</w:t>
      </w:r>
      <w:r>
        <w:rPr>
          <w:rFonts w:hint="eastAsia" w:hAnsi="宋体"/>
          <w:b w:val="0"/>
          <w:bCs w:val="0"/>
          <w:sz w:val="32"/>
          <w:szCs w:val="32"/>
          <w:highlight w:val="none"/>
        </w:rPr>
        <w:t>指标</w:t>
      </w:r>
      <w:r>
        <w:rPr>
          <w:rFonts w:hint="eastAsia" w:hAnsi="宋体"/>
          <w:b w:val="0"/>
          <w:bCs w:val="0"/>
          <w:sz w:val="32"/>
          <w:szCs w:val="32"/>
          <w:highlight w:val="none"/>
          <w:lang w:val="en-US" w:eastAsia="zh-CN"/>
        </w:rPr>
        <w:t>分值20</w:t>
      </w:r>
      <w:r>
        <w:rPr>
          <w:rFonts w:hint="eastAsia" w:hAnsi="宋体"/>
          <w:b w:val="0"/>
          <w:bCs w:val="0"/>
          <w:sz w:val="32"/>
          <w:szCs w:val="32"/>
          <w:highlight w:val="none"/>
        </w:rPr>
        <w:t>分，自评得分</w:t>
      </w:r>
      <w:r>
        <w:rPr>
          <w:rFonts w:hint="eastAsia" w:hAnsi="宋体"/>
          <w:b w:val="0"/>
          <w:bCs w:val="0"/>
          <w:sz w:val="32"/>
          <w:szCs w:val="32"/>
          <w:highlight w:val="none"/>
          <w:lang w:val="en-US" w:eastAsia="zh-CN"/>
        </w:rPr>
        <w:t>20</w:t>
      </w:r>
      <w:r>
        <w:rPr>
          <w:rFonts w:hint="eastAsia" w:hAnsi="宋体"/>
          <w:b w:val="0"/>
          <w:bCs w:val="0"/>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p>
    <w:p w14:paraId="72AC3F95">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0E1D09A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sz w:val="32"/>
          <w:szCs w:val="32"/>
        </w:rPr>
      </w:pPr>
      <w:r>
        <w:rPr>
          <w:rFonts w:hint="eastAsia" w:hAnsi="宋体"/>
          <w:sz w:val="32"/>
          <w:szCs w:val="32"/>
        </w:rPr>
        <w:t>服务对象满意度主要</w:t>
      </w:r>
      <w:r>
        <w:rPr>
          <w:rFonts w:hint="eastAsia" w:hAnsi="宋体"/>
          <w:sz w:val="32"/>
          <w:szCs w:val="32"/>
          <w:lang w:val="en-US" w:eastAsia="zh-CN"/>
        </w:rPr>
        <w:t>为工作人员满意度</w:t>
      </w:r>
      <w:r>
        <w:rPr>
          <w:rFonts w:hint="eastAsia" w:hAnsi="宋体"/>
          <w:sz w:val="32"/>
          <w:szCs w:val="32"/>
        </w:rPr>
        <w:t>，该指标分值合计10分，自评得分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5308BEB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sz w:val="32"/>
          <w:szCs w:val="32"/>
          <w:highlight w:val="none"/>
          <w:lang w:val="en-US" w:eastAsia="zh-CN"/>
        </w:rPr>
      </w:pPr>
      <w:r>
        <w:rPr>
          <w:rFonts w:hint="eastAsia" w:hAnsi="宋体"/>
          <w:b/>
          <w:bCs/>
          <w:sz w:val="32"/>
          <w:szCs w:val="32"/>
          <w:highlight w:val="none"/>
          <w:lang w:val="en-US" w:eastAsia="zh-CN"/>
        </w:rPr>
        <w:t>工作人员满意度：</w:t>
      </w:r>
      <w:r>
        <w:rPr>
          <w:rFonts w:hint="eastAsia" w:hAnsi="宋体"/>
          <w:b w:val="0"/>
          <w:bCs w:val="0"/>
          <w:sz w:val="32"/>
          <w:szCs w:val="32"/>
          <w:highlight w:val="none"/>
          <w:lang w:val="en-US" w:eastAsia="zh-CN"/>
        </w:rPr>
        <w:t>通过该项目的实施，保障物业服务及水电通畅，</w:t>
      </w:r>
      <w:r>
        <w:rPr>
          <w:rFonts w:hint="eastAsia" w:cstheme="minorBidi"/>
          <w:b w:val="0"/>
          <w:bCs w:val="0"/>
          <w:kern w:val="2"/>
          <w:sz w:val="32"/>
          <w:szCs w:val="32"/>
          <w:highlight w:val="none"/>
          <w:lang w:val="en-US" w:eastAsia="zh-CN" w:bidi="ar-SA"/>
        </w:rPr>
        <w:t>按照年初预算对派出法庭进行维修维护，改善办公条件，</w:t>
      </w:r>
      <w:r>
        <w:rPr>
          <w:rFonts w:hint="eastAsia" w:hAnsi="宋体"/>
          <w:b w:val="0"/>
          <w:bCs w:val="0"/>
          <w:sz w:val="32"/>
          <w:szCs w:val="32"/>
          <w:highlight w:val="none"/>
          <w:lang w:val="en-US" w:eastAsia="zh-CN"/>
        </w:rPr>
        <w:t>保障工作人</w:t>
      </w:r>
      <w:r>
        <w:rPr>
          <w:rFonts w:hint="eastAsia" w:hAnsi="宋体"/>
          <w:sz w:val="32"/>
          <w:szCs w:val="32"/>
          <w:highlight w:val="none"/>
          <w:lang w:val="en-US" w:eastAsia="zh-CN"/>
        </w:rPr>
        <w:t>员日常工作正常开展，工作人员满意度为90%。</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10</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10</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18611164">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highlight w:val="none"/>
        </w:rPr>
      </w:pPr>
      <w:r>
        <w:rPr>
          <w:rFonts w:hint="eastAsia"/>
          <w:sz w:val="32"/>
          <w:szCs w:val="32"/>
          <w:highlight w:val="none"/>
        </w:rPr>
        <w:t>4</w:t>
      </w:r>
      <w:r>
        <w:rPr>
          <w:rFonts w:hint="eastAsia"/>
          <w:sz w:val="32"/>
          <w:szCs w:val="32"/>
          <w:highlight w:val="none"/>
          <w:lang w:eastAsia="zh-CN"/>
        </w:rPr>
        <w:t>.</w:t>
      </w:r>
      <w:r>
        <w:rPr>
          <w:rFonts w:hint="eastAsia"/>
          <w:sz w:val="32"/>
          <w:szCs w:val="32"/>
          <w:highlight w:val="none"/>
        </w:rPr>
        <w:t>偏离绩效目标的原因及下一步改进措施</w:t>
      </w:r>
    </w:p>
    <w:p w14:paraId="77F2DA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sz w:val="32"/>
          <w:szCs w:val="32"/>
          <w:lang w:val="en-US" w:eastAsia="zh-CN"/>
        </w:rPr>
      </w:pPr>
      <w:r>
        <w:rPr>
          <w:rFonts w:hint="eastAsia"/>
          <w:sz w:val="32"/>
          <w:szCs w:val="32"/>
          <w:lang w:val="en-US" w:eastAsia="zh-CN"/>
        </w:rPr>
        <w:t>无</w:t>
      </w:r>
    </w:p>
    <w:bookmarkEnd w:id="77"/>
    <w:bookmarkEnd w:id="78"/>
    <w:bookmarkEnd w:id="79"/>
    <w:bookmarkEnd w:id="80"/>
    <w:bookmarkEnd w:id="81"/>
    <w:p w14:paraId="29755FD1">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highlight w:val="none"/>
        </w:rPr>
      </w:pPr>
      <w:bookmarkStart w:id="84" w:name="_Toc6252"/>
      <w:bookmarkStart w:id="85" w:name="_Toc32543"/>
      <w:bookmarkStart w:id="86" w:name="_Toc26665"/>
      <w:bookmarkStart w:id="87" w:name="_Toc29620"/>
      <w:r>
        <w:rPr>
          <w:rFonts w:hint="eastAsia"/>
          <w:sz w:val="32"/>
          <w:szCs w:val="32"/>
          <w:highlight w:val="none"/>
          <w:lang w:eastAsia="zh-CN"/>
        </w:rPr>
        <w:t>五</w:t>
      </w:r>
      <w:r>
        <w:rPr>
          <w:rFonts w:hint="eastAsia"/>
          <w:sz w:val="32"/>
          <w:szCs w:val="32"/>
          <w:highlight w:val="none"/>
        </w:rPr>
        <w:t>、绩效自评结果拟应用和公开情况</w:t>
      </w:r>
      <w:bookmarkEnd w:id="82"/>
      <w:bookmarkEnd w:id="83"/>
      <w:bookmarkEnd w:id="84"/>
      <w:bookmarkEnd w:id="85"/>
      <w:bookmarkEnd w:id="86"/>
      <w:bookmarkEnd w:id="87"/>
    </w:p>
    <w:p w14:paraId="09E375EE">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Ansi="宋体"/>
          <w:sz w:val="32"/>
          <w:szCs w:val="32"/>
        </w:rPr>
      </w:pPr>
      <w:r>
        <w:rPr>
          <w:rFonts w:hint="eastAsia" w:hAnsi="宋体"/>
          <w:sz w:val="32"/>
          <w:szCs w:val="32"/>
        </w:rPr>
        <w:t>绩效自评结果的应用是</w:t>
      </w:r>
      <w:r>
        <w:rPr>
          <w:rFonts w:hint="eastAsia" w:hAnsi="宋体"/>
          <w:sz w:val="32"/>
          <w:szCs w:val="32"/>
          <w:lang w:eastAsia="zh-CN"/>
        </w:rPr>
        <w:t>部门</w:t>
      </w:r>
      <w:r>
        <w:rPr>
          <w:rFonts w:hint="eastAsia" w:hAnsi="宋体"/>
          <w:sz w:val="32"/>
          <w:szCs w:val="32"/>
        </w:rPr>
        <w:t>完善政策和改进管理的重要依据，</w:t>
      </w:r>
      <w:r>
        <w:rPr>
          <w:rFonts w:hint="eastAsia" w:hAnsi="宋体"/>
          <w:sz w:val="32"/>
          <w:szCs w:val="32"/>
          <w:lang w:eastAsia="zh-CN"/>
        </w:rPr>
        <w:t>部门</w:t>
      </w:r>
      <w:r>
        <w:rPr>
          <w:rFonts w:hint="eastAsia" w:hAnsi="宋体"/>
          <w:sz w:val="32"/>
          <w:szCs w:val="32"/>
        </w:rPr>
        <w:t>要加强评价结果的应用。根据政策文件规定，</w:t>
      </w:r>
      <w:r>
        <w:rPr>
          <w:rFonts w:hint="eastAsia" w:hAnsi="宋体"/>
          <w:sz w:val="32"/>
          <w:szCs w:val="32"/>
          <w:lang w:eastAsia="zh-CN"/>
        </w:rPr>
        <w:t>我院</w:t>
      </w:r>
      <w:r>
        <w:rPr>
          <w:rFonts w:hint="eastAsia" w:hAnsi="宋体"/>
          <w:sz w:val="32"/>
          <w:szCs w:val="32"/>
        </w:rPr>
        <w:t>绩效自评结果将编入</w:t>
      </w:r>
      <w:r>
        <w:rPr>
          <w:rFonts w:hint="eastAsia" w:hAnsi="宋体"/>
          <w:sz w:val="32"/>
          <w:szCs w:val="32"/>
          <w:lang w:eastAsia="zh-CN"/>
        </w:rPr>
        <w:t>202</w:t>
      </w:r>
      <w:r>
        <w:rPr>
          <w:rFonts w:hint="eastAsia" w:hAnsi="宋体"/>
          <w:sz w:val="32"/>
          <w:szCs w:val="32"/>
          <w:lang w:val="en-US" w:eastAsia="zh-CN"/>
        </w:rPr>
        <w:t>3</w:t>
      </w:r>
      <w:r>
        <w:rPr>
          <w:rFonts w:hint="eastAsia" w:hAnsi="宋体"/>
          <w:sz w:val="32"/>
          <w:szCs w:val="32"/>
        </w:rPr>
        <w:t>年度决算中，随同</w:t>
      </w:r>
      <w:r>
        <w:rPr>
          <w:rFonts w:hint="eastAsia" w:hAnsi="宋体"/>
          <w:sz w:val="32"/>
          <w:szCs w:val="32"/>
          <w:lang w:eastAsia="zh-CN"/>
        </w:rPr>
        <w:t>202</w:t>
      </w:r>
      <w:r>
        <w:rPr>
          <w:rFonts w:hint="eastAsia" w:hAnsi="宋体"/>
          <w:sz w:val="32"/>
          <w:szCs w:val="32"/>
          <w:lang w:val="en-US" w:eastAsia="zh-CN"/>
        </w:rPr>
        <w:t>3</w:t>
      </w:r>
      <w:r>
        <w:rPr>
          <w:rFonts w:hint="eastAsia" w:hAnsi="宋体"/>
          <w:sz w:val="32"/>
          <w:szCs w:val="32"/>
        </w:rPr>
        <w:t>年度</w:t>
      </w:r>
      <w:r>
        <w:rPr>
          <w:rFonts w:hint="eastAsia" w:hAnsi="宋体"/>
          <w:sz w:val="32"/>
          <w:szCs w:val="32"/>
          <w:lang w:eastAsia="zh-CN"/>
        </w:rPr>
        <w:t>部门</w:t>
      </w:r>
      <w:r>
        <w:rPr>
          <w:rFonts w:hint="eastAsia" w:hAnsi="宋体"/>
          <w:sz w:val="32"/>
          <w:szCs w:val="32"/>
        </w:rPr>
        <w:t>决算同步公开。</w:t>
      </w:r>
    </w:p>
    <w:p w14:paraId="0AD8EC8E">
      <w:pPr>
        <w:pStyle w:val="3"/>
        <w:pageBreakBefore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88" w:name="_Toc40046066"/>
      <w:bookmarkStart w:id="89" w:name="_Toc6781"/>
      <w:bookmarkStart w:id="90" w:name="_Toc17181"/>
      <w:bookmarkStart w:id="91" w:name="_Toc4491"/>
      <w:bookmarkStart w:id="92" w:name="_Toc21490"/>
      <w:bookmarkStart w:id="93" w:name="_Toc30982"/>
      <w:r>
        <w:rPr>
          <w:rFonts w:hint="eastAsia"/>
          <w:sz w:val="32"/>
          <w:szCs w:val="32"/>
          <w:lang w:val="en-US" w:eastAsia="zh-CN"/>
        </w:rPr>
        <w:t>六、</w:t>
      </w:r>
      <w:r>
        <w:rPr>
          <w:rFonts w:hint="eastAsia"/>
          <w:sz w:val="32"/>
          <w:szCs w:val="32"/>
        </w:rPr>
        <w:t>其他需要说明的问</w:t>
      </w:r>
      <w:bookmarkEnd w:id="88"/>
      <w:bookmarkEnd w:id="89"/>
      <w:bookmarkEnd w:id="90"/>
      <w:bookmarkEnd w:id="91"/>
      <w:bookmarkEnd w:id="92"/>
      <w:r>
        <w:rPr>
          <w:rFonts w:hint="eastAsia"/>
          <w:sz w:val="32"/>
          <w:szCs w:val="32"/>
          <w:lang w:val="en-US" w:eastAsia="zh-CN"/>
        </w:rPr>
        <w:t>题</w:t>
      </w:r>
      <w:bookmarkEnd w:id="93"/>
    </w:p>
    <w:p w14:paraId="55F95718">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eastAsia="仿宋_GB2312"/>
          <w:sz w:val="32"/>
          <w:szCs w:val="32"/>
          <w:lang w:val="en-US" w:eastAsia="zh-CN"/>
        </w:rPr>
      </w:pPr>
      <w:r>
        <w:rPr>
          <w:rFonts w:hint="eastAsia"/>
          <w:sz w:val="32"/>
          <w:szCs w:val="32"/>
          <w:lang w:val="en-US" w:eastAsia="zh-CN"/>
        </w:rPr>
        <w:t>无。</w:t>
      </w:r>
    </w:p>
    <w:p w14:paraId="08A3D247">
      <w:pPr>
        <w:pStyle w:val="29"/>
        <w:ind w:left="0" w:leftChars="0" w:firstLine="0" w:firstLineChars="0"/>
      </w:pPr>
    </w:p>
    <w:sectPr>
      <w:footerReference r:id="rId8" w:type="default"/>
      <w:pgSz w:w="11906" w:h="16838"/>
      <w:pgMar w:top="1440" w:right="1519" w:bottom="1440" w:left="1633" w:header="851" w:footer="73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0E8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A675">
    <w:pPr>
      <w:pStyle w:val="12"/>
      <w:ind w:firstLine="360"/>
      <w:jc w:val="center"/>
    </w:pPr>
  </w:p>
  <w:p w14:paraId="2737127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12FD">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2456180</wp:posOffset>
              </wp:positionH>
              <wp:positionV relativeFrom="paragraph">
                <wp:posOffset>-7620</wp:posOffset>
              </wp:positionV>
              <wp:extent cx="702310" cy="760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2310" cy="760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09F9E7E9">
                              <w:pPr>
                                <w:pStyle w:val="12"/>
                                <w:ind w:firstLine="360"/>
                                <w:jc w:val="both"/>
                              </w:pPr>
                              <w:r>
                                <w:fldChar w:fldCharType="begin"/>
                              </w:r>
                              <w:r>
                                <w:instrText xml:space="preserve">PAGE   \* MERGEFORMAT</w:instrText>
                              </w:r>
                              <w:r>
                                <w:fldChar w:fldCharType="separate"/>
                              </w:r>
                              <w:r>
                                <w:rPr>
                                  <w:lang w:val="zh-CN"/>
                                </w:rPr>
                                <w:t>2</w:t>
                              </w:r>
                              <w:r>
                                <w:fldChar w:fldCharType="end"/>
                              </w:r>
                            </w:p>
                          </w:sdtContent>
                        </w:sdt>
                        <w:p w14:paraId="599D89DB">
                          <w:pPr>
                            <w:pStyle w:val="20"/>
                            <w:jc w:val="cente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4pt;margin-top:-0.6pt;height:59.85pt;width:55.3pt;mso-position-horizontal-relative:margin;z-index:251659264;mso-width-relative:page;mso-height-relative:page;" filled="f" stroked="f" coordsize="21600,21600" o:gfxdata="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leeb2QAAAAoBAAAPAAAAAAAAAAEAIAAAACIAAABkcnMvZG93&#10;bnJldi54bWxQSwECFAAUAAAACACHTuJABvZaSzgCAABhBAAADgAAAAAAAAABACAAAAAoAQAAZHJz&#10;L2Uyb0RvYy54bWxQSwUGAAAAAAYABgBZAQAA0gUAAAAA&#10;">
              <v:fill on="f" focussize="0,0"/>
              <v:stroke on="f" weight="0.5pt"/>
              <v:imagedata o:title=""/>
              <o:lock v:ext="edit" aspectratio="f"/>
              <v:textbox inset="0mm,0mm,0mm,0mm">
                <w:txbxContent>
                  <w:sdt>
                    <w:sdtPr>
                      <w:id w:val="1888059213"/>
                    </w:sdtPr>
                    <w:sdtContent>
                      <w:p w14:paraId="09F9E7E9">
                        <w:pPr>
                          <w:pStyle w:val="12"/>
                          <w:ind w:firstLine="360"/>
                          <w:jc w:val="both"/>
                        </w:pPr>
                        <w:r>
                          <w:fldChar w:fldCharType="begin"/>
                        </w:r>
                        <w:r>
                          <w:instrText xml:space="preserve">PAGE   \* MERGEFORMAT</w:instrText>
                        </w:r>
                        <w:r>
                          <w:fldChar w:fldCharType="separate"/>
                        </w:r>
                        <w:r>
                          <w:rPr>
                            <w:lang w:val="zh-CN"/>
                          </w:rPr>
                          <w:t>2</w:t>
                        </w:r>
                        <w:r>
                          <w:fldChar w:fldCharType="end"/>
                        </w:r>
                      </w:p>
                    </w:sdtContent>
                  </w:sdt>
                  <w:p w14:paraId="599D89DB">
                    <w:pPr>
                      <w:pStyle w:val="20"/>
                      <w:jc w:val="center"/>
                    </w:pPr>
                  </w:p>
                </w:txbxContent>
              </v:textbox>
            </v:shape>
          </w:pict>
        </mc:Fallback>
      </mc:AlternateContent>
    </w:r>
  </w:p>
  <w:p w14:paraId="0721276A">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6C3A">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3599"/>
    <w:multiLevelType w:val="singleLevel"/>
    <w:tmpl w:val="CCF2359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wYmMyZDcyZWJmZWYwOWNkZThiZDZmN2Q1MDYwNjA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9A7D15"/>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E75089"/>
    <w:rsid w:val="08F834BD"/>
    <w:rsid w:val="09077DF6"/>
    <w:rsid w:val="091241C8"/>
    <w:rsid w:val="09376339"/>
    <w:rsid w:val="09496D37"/>
    <w:rsid w:val="09B13A45"/>
    <w:rsid w:val="09BE6112"/>
    <w:rsid w:val="09E770B6"/>
    <w:rsid w:val="0A6C3DC0"/>
    <w:rsid w:val="0A8B7320"/>
    <w:rsid w:val="0AAC7535"/>
    <w:rsid w:val="0AFD6D5D"/>
    <w:rsid w:val="0B3D575C"/>
    <w:rsid w:val="0B8D6294"/>
    <w:rsid w:val="0B987180"/>
    <w:rsid w:val="0BA35E5E"/>
    <w:rsid w:val="0BA70E60"/>
    <w:rsid w:val="0BE1433A"/>
    <w:rsid w:val="0C040E46"/>
    <w:rsid w:val="0C126BE9"/>
    <w:rsid w:val="0C6032F9"/>
    <w:rsid w:val="0C6C6699"/>
    <w:rsid w:val="0C8F023A"/>
    <w:rsid w:val="0DD248FB"/>
    <w:rsid w:val="0DE74A3D"/>
    <w:rsid w:val="0DF0188C"/>
    <w:rsid w:val="0DF46805"/>
    <w:rsid w:val="0E071816"/>
    <w:rsid w:val="0E130328"/>
    <w:rsid w:val="0E14510B"/>
    <w:rsid w:val="0E301370"/>
    <w:rsid w:val="0E5E4367"/>
    <w:rsid w:val="0E791344"/>
    <w:rsid w:val="0E975183"/>
    <w:rsid w:val="0E9E4764"/>
    <w:rsid w:val="0EB9159E"/>
    <w:rsid w:val="0ECC7523"/>
    <w:rsid w:val="0F087E2F"/>
    <w:rsid w:val="0F0E7B3C"/>
    <w:rsid w:val="0F5301E5"/>
    <w:rsid w:val="0F753245"/>
    <w:rsid w:val="0FAD1102"/>
    <w:rsid w:val="0FBE7ED7"/>
    <w:rsid w:val="0FC91CB4"/>
    <w:rsid w:val="10953945"/>
    <w:rsid w:val="109A22B0"/>
    <w:rsid w:val="10AB48CC"/>
    <w:rsid w:val="10ED0DA6"/>
    <w:rsid w:val="115B7B4E"/>
    <w:rsid w:val="119368FA"/>
    <w:rsid w:val="11A11963"/>
    <w:rsid w:val="11C03DEA"/>
    <w:rsid w:val="11C20FE9"/>
    <w:rsid w:val="11CF41B2"/>
    <w:rsid w:val="11E85901"/>
    <w:rsid w:val="126D4DDF"/>
    <w:rsid w:val="12F942BB"/>
    <w:rsid w:val="13A75545"/>
    <w:rsid w:val="14055456"/>
    <w:rsid w:val="1410241B"/>
    <w:rsid w:val="1413453E"/>
    <w:rsid w:val="145A3A29"/>
    <w:rsid w:val="146A4AEC"/>
    <w:rsid w:val="14A1264A"/>
    <w:rsid w:val="14A14FAE"/>
    <w:rsid w:val="14A237DC"/>
    <w:rsid w:val="14C17805"/>
    <w:rsid w:val="1578500A"/>
    <w:rsid w:val="15937A9B"/>
    <w:rsid w:val="15B716F5"/>
    <w:rsid w:val="15DC5E16"/>
    <w:rsid w:val="15E23539"/>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9147FE"/>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1F3941D6"/>
    <w:rsid w:val="1FB70067"/>
    <w:rsid w:val="201C2D22"/>
    <w:rsid w:val="204131A1"/>
    <w:rsid w:val="20462111"/>
    <w:rsid w:val="205A1343"/>
    <w:rsid w:val="206A11BC"/>
    <w:rsid w:val="20B724D5"/>
    <w:rsid w:val="21132B7C"/>
    <w:rsid w:val="215313DE"/>
    <w:rsid w:val="216E0AF3"/>
    <w:rsid w:val="21786735"/>
    <w:rsid w:val="21A10725"/>
    <w:rsid w:val="21D94E53"/>
    <w:rsid w:val="21E94BEF"/>
    <w:rsid w:val="229C399F"/>
    <w:rsid w:val="22C541CF"/>
    <w:rsid w:val="22F26762"/>
    <w:rsid w:val="236758A9"/>
    <w:rsid w:val="236A2267"/>
    <w:rsid w:val="23A31DC3"/>
    <w:rsid w:val="23AF71DA"/>
    <w:rsid w:val="23C10B07"/>
    <w:rsid w:val="23C75000"/>
    <w:rsid w:val="23D72F83"/>
    <w:rsid w:val="24223CEC"/>
    <w:rsid w:val="247C56A2"/>
    <w:rsid w:val="248C0A40"/>
    <w:rsid w:val="24A819DF"/>
    <w:rsid w:val="24E54A43"/>
    <w:rsid w:val="253F5D01"/>
    <w:rsid w:val="25AB104A"/>
    <w:rsid w:val="25D37B28"/>
    <w:rsid w:val="25E12217"/>
    <w:rsid w:val="26323CB8"/>
    <w:rsid w:val="26555BF8"/>
    <w:rsid w:val="269A7D3C"/>
    <w:rsid w:val="270E5FB0"/>
    <w:rsid w:val="27B55EFF"/>
    <w:rsid w:val="27EC5A7D"/>
    <w:rsid w:val="27F751B9"/>
    <w:rsid w:val="27FA58DE"/>
    <w:rsid w:val="281C4006"/>
    <w:rsid w:val="2841391F"/>
    <w:rsid w:val="28452D46"/>
    <w:rsid w:val="285A7104"/>
    <w:rsid w:val="2872534E"/>
    <w:rsid w:val="28A571DE"/>
    <w:rsid w:val="28BB61E6"/>
    <w:rsid w:val="28F33A63"/>
    <w:rsid w:val="29121B7F"/>
    <w:rsid w:val="29440026"/>
    <w:rsid w:val="29447DE6"/>
    <w:rsid w:val="295973BD"/>
    <w:rsid w:val="295F59C6"/>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BFA54EE"/>
    <w:rsid w:val="2C09185D"/>
    <w:rsid w:val="2C0F7531"/>
    <w:rsid w:val="2C7A0167"/>
    <w:rsid w:val="2C8F33BD"/>
    <w:rsid w:val="2C8F54B1"/>
    <w:rsid w:val="2C964C7C"/>
    <w:rsid w:val="2CE33BF9"/>
    <w:rsid w:val="2D5662C8"/>
    <w:rsid w:val="2DF56335"/>
    <w:rsid w:val="2DF9286A"/>
    <w:rsid w:val="2E8A17A7"/>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D901FE"/>
    <w:rsid w:val="37164F30"/>
    <w:rsid w:val="372B7BCD"/>
    <w:rsid w:val="376728C4"/>
    <w:rsid w:val="376E08C8"/>
    <w:rsid w:val="379067CC"/>
    <w:rsid w:val="37BD480F"/>
    <w:rsid w:val="38021539"/>
    <w:rsid w:val="380A28CA"/>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D3652A"/>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B62723"/>
    <w:rsid w:val="41C474D0"/>
    <w:rsid w:val="41C8474B"/>
    <w:rsid w:val="41CD47B2"/>
    <w:rsid w:val="423B584A"/>
    <w:rsid w:val="42463DF0"/>
    <w:rsid w:val="426A6D7A"/>
    <w:rsid w:val="42B86B2F"/>
    <w:rsid w:val="42D528A0"/>
    <w:rsid w:val="43166C1A"/>
    <w:rsid w:val="43291B47"/>
    <w:rsid w:val="432F247C"/>
    <w:rsid w:val="43625A2A"/>
    <w:rsid w:val="437F06E0"/>
    <w:rsid w:val="43C31F9B"/>
    <w:rsid w:val="43D14C90"/>
    <w:rsid w:val="44093E52"/>
    <w:rsid w:val="44475071"/>
    <w:rsid w:val="445E3AFF"/>
    <w:rsid w:val="44612E7B"/>
    <w:rsid w:val="446E5F1B"/>
    <w:rsid w:val="44753B35"/>
    <w:rsid w:val="44A571E8"/>
    <w:rsid w:val="45343151"/>
    <w:rsid w:val="456F5F37"/>
    <w:rsid w:val="45BE1410"/>
    <w:rsid w:val="45CA5863"/>
    <w:rsid w:val="45E00434"/>
    <w:rsid w:val="45F047F0"/>
    <w:rsid w:val="45F4583A"/>
    <w:rsid w:val="46054912"/>
    <w:rsid w:val="46112717"/>
    <w:rsid w:val="46307B3F"/>
    <w:rsid w:val="46317690"/>
    <w:rsid w:val="463C6CB9"/>
    <w:rsid w:val="469448BA"/>
    <w:rsid w:val="46DC1289"/>
    <w:rsid w:val="46DD1652"/>
    <w:rsid w:val="472655E6"/>
    <w:rsid w:val="477D2815"/>
    <w:rsid w:val="47982EAF"/>
    <w:rsid w:val="481B63B6"/>
    <w:rsid w:val="487550B7"/>
    <w:rsid w:val="48B40105"/>
    <w:rsid w:val="48C20A74"/>
    <w:rsid w:val="48D569F9"/>
    <w:rsid w:val="48D83D6A"/>
    <w:rsid w:val="48F202EF"/>
    <w:rsid w:val="49747127"/>
    <w:rsid w:val="49B35FD2"/>
    <w:rsid w:val="49B45B0A"/>
    <w:rsid w:val="49BF07D7"/>
    <w:rsid w:val="49BF4D9E"/>
    <w:rsid w:val="49D337CF"/>
    <w:rsid w:val="4A642CF0"/>
    <w:rsid w:val="4AC565F9"/>
    <w:rsid w:val="4AF07AF1"/>
    <w:rsid w:val="4B4439C2"/>
    <w:rsid w:val="4BD110E2"/>
    <w:rsid w:val="4C003D8D"/>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EBD1401"/>
    <w:rsid w:val="4EC53259"/>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935469"/>
    <w:rsid w:val="53C103D2"/>
    <w:rsid w:val="53DC53F9"/>
    <w:rsid w:val="543071D9"/>
    <w:rsid w:val="543C16DA"/>
    <w:rsid w:val="545407E3"/>
    <w:rsid w:val="54843081"/>
    <w:rsid w:val="54E720BB"/>
    <w:rsid w:val="551B4A12"/>
    <w:rsid w:val="5588094F"/>
    <w:rsid w:val="558A2919"/>
    <w:rsid w:val="5634588C"/>
    <w:rsid w:val="56615E0C"/>
    <w:rsid w:val="567846EC"/>
    <w:rsid w:val="56AC0B61"/>
    <w:rsid w:val="56B45E9F"/>
    <w:rsid w:val="56F50926"/>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C54378"/>
    <w:rsid w:val="5AED49A0"/>
    <w:rsid w:val="5B841A23"/>
    <w:rsid w:val="5B92709A"/>
    <w:rsid w:val="5BDA5CF3"/>
    <w:rsid w:val="5BFE0297"/>
    <w:rsid w:val="5C161EDE"/>
    <w:rsid w:val="5C207B33"/>
    <w:rsid w:val="5C880D1C"/>
    <w:rsid w:val="5CA91A5D"/>
    <w:rsid w:val="5CF7353B"/>
    <w:rsid w:val="5D04082A"/>
    <w:rsid w:val="5D2914FD"/>
    <w:rsid w:val="5D3F1908"/>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961C65"/>
    <w:rsid w:val="61D474C9"/>
    <w:rsid w:val="62950A8E"/>
    <w:rsid w:val="629774D1"/>
    <w:rsid w:val="62BE64F4"/>
    <w:rsid w:val="62C9714A"/>
    <w:rsid w:val="63583CE2"/>
    <w:rsid w:val="635B3466"/>
    <w:rsid w:val="637B00FA"/>
    <w:rsid w:val="639456BF"/>
    <w:rsid w:val="63DC4C88"/>
    <w:rsid w:val="64234172"/>
    <w:rsid w:val="6431668F"/>
    <w:rsid w:val="64803EF5"/>
    <w:rsid w:val="64835103"/>
    <w:rsid w:val="64970BAF"/>
    <w:rsid w:val="64AA6F1D"/>
    <w:rsid w:val="64F8164D"/>
    <w:rsid w:val="6502427A"/>
    <w:rsid w:val="656C3DE9"/>
    <w:rsid w:val="65715BFD"/>
    <w:rsid w:val="65732D00"/>
    <w:rsid w:val="65A13BD2"/>
    <w:rsid w:val="65B34C8C"/>
    <w:rsid w:val="66050395"/>
    <w:rsid w:val="661A0932"/>
    <w:rsid w:val="66302426"/>
    <w:rsid w:val="66364452"/>
    <w:rsid w:val="6651710F"/>
    <w:rsid w:val="66624590"/>
    <w:rsid w:val="668313EA"/>
    <w:rsid w:val="66D90189"/>
    <w:rsid w:val="66E85FB4"/>
    <w:rsid w:val="67330E86"/>
    <w:rsid w:val="674033C8"/>
    <w:rsid w:val="67614E4C"/>
    <w:rsid w:val="679C7C07"/>
    <w:rsid w:val="67B37AAD"/>
    <w:rsid w:val="67F524F3"/>
    <w:rsid w:val="67F92005"/>
    <w:rsid w:val="68025435"/>
    <w:rsid w:val="68265BFC"/>
    <w:rsid w:val="688F22C8"/>
    <w:rsid w:val="68C267B6"/>
    <w:rsid w:val="68CF738C"/>
    <w:rsid w:val="68F20812"/>
    <w:rsid w:val="69021FA8"/>
    <w:rsid w:val="690C7C82"/>
    <w:rsid w:val="69137A07"/>
    <w:rsid w:val="697415F1"/>
    <w:rsid w:val="697F3ADF"/>
    <w:rsid w:val="69DA3ABA"/>
    <w:rsid w:val="69E50338"/>
    <w:rsid w:val="6A3762A4"/>
    <w:rsid w:val="6A631F51"/>
    <w:rsid w:val="6A887F5F"/>
    <w:rsid w:val="6AAB7162"/>
    <w:rsid w:val="6AC3566F"/>
    <w:rsid w:val="6B037C3A"/>
    <w:rsid w:val="6B2B4A32"/>
    <w:rsid w:val="6B3A67D0"/>
    <w:rsid w:val="6B4B7556"/>
    <w:rsid w:val="6B6179F5"/>
    <w:rsid w:val="6B7C13D5"/>
    <w:rsid w:val="6BD70B22"/>
    <w:rsid w:val="6BD72D2C"/>
    <w:rsid w:val="6C0652F9"/>
    <w:rsid w:val="6C53512B"/>
    <w:rsid w:val="6C560EC1"/>
    <w:rsid w:val="6C8E0AE9"/>
    <w:rsid w:val="6CA04267"/>
    <w:rsid w:val="6CA63EB8"/>
    <w:rsid w:val="6CB227F2"/>
    <w:rsid w:val="6CC30793"/>
    <w:rsid w:val="6CC8224D"/>
    <w:rsid w:val="6D18328F"/>
    <w:rsid w:val="6D8C5C0C"/>
    <w:rsid w:val="6D8D7335"/>
    <w:rsid w:val="6DF95048"/>
    <w:rsid w:val="6DFF0D97"/>
    <w:rsid w:val="6E0255A4"/>
    <w:rsid w:val="6E0472B5"/>
    <w:rsid w:val="6E09753D"/>
    <w:rsid w:val="6E38115B"/>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CE1DE8"/>
    <w:rsid w:val="72A11576"/>
    <w:rsid w:val="72B56CCB"/>
    <w:rsid w:val="72CF1C54"/>
    <w:rsid w:val="72D46929"/>
    <w:rsid w:val="72D729DB"/>
    <w:rsid w:val="72EC0317"/>
    <w:rsid w:val="73353469"/>
    <w:rsid w:val="73644117"/>
    <w:rsid w:val="736D3FC9"/>
    <w:rsid w:val="73BF6E3A"/>
    <w:rsid w:val="74035919"/>
    <w:rsid w:val="741D30BD"/>
    <w:rsid w:val="74213FF1"/>
    <w:rsid w:val="74962374"/>
    <w:rsid w:val="74FB38D2"/>
    <w:rsid w:val="750E0A19"/>
    <w:rsid w:val="75245305"/>
    <w:rsid w:val="75606932"/>
    <w:rsid w:val="75685790"/>
    <w:rsid w:val="756E5918"/>
    <w:rsid w:val="75712C55"/>
    <w:rsid w:val="757B7431"/>
    <w:rsid w:val="75D7226C"/>
    <w:rsid w:val="75D752AF"/>
    <w:rsid w:val="76332FB4"/>
    <w:rsid w:val="76457703"/>
    <w:rsid w:val="76740D50"/>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967A1C"/>
    <w:rsid w:val="7A9F25DA"/>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3"/>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4"/>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5"/>
    <w:autoRedefine/>
    <w:unhideWhenUsed/>
    <w:qFormat/>
    <w:uiPriority w:val="9"/>
    <w:pPr>
      <w:keepNext/>
      <w:keepLines/>
      <w:outlineLvl w:val="2"/>
    </w:pPr>
    <w:rPr>
      <w:b/>
      <w:bCs/>
      <w:szCs w:val="32"/>
    </w:rPr>
  </w:style>
  <w:style w:type="paragraph" w:styleId="6">
    <w:name w:val="heading 6"/>
    <w:basedOn w:val="1"/>
    <w:next w:val="1"/>
    <w:autoRedefine/>
    <w:unhideWhenUsed/>
    <w:qFormat/>
    <w:uiPriority w:val="9"/>
    <w:pPr>
      <w:keepNext/>
      <w:keepLines/>
      <w:outlineLvl w:val="5"/>
    </w:pPr>
    <w:rPr>
      <w:rFonts w:ascii="Cambria" w:hAnsi="Cambria"/>
      <w:bCs/>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rPr>
      <w:szCs w:val="21"/>
    </w:rPr>
  </w:style>
  <w:style w:type="paragraph" w:styleId="7">
    <w:name w:val="caption"/>
    <w:basedOn w:val="1"/>
    <w:next w:val="1"/>
    <w:autoRedefine/>
    <w:unhideWhenUsed/>
    <w:qFormat/>
    <w:uiPriority w:val="0"/>
    <w:rPr>
      <w:rFonts w:eastAsia="黑体" w:asciiTheme="majorHAnsi" w:hAnsiTheme="majorHAnsi" w:cstheme="majorBidi"/>
      <w:sz w:val="20"/>
      <w:szCs w:val="20"/>
    </w:rPr>
  </w:style>
  <w:style w:type="paragraph" w:styleId="8">
    <w:name w:val="annotation text"/>
    <w:basedOn w:val="1"/>
    <w:link w:val="37"/>
    <w:autoRedefine/>
    <w:semiHidden/>
    <w:unhideWhenUsed/>
    <w:qFormat/>
    <w:uiPriority w:val="99"/>
    <w:pPr>
      <w:jc w:val="left"/>
    </w:pPr>
  </w:style>
  <w:style w:type="paragraph" w:styleId="9">
    <w:name w:val="Body Text Indent"/>
    <w:basedOn w:val="1"/>
    <w:autoRedefine/>
    <w:qFormat/>
    <w:uiPriority w:val="0"/>
    <w:pPr>
      <w:ind w:left="200" w:leftChars="200"/>
    </w:pPr>
    <w:rPr>
      <w:szCs w:val="21"/>
    </w:rPr>
  </w:style>
  <w:style w:type="paragraph" w:styleId="10">
    <w:name w:val="Plain Text"/>
    <w:basedOn w:val="1"/>
    <w:autoRedefine/>
    <w:qFormat/>
    <w:uiPriority w:val="0"/>
    <w:rPr>
      <w:rFonts w:hint="eastAsia" w:ascii="宋体" w:hAnsi="Courier New" w:eastAsia="宋体" w:cs="Times New Roman"/>
      <w:szCs w:val="20"/>
    </w:rPr>
  </w:style>
  <w:style w:type="paragraph" w:styleId="11">
    <w:name w:val="Body Text Indent 2"/>
    <w:basedOn w:val="1"/>
    <w:next w:val="10"/>
    <w:autoRedefine/>
    <w:qFormat/>
    <w:uiPriority w:val="0"/>
    <w:pPr>
      <w:ind w:left="-718" w:leftChars="-342" w:firstLine="720" w:firstLineChars="225"/>
      <w:jc w:val="left"/>
    </w:pPr>
    <w:rPr>
      <w:sz w:val="32"/>
      <w:szCs w:val="32"/>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ind w:firstLine="0" w:firstLineChars="0"/>
    </w:pPr>
    <w:rPr>
      <w:rFonts w:hAnsi="宋体"/>
      <w:b/>
      <w:bCs/>
    </w:rPr>
  </w:style>
  <w:style w:type="paragraph" w:styleId="15">
    <w:name w:val="toc 2"/>
    <w:basedOn w:val="1"/>
    <w:next w:val="1"/>
    <w:autoRedefine/>
    <w:unhideWhenUsed/>
    <w:qFormat/>
    <w:uiPriority w:val="39"/>
    <w:pPr>
      <w:tabs>
        <w:tab w:val="right" w:leader="dot" w:pos="8296"/>
      </w:tabs>
      <w:ind w:left="560" w:leftChars="200" w:firstLine="0" w:firstLineChars="0"/>
    </w:p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autoRedefine/>
    <w:semiHidden/>
    <w:unhideWhenUsed/>
    <w:qFormat/>
    <w:uiPriority w:val="99"/>
    <w:pPr>
      <w:spacing w:beforeAutospacing="1" w:afterAutospacing="1"/>
      <w:jc w:val="left"/>
    </w:pPr>
    <w:rPr>
      <w:rFonts w:cs="Times New Roman"/>
      <w:kern w:val="0"/>
      <w:sz w:val="24"/>
    </w:rPr>
  </w:style>
  <w:style w:type="paragraph" w:styleId="18">
    <w:name w:val="index 1"/>
    <w:basedOn w:val="1"/>
    <w:next w:val="1"/>
    <w:autoRedefine/>
    <w:qFormat/>
    <w:uiPriority w:val="0"/>
  </w:style>
  <w:style w:type="paragraph" w:styleId="19">
    <w:name w:val="annotation subject"/>
    <w:basedOn w:val="8"/>
    <w:next w:val="8"/>
    <w:link w:val="38"/>
    <w:autoRedefine/>
    <w:semiHidden/>
    <w:unhideWhenUsed/>
    <w:qFormat/>
    <w:uiPriority w:val="99"/>
    <w:rPr>
      <w:b/>
      <w:bCs/>
    </w:rPr>
  </w:style>
  <w:style w:type="paragraph" w:styleId="20">
    <w:name w:val="Body Text First Indent"/>
    <w:basedOn w:val="2"/>
    <w:autoRedefine/>
    <w:qFormat/>
    <w:uiPriority w:val="0"/>
    <w:pPr>
      <w:spacing w:before="100" w:beforeAutospacing="1"/>
      <w:ind w:firstLine="420"/>
    </w:p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99"/>
    <w:rPr>
      <w:rFonts w:hint="default" w:ascii="Times New Roman" w:hAnsi="Times New Roman" w:cs="Times New Roman"/>
      <w:b/>
      <w:bCs/>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paragraph" w:customStyle="1" w:styleId="27">
    <w:name w:val="Body Text First Indent 2"/>
    <w:basedOn w:val="1"/>
    <w:autoRedefine/>
    <w:qFormat/>
    <w:uiPriority w:val="0"/>
    <w:pPr>
      <w:ind w:left="420" w:leftChars="200" w:firstLine="420" w:firstLineChars="200"/>
    </w:pPr>
  </w:style>
  <w:style w:type="paragraph" w:customStyle="1" w:styleId="28">
    <w:name w:val="Body Text First Indent 21"/>
    <w:basedOn w:val="1"/>
    <w:autoRedefine/>
    <w:qFormat/>
    <w:uiPriority w:val="0"/>
    <w:pPr>
      <w:ind w:left="420" w:leftChars="200" w:firstLine="420" w:firstLineChars="200"/>
    </w:pPr>
  </w:style>
  <w:style w:type="paragraph" w:customStyle="1" w:styleId="29">
    <w:name w:val="BodyTextIndent"/>
    <w:basedOn w:val="1"/>
    <w:autoRedefine/>
    <w:qFormat/>
    <w:uiPriority w:val="0"/>
    <w:pPr>
      <w:widowControl/>
      <w:ind w:left="200" w:leftChars="200"/>
      <w:jc w:val="both"/>
      <w:textAlignment w:val="baseline"/>
    </w:pPr>
    <w:rPr>
      <w:kern w:val="2"/>
      <w:sz w:val="21"/>
      <w:szCs w:val="21"/>
      <w:lang w:val="en-US" w:eastAsia="zh-CN" w:bidi="ar-SA"/>
    </w:rPr>
  </w:style>
  <w:style w:type="character" w:customStyle="1" w:styleId="30">
    <w:name w:val="页眉 字符"/>
    <w:basedOn w:val="23"/>
    <w:link w:val="13"/>
    <w:autoRedefine/>
    <w:qFormat/>
    <w:uiPriority w:val="99"/>
    <w:rPr>
      <w:sz w:val="18"/>
      <w:szCs w:val="18"/>
    </w:rPr>
  </w:style>
  <w:style w:type="character" w:customStyle="1" w:styleId="31">
    <w:name w:val="页脚 字符"/>
    <w:basedOn w:val="23"/>
    <w:link w:val="12"/>
    <w:autoRedefine/>
    <w:qFormat/>
    <w:uiPriority w:val="99"/>
    <w:rPr>
      <w:sz w:val="18"/>
      <w:szCs w:val="18"/>
    </w:rPr>
  </w:style>
  <w:style w:type="paragraph" w:customStyle="1" w:styleId="32">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标题 1 字符"/>
    <w:basedOn w:val="23"/>
    <w:link w:val="3"/>
    <w:autoRedefine/>
    <w:qFormat/>
    <w:uiPriority w:val="9"/>
    <w:rPr>
      <w:rFonts w:ascii="黑体" w:hAnsi="黑体" w:eastAsia="黑体"/>
      <w:b/>
      <w:bCs/>
      <w:kern w:val="44"/>
      <w:sz w:val="32"/>
      <w:szCs w:val="44"/>
    </w:rPr>
  </w:style>
  <w:style w:type="character" w:customStyle="1" w:styleId="34">
    <w:name w:val="标题 2 字符"/>
    <w:basedOn w:val="23"/>
    <w:link w:val="4"/>
    <w:autoRedefine/>
    <w:qFormat/>
    <w:uiPriority w:val="9"/>
    <w:rPr>
      <w:rFonts w:ascii="楷体" w:hAnsi="楷体" w:eastAsia="楷体" w:cstheme="majorBidi"/>
      <w:b/>
      <w:bCs/>
      <w:sz w:val="32"/>
      <w:szCs w:val="32"/>
    </w:rPr>
  </w:style>
  <w:style w:type="character" w:customStyle="1" w:styleId="35">
    <w:name w:val="标题 3 字符"/>
    <w:basedOn w:val="23"/>
    <w:link w:val="5"/>
    <w:autoRedefine/>
    <w:qFormat/>
    <w:uiPriority w:val="9"/>
    <w:rPr>
      <w:rFonts w:ascii="仿宋_GB2312" w:hAnsi="仿宋_GB2312" w:eastAsia="仿宋_GB2312"/>
      <w:b/>
      <w:bCs/>
      <w:sz w:val="28"/>
      <w:szCs w:val="32"/>
    </w:rPr>
  </w:style>
  <w:style w:type="character" w:customStyle="1" w:styleId="36">
    <w:name w:val="font01"/>
    <w:basedOn w:val="23"/>
    <w:autoRedefine/>
    <w:qFormat/>
    <w:uiPriority w:val="0"/>
    <w:rPr>
      <w:rFonts w:hint="eastAsia" w:ascii="宋体" w:hAnsi="宋体" w:eastAsia="宋体" w:cs="宋体"/>
      <w:color w:val="000000"/>
      <w:sz w:val="21"/>
      <w:szCs w:val="21"/>
      <w:u w:val="none"/>
    </w:rPr>
  </w:style>
  <w:style w:type="character" w:customStyle="1" w:styleId="37">
    <w:name w:val="批注文字 字符"/>
    <w:basedOn w:val="23"/>
    <w:link w:val="8"/>
    <w:autoRedefine/>
    <w:semiHidden/>
    <w:qFormat/>
    <w:uiPriority w:val="99"/>
    <w:rPr>
      <w:rFonts w:ascii="仿宋_GB2312" w:hAnsi="仿宋_GB2312" w:eastAsia="仿宋_GB2312" w:cstheme="minorBidi"/>
      <w:kern w:val="2"/>
      <w:sz w:val="28"/>
      <w:szCs w:val="22"/>
    </w:rPr>
  </w:style>
  <w:style w:type="character" w:customStyle="1" w:styleId="38">
    <w:name w:val="批注主题 字符"/>
    <w:basedOn w:val="37"/>
    <w:link w:val="19"/>
    <w:autoRedefine/>
    <w:semiHidden/>
    <w:qFormat/>
    <w:uiPriority w:val="99"/>
    <w:rPr>
      <w:rFonts w:ascii="仿宋_GB2312" w:hAnsi="仿宋_GB2312" w:eastAsia="仿宋_GB2312" w:cstheme="minorBidi"/>
      <w:b/>
      <w:bCs/>
      <w:kern w:val="2"/>
      <w:sz w:val="28"/>
      <w:szCs w:val="22"/>
    </w:rPr>
  </w:style>
  <w:style w:type="paragraph" w:customStyle="1" w:styleId="39">
    <w:name w:val="NormalIndent"/>
    <w:basedOn w:val="1"/>
    <w:autoRedefine/>
    <w:qFormat/>
    <w:uiPriority w:val="99"/>
    <w:pPr>
      <w:ind w:firstLine="420" w:firstLineChars="200"/>
      <w:textAlignment w:val="baseline"/>
    </w:pPr>
    <w:rPr>
      <w:szCs w:val="21"/>
    </w:rPr>
  </w:style>
  <w:style w:type="character" w:customStyle="1" w:styleId="40">
    <w:name w:val="content1"/>
    <w:basedOn w:val="23"/>
    <w:autoRedefine/>
    <w:qFormat/>
    <w:uiPriority w:val="0"/>
    <w:rPr>
      <w:rFonts w:hint="default"/>
      <w:sz w:val="21"/>
    </w:rPr>
  </w:style>
  <w:style w:type="paragraph" w:customStyle="1" w:styleId="41">
    <w:name w:val="Char2"/>
    <w:basedOn w:val="1"/>
    <w:autoRedefine/>
    <w:qFormat/>
    <w:uiPriority w:val="0"/>
    <w:rPr>
      <w:rFonts w:ascii="Courier" w:hAnsi="Courier" w:cs="Courier"/>
      <w:szCs w:val="21"/>
    </w:rPr>
  </w:style>
  <w:style w:type="character" w:customStyle="1" w:styleId="42">
    <w:name w:val="NormalCharacter"/>
    <w:autoRedefine/>
    <w:semiHidden/>
    <w:qFormat/>
    <w:uiPriority w:val="0"/>
  </w:style>
  <w:style w:type="paragraph" w:customStyle="1" w:styleId="43">
    <w:name w:val="Normal Indent1"/>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12112</Words>
  <Characters>13772</Characters>
  <Lines>132</Lines>
  <Paragraphs>37</Paragraphs>
  <TotalTime>10</TotalTime>
  <ScaleCrop>false</ScaleCrop>
  <LinksUpToDate>false</LinksUpToDate>
  <CharactersWithSpaces>13835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饭饭-蕊</cp:lastModifiedBy>
  <cp:lastPrinted>2021-04-25T06:46:00Z</cp:lastPrinted>
  <dcterms:modified xsi:type="dcterms:W3CDTF">2024-08-13T07:22:31Z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5E09FCA17A7D4BF5A08E0DA6DC8ED63B_13</vt:lpwstr>
  </property>
</Properties>
</file>