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6221ED">
      <w:pPr>
        <w:spacing w:before="100" w:beforeLines="0" w:after="100" w:afterLines="0"/>
        <w:jc w:val="center"/>
        <w:rPr>
          <w:rFonts w:hint="eastAsia" w:ascii="宋体" w:hAnsi="宋体"/>
          <w:sz w:val="24"/>
          <w:szCs w:val="24"/>
          <w:lang w:val="zh-CN"/>
        </w:rPr>
      </w:pPr>
    </w:p>
    <w:p w14:paraId="2F8EAF54">
      <w:pPr>
        <w:spacing w:before="100" w:beforeLines="0" w:after="100" w:afterLines="0"/>
        <w:jc w:val="center"/>
        <w:rPr>
          <w:rFonts w:hint="eastAsia" w:ascii="宋体" w:hAnsi="宋体"/>
          <w:sz w:val="24"/>
          <w:szCs w:val="24"/>
          <w:lang w:val="zh-CN"/>
        </w:rPr>
      </w:pPr>
    </w:p>
    <w:p w14:paraId="64E3725E">
      <w:pPr>
        <w:spacing w:before="100" w:beforeLines="0" w:after="100" w:afterLines="0"/>
        <w:jc w:val="center"/>
        <w:rPr>
          <w:rFonts w:hint="eastAsia" w:ascii="宋体" w:hAnsi="宋体"/>
          <w:sz w:val="24"/>
          <w:szCs w:val="24"/>
          <w:lang w:val="zh-CN"/>
        </w:rPr>
      </w:pPr>
    </w:p>
    <w:p w14:paraId="260FE700">
      <w:pPr>
        <w:spacing w:before="100" w:beforeLines="0" w:after="100" w:afterLines="0"/>
        <w:jc w:val="center"/>
        <w:rPr>
          <w:rFonts w:hint="eastAsia" w:ascii="宋体" w:hAnsi="宋体"/>
          <w:sz w:val="24"/>
          <w:szCs w:val="24"/>
          <w:lang w:val="zh-CN"/>
        </w:rPr>
      </w:pPr>
    </w:p>
    <w:p w14:paraId="108D3C76">
      <w:pPr>
        <w:spacing w:before="100" w:beforeLines="0" w:after="100" w:afterLines="0"/>
        <w:jc w:val="center"/>
        <w:rPr>
          <w:rFonts w:hint="eastAsia" w:ascii="宋体" w:hAnsi="宋体"/>
          <w:sz w:val="24"/>
          <w:szCs w:val="24"/>
          <w:lang w:val="zh-CN"/>
        </w:rPr>
      </w:pPr>
    </w:p>
    <w:p w14:paraId="55C1FCC9">
      <w:pPr>
        <w:spacing w:before="100" w:beforeLines="0" w:after="100" w:afterLines="0"/>
        <w:jc w:val="center"/>
        <w:rPr>
          <w:rFonts w:hint="eastAsia" w:ascii="宋体" w:hAnsi="宋体"/>
          <w:sz w:val="24"/>
          <w:szCs w:val="24"/>
          <w:lang w:val="zh-CN"/>
        </w:rPr>
      </w:pPr>
    </w:p>
    <w:p w14:paraId="6F3A4AA2">
      <w:pPr>
        <w:spacing w:before="100" w:beforeLines="0" w:after="100" w:afterLines="0"/>
        <w:jc w:val="center"/>
        <w:rPr>
          <w:rFonts w:hint="eastAsia" w:ascii="宋体" w:hAnsi="宋体"/>
          <w:sz w:val="24"/>
          <w:szCs w:val="24"/>
          <w:lang w:val="zh-CN"/>
        </w:rPr>
      </w:pPr>
    </w:p>
    <w:p w14:paraId="78E8176C">
      <w:pPr>
        <w:spacing w:before="100" w:beforeLines="0" w:after="100" w:afterLines="0"/>
        <w:jc w:val="center"/>
        <w:rPr>
          <w:rFonts w:hint="eastAsia" w:ascii="宋体" w:hAnsi="宋体"/>
          <w:sz w:val="24"/>
          <w:szCs w:val="24"/>
          <w:lang w:val="zh-CN"/>
        </w:rPr>
      </w:pPr>
    </w:p>
    <w:p w14:paraId="0030ECE6">
      <w:pPr>
        <w:spacing w:before="100" w:beforeLines="0" w:after="100" w:afterLines="0"/>
        <w:jc w:val="center"/>
        <w:rPr>
          <w:rFonts w:hint="eastAsia" w:ascii="宋体" w:hAnsi="宋体"/>
          <w:sz w:val="24"/>
          <w:szCs w:val="24"/>
          <w:lang w:val="zh-CN"/>
        </w:rPr>
      </w:pPr>
    </w:p>
    <w:p w14:paraId="54D55028">
      <w:pPr>
        <w:spacing w:before="100" w:beforeLines="0" w:after="100" w:afterLines="0"/>
        <w:jc w:val="center"/>
        <w:rPr>
          <w:rFonts w:hint="eastAsia" w:ascii="宋体" w:hAnsi="宋体"/>
          <w:sz w:val="24"/>
          <w:szCs w:val="24"/>
          <w:lang w:val="zh-CN"/>
        </w:rPr>
      </w:pPr>
    </w:p>
    <w:p w14:paraId="115C091E">
      <w:pPr>
        <w:spacing w:before="100" w:beforeLines="0" w:after="100" w:afterLines="0"/>
        <w:jc w:val="center"/>
        <w:rPr>
          <w:rFonts w:hint="eastAsia" w:ascii="宋体" w:hAnsi="宋体"/>
          <w:sz w:val="24"/>
          <w:szCs w:val="24"/>
          <w:lang w:val="zh-CN"/>
        </w:rPr>
      </w:pPr>
    </w:p>
    <w:p w14:paraId="5D11DA0F">
      <w:pPr>
        <w:spacing w:before="100" w:beforeLines="0" w:after="100" w:afterLines="0"/>
        <w:jc w:val="center"/>
        <w:rPr>
          <w:rFonts w:hint="eastAsia" w:ascii="宋体" w:hAnsi="宋体"/>
          <w:sz w:val="24"/>
          <w:szCs w:val="24"/>
          <w:lang w:val="zh-CN"/>
        </w:rPr>
      </w:pPr>
    </w:p>
    <w:p w14:paraId="4CEE4AE6">
      <w:pPr>
        <w:spacing w:before="100" w:beforeLines="0" w:after="100" w:afterLines="0"/>
        <w:jc w:val="center"/>
        <w:rPr>
          <w:rFonts w:hint="eastAsia" w:ascii="宋体" w:hAnsi="宋体" w:eastAsia="宋体"/>
          <w:sz w:val="44"/>
          <w:szCs w:val="44"/>
          <w:lang w:val="zh-CN"/>
        </w:rPr>
      </w:pPr>
      <w:r>
        <w:rPr>
          <w:rFonts w:hint="eastAsia" w:ascii="宋体" w:hAnsi="宋体" w:eastAsia="宋体"/>
          <w:sz w:val="44"/>
          <w:szCs w:val="44"/>
          <w:lang w:val="zh-CN"/>
        </w:rPr>
        <w:t>2023年度</w:t>
      </w:r>
    </w:p>
    <w:p w14:paraId="2B01D00A">
      <w:pPr>
        <w:spacing w:before="100" w:beforeLines="0" w:after="100" w:afterLines="0"/>
        <w:jc w:val="center"/>
        <w:rPr>
          <w:rFonts w:hint="eastAsia" w:ascii="宋体" w:hAnsi="宋体" w:eastAsia="宋体"/>
          <w:sz w:val="44"/>
          <w:szCs w:val="44"/>
          <w:lang w:val="zh-CN"/>
        </w:rPr>
      </w:pPr>
      <w:r>
        <w:rPr>
          <w:rFonts w:hint="eastAsia" w:ascii="宋体" w:hAnsi="宋体" w:eastAsia="宋体"/>
          <w:sz w:val="44"/>
          <w:szCs w:val="44"/>
          <w:lang w:val="zh-CN"/>
        </w:rPr>
        <w:t>甘肃省合作市人民法院部门决算</w:t>
      </w:r>
    </w:p>
    <w:p w14:paraId="0532B2E9">
      <w:pPr>
        <w:spacing w:before="100" w:beforeLines="0" w:after="100" w:afterLines="0"/>
        <w:jc w:val="center"/>
        <w:rPr>
          <w:rFonts w:hint="eastAsia" w:ascii="宋体" w:hAnsi="宋体" w:eastAsia="宋体"/>
          <w:sz w:val="44"/>
          <w:szCs w:val="44"/>
          <w:lang w:val="zh-CN"/>
        </w:rPr>
      </w:pPr>
    </w:p>
    <w:p w14:paraId="2FAF2CD3">
      <w:pPr>
        <w:spacing w:before="100" w:beforeLines="0" w:after="100" w:afterLines="0"/>
        <w:jc w:val="center"/>
        <w:rPr>
          <w:rFonts w:hint="eastAsia" w:ascii="宋体" w:hAnsi="宋体" w:eastAsia="宋体"/>
          <w:sz w:val="44"/>
          <w:szCs w:val="44"/>
          <w:lang w:val="zh-CN"/>
        </w:rPr>
      </w:pPr>
    </w:p>
    <w:p w14:paraId="285BCA77">
      <w:pPr>
        <w:spacing w:before="100" w:beforeLines="0" w:after="100" w:afterLines="0"/>
        <w:jc w:val="center"/>
        <w:rPr>
          <w:rFonts w:hint="eastAsia" w:ascii="宋体" w:hAnsi="宋体"/>
          <w:sz w:val="24"/>
          <w:szCs w:val="24"/>
          <w:lang w:val="zh-CN"/>
        </w:rPr>
      </w:pPr>
    </w:p>
    <w:p w14:paraId="0ED93B0B">
      <w:pPr>
        <w:spacing w:before="100" w:beforeLines="0" w:after="100" w:afterLines="0"/>
        <w:jc w:val="center"/>
        <w:rPr>
          <w:rFonts w:hint="eastAsia" w:ascii="宋体" w:hAnsi="宋体"/>
          <w:sz w:val="24"/>
          <w:szCs w:val="24"/>
          <w:lang w:val="zh-CN"/>
        </w:rPr>
      </w:pPr>
    </w:p>
    <w:p w14:paraId="1223C2C6">
      <w:pPr>
        <w:spacing w:before="100" w:beforeLines="0" w:after="100" w:afterLines="0"/>
        <w:jc w:val="center"/>
        <w:rPr>
          <w:rFonts w:hint="eastAsia" w:ascii="宋体" w:hAnsi="宋体"/>
          <w:sz w:val="24"/>
          <w:szCs w:val="24"/>
          <w:lang w:val="zh-CN"/>
        </w:rPr>
      </w:pPr>
    </w:p>
    <w:p w14:paraId="5127E957">
      <w:pPr>
        <w:spacing w:before="100" w:beforeLines="0" w:after="100" w:afterLines="0"/>
        <w:jc w:val="center"/>
        <w:rPr>
          <w:rFonts w:hint="eastAsia" w:ascii="宋体" w:hAnsi="宋体"/>
          <w:sz w:val="24"/>
          <w:szCs w:val="24"/>
          <w:lang w:val="zh-CN"/>
        </w:rPr>
      </w:pPr>
    </w:p>
    <w:p w14:paraId="3979D688">
      <w:pPr>
        <w:spacing w:before="100" w:beforeLines="0" w:after="100" w:afterLines="0"/>
        <w:jc w:val="center"/>
        <w:rPr>
          <w:rFonts w:hint="eastAsia" w:ascii="宋体" w:hAnsi="宋体"/>
          <w:sz w:val="24"/>
          <w:szCs w:val="24"/>
          <w:lang w:val="zh-CN"/>
        </w:rPr>
      </w:pPr>
    </w:p>
    <w:p w14:paraId="5AD10DF1">
      <w:pPr>
        <w:spacing w:before="100" w:beforeLines="0" w:after="100" w:afterLines="0"/>
        <w:jc w:val="center"/>
        <w:rPr>
          <w:rFonts w:hint="eastAsia" w:ascii="宋体" w:hAnsi="宋体"/>
          <w:sz w:val="24"/>
          <w:szCs w:val="24"/>
          <w:lang w:val="zh-CN"/>
        </w:rPr>
      </w:pPr>
    </w:p>
    <w:p w14:paraId="4432E40D">
      <w:pPr>
        <w:spacing w:before="100" w:beforeLines="0" w:after="100" w:afterLines="0"/>
        <w:jc w:val="center"/>
        <w:rPr>
          <w:rFonts w:hint="eastAsia" w:ascii="宋体" w:hAnsi="宋体"/>
          <w:sz w:val="24"/>
          <w:szCs w:val="24"/>
          <w:lang w:val="zh-CN"/>
        </w:rPr>
      </w:pPr>
    </w:p>
    <w:p w14:paraId="0EEB57D2">
      <w:pPr>
        <w:spacing w:before="100" w:beforeLines="0" w:after="100" w:afterLines="0"/>
        <w:jc w:val="center"/>
        <w:rPr>
          <w:rFonts w:hint="eastAsia" w:ascii="宋体" w:hAnsi="宋体"/>
          <w:sz w:val="24"/>
          <w:szCs w:val="24"/>
          <w:lang w:val="zh-CN"/>
        </w:rPr>
      </w:pPr>
    </w:p>
    <w:p w14:paraId="08C88970">
      <w:pPr>
        <w:spacing w:before="100" w:beforeLines="0" w:after="100" w:afterLines="0"/>
        <w:jc w:val="center"/>
        <w:rPr>
          <w:rFonts w:hint="eastAsia" w:ascii="宋体" w:hAnsi="宋体"/>
          <w:sz w:val="24"/>
          <w:szCs w:val="24"/>
          <w:lang w:val="zh-CN"/>
        </w:rPr>
      </w:pPr>
    </w:p>
    <w:p w14:paraId="3190F4BF">
      <w:pPr>
        <w:spacing w:before="100" w:beforeLines="0" w:after="100" w:afterLines="0"/>
        <w:jc w:val="center"/>
        <w:rPr>
          <w:rFonts w:hint="eastAsia" w:ascii="宋体" w:hAnsi="宋体"/>
          <w:sz w:val="24"/>
          <w:szCs w:val="24"/>
          <w:lang w:val="zh-CN"/>
        </w:rPr>
      </w:pPr>
    </w:p>
    <w:p w14:paraId="0DE1FD8C">
      <w:pPr>
        <w:spacing w:before="100" w:beforeLines="0" w:after="100" w:afterLines="0"/>
        <w:jc w:val="center"/>
        <w:rPr>
          <w:rFonts w:hint="eastAsia" w:ascii="宋体" w:hAnsi="宋体"/>
          <w:sz w:val="24"/>
          <w:szCs w:val="24"/>
          <w:lang w:val="zh-CN"/>
        </w:rPr>
      </w:pPr>
    </w:p>
    <w:p w14:paraId="3F96EA48">
      <w:pPr>
        <w:spacing w:before="100" w:beforeLines="0" w:after="100" w:afterLines="0"/>
        <w:jc w:val="center"/>
        <w:rPr>
          <w:rFonts w:hint="eastAsia" w:ascii="宋体" w:hAnsi="宋体"/>
          <w:sz w:val="24"/>
          <w:szCs w:val="24"/>
          <w:lang w:val="zh-CN"/>
        </w:rPr>
      </w:pPr>
    </w:p>
    <w:p w14:paraId="1B4027C0">
      <w:pPr>
        <w:spacing w:before="100" w:beforeLines="0" w:after="100" w:afterLines="0"/>
        <w:jc w:val="center"/>
        <w:rPr>
          <w:rFonts w:hint="eastAsia" w:ascii="宋体" w:hAnsi="宋体"/>
          <w:sz w:val="24"/>
          <w:szCs w:val="24"/>
          <w:lang w:val="zh-CN"/>
        </w:rPr>
      </w:pPr>
    </w:p>
    <w:p w14:paraId="0AE0BC46">
      <w:pPr>
        <w:spacing w:before="100" w:beforeLines="0" w:after="100" w:afterLines="0"/>
        <w:jc w:val="center"/>
        <w:rPr>
          <w:rFonts w:hint="eastAsia" w:ascii="宋体" w:hAnsi="宋体"/>
          <w:sz w:val="24"/>
          <w:szCs w:val="24"/>
          <w:lang w:val="zh-CN"/>
        </w:rPr>
      </w:pPr>
    </w:p>
    <w:p w14:paraId="5BDCFECF">
      <w:pPr>
        <w:spacing w:before="100" w:beforeLines="0" w:after="100" w:afterLines="0"/>
        <w:jc w:val="center"/>
        <w:rPr>
          <w:rFonts w:hint="eastAsia" w:ascii="宋体" w:hAnsi="宋体"/>
          <w:sz w:val="24"/>
          <w:szCs w:val="24"/>
          <w:lang w:val="zh-CN"/>
        </w:rPr>
      </w:pPr>
    </w:p>
    <w:p w14:paraId="05BAB391">
      <w:pPr>
        <w:spacing w:before="100" w:beforeLines="0" w:after="100" w:afterLines="0"/>
        <w:jc w:val="center"/>
        <w:rPr>
          <w:rFonts w:hint="eastAsia" w:ascii="宋体" w:hAnsi="宋体"/>
          <w:sz w:val="24"/>
          <w:szCs w:val="24"/>
          <w:lang w:val="zh-CN"/>
        </w:rPr>
      </w:pPr>
    </w:p>
    <w:p w14:paraId="6B1CC166">
      <w:pPr>
        <w:spacing w:before="100" w:beforeLines="0" w:after="100" w:afterLines="0"/>
        <w:jc w:val="center"/>
        <w:rPr>
          <w:rFonts w:hint="eastAsia" w:ascii="华文仿宋" w:hAnsi="华文仿宋" w:eastAsia="华文仿宋" w:cs="华文仿宋"/>
          <w:sz w:val="32"/>
          <w:szCs w:val="32"/>
          <w:lang w:val="zh-CN"/>
        </w:rPr>
      </w:pPr>
      <w:r>
        <w:rPr>
          <w:rFonts w:hint="eastAsia" w:ascii="华文仿宋" w:hAnsi="华文仿宋" w:eastAsia="华文仿宋" w:cs="华文仿宋"/>
          <w:b/>
          <w:sz w:val="32"/>
          <w:szCs w:val="32"/>
          <w:lang w:val="zh-CN"/>
        </w:rPr>
        <w:t>目录</w:t>
      </w:r>
    </w:p>
    <w:p w14:paraId="007D951A">
      <w:pPr>
        <w:spacing w:before="100" w:beforeLines="0" w:after="100" w:afterLines="0"/>
        <w:jc w:val="left"/>
        <w:rPr>
          <w:rFonts w:hint="eastAsia" w:ascii="华文仿宋" w:hAnsi="华文仿宋" w:eastAsia="华文仿宋" w:cs="华文仿宋"/>
          <w:sz w:val="32"/>
          <w:szCs w:val="32"/>
          <w:lang w:val="zh-CN"/>
        </w:rPr>
      </w:pPr>
      <w:r>
        <w:rPr>
          <w:rFonts w:hint="eastAsia" w:ascii="华文仿宋" w:hAnsi="华文仿宋" w:eastAsia="华文仿宋" w:cs="华文仿宋"/>
          <w:b/>
          <w:sz w:val="32"/>
          <w:szCs w:val="32"/>
          <w:lang w:val="zh-CN"/>
        </w:rPr>
        <w:t>第一部分部门概况</w:t>
      </w:r>
    </w:p>
    <w:p w14:paraId="37C52700">
      <w:pPr>
        <w:spacing w:before="100" w:beforeLines="0" w:after="100" w:afterLines="0"/>
        <w:jc w:val="left"/>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rPr>
        <w:t>一、部门职责</w:t>
      </w:r>
    </w:p>
    <w:p w14:paraId="175D5DAA">
      <w:pPr>
        <w:spacing w:before="100" w:beforeLines="0" w:after="100" w:afterLines="0"/>
        <w:jc w:val="left"/>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rPr>
        <w:t>二、机构设置</w:t>
      </w:r>
    </w:p>
    <w:p w14:paraId="436B9695">
      <w:pPr>
        <w:spacing w:before="100" w:beforeLines="0" w:after="100" w:afterLines="0"/>
        <w:jc w:val="left"/>
        <w:rPr>
          <w:rFonts w:hint="eastAsia" w:ascii="华文仿宋" w:hAnsi="华文仿宋" w:eastAsia="华文仿宋" w:cs="华文仿宋"/>
          <w:sz w:val="32"/>
          <w:szCs w:val="32"/>
          <w:lang w:val="zh-CN"/>
        </w:rPr>
      </w:pPr>
      <w:r>
        <w:rPr>
          <w:rFonts w:hint="eastAsia" w:ascii="华文仿宋" w:hAnsi="华文仿宋" w:eastAsia="华文仿宋" w:cs="华文仿宋"/>
          <w:b/>
          <w:sz w:val="32"/>
          <w:szCs w:val="32"/>
          <w:lang w:val="zh-CN"/>
        </w:rPr>
        <w:t>第二部分2023年度部门决算表</w:t>
      </w:r>
    </w:p>
    <w:p w14:paraId="2F9D5FFC">
      <w:pPr>
        <w:spacing w:before="100" w:beforeLines="0" w:after="100" w:afterLines="0"/>
        <w:jc w:val="left"/>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rPr>
        <w:t>一、收入支出决算总表</w:t>
      </w:r>
    </w:p>
    <w:p w14:paraId="4BF02778">
      <w:pPr>
        <w:spacing w:before="100" w:beforeLines="0" w:after="100" w:afterLines="0"/>
        <w:jc w:val="left"/>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rPr>
        <w:t>二、收入决算表</w:t>
      </w:r>
    </w:p>
    <w:p w14:paraId="4E838E6F">
      <w:pPr>
        <w:spacing w:before="100" w:beforeLines="0" w:after="100" w:afterLines="0"/>
        <w:jc w:val="left"/>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rPr>
        <w:t>三、支出决算表</w:t>
      </w:r>
    </w:p>
    <w:p w14:paraId="150C2314">
      <w:pPr>
        <w:spacing w:before="100" w:beforeLines="0" w:after="100" w:afterLines="0"/>
        <w:jc w:val="left"/>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rPr>
        <w:t>四、财政拨款收入支出决算总表</w:t>
      </w:r>
    </w:p>
    <w:p w14:paraId="297263F7">
      <w:pPr>
        <w:spacing w:before="100" w:beforeLines="0" w:after="100" w:afterLines="0"/>
        <w:jc w:val="left"/>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rPr>
        <w:t>五、一般公共预算财政拨款支出决算表</w:t>
      </w:r>
    </w:p>
    <w:p w14:paraId="1082571F">
      <w:pPr>
        <w:spacing w:before="100" w:beforeLines="0" w:after="100" w:afterLines="0"/>
        <w:jc w:val="left"/>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rPr>
        <w:t>六、一般公共预算财政拨款基本支出决算明细表</w:t>
      </w:r>
    </w:p>
    <w:p w14:paraId="47BE7838">
      <w:pPr>
        <w:spacing w:before="100" w:beforeLines="0" w:after="100" w:afterLines="0"/>
        <w:jc w:val="left"/>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rPr>
        <w:t>七、政府性基金预算财政拨款收入支出决算表</w:t>
      </w:r>
    </w:p>
    <w:p w14:paraId="33DEEBEC">
      <w:pPr>
        <w:spacing w:before="100" w:beforeLines="0" w:after="100" w:afterLines="0"/>
        <w:jc w:val="left"/>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rPr>
        <w:t>八、国有资本经营预算财政拨款支出决算表</w:t>
      </w:r>
    </w:p>
    <w:p w14:paraId="3FA20D6C">
      <w:pPr>
        <w:spacing w:before="100" w:beforeLines="0" w:after="100" w:afterLines="0"/>
        <w:jc w:val="left"/>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rPr>
        <w:t>九、财政拨款“三公”经费支出决算表</w:t>
      </w:r>
    </w:p>
    <w:p w14:paraId="6CF98E0B">
      <w:pPr>
        <w:spacing w:before="100" w:beforeLines="0" w:after="100" w:afterLines="0"/>
        <w:jc w:val="left"/>
        <w:rPr>
          <w:rFonts w:hint="eastAsia" w:ascii="华文仿宋" w:hAnsi="华文仿宋" w:eastAsia="华文仿宋" w:cs="华文仿宋"/>
          <w:sz w:val="32"/>
          <w:szCs w:val="32"/>
          <w:lang w:val="zh-CN"/>
        </w:rPr>
      </w:pPr>
      <w:r>
        <w:rPr>
          <w:rFonts w:hint="eastAsia" w:ascii="华文仿宋" w:hAnsi="华文仿宋" w:eastAsia="华文仿宋" w:cs="华文仿宋"/>
          <w:b/>
          <w:sz w:val="32"/>
          <w:szCs w:val="32"/>
          <w:lang w:val="zh-CN"/>
        </w:rPr>
        <w:t>第三部分2023年度部门决算情况说明</w:t>
      </w:r>
    </w:p>
    <w:p w14:paraId="027668FA">
      <w:pPr>
        <w:spacing w:before="100" w:beforeLines="0" w:after="100" w:afterLines="0"/>
        <w:jc w:val="left"/>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rPr>
        <w:t>一、收入支出决算总体情况说明</w:t>
      </w:r>
    </w:p>
    <w:p w14:paraId="7F858076">
      <w:pPr>
        <w:spacing w:before="100" w:beforeLines="0" w:after="100" w:afterLines="0"/>
        <w:jc w:val="left"/>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rPr>
        <w:t>二、收入决算情况说明</w:t>
      </w:r>
    </w:p>
    <w:p w14:paraId="51E02A1F">
      <w:pPr>
        <w:spacing w:before="100" w:beforeLines="0" w:after="100" w:afterLines="0"/>
        <w:jc w:val="left"/>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rPr>
        <w:t>三、支出决算情况说明</w:t>
      </w:r>
    </w:p>
    <w:p w14:paraId="13BE9126">
      <w:pPr>
        <w:spacing w:before="100" w:beforeLines="0" w:after="100" w:afterLines="0"/>
        <w:jc w:val="left"/>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rPr>
        <w:t>四、财政拨款收入支出决算总体情况说明</w:t>
      </w:r>
    </w:p>
    <w:p w14:paraId="25E0F7A6">
      <w:pPr>
        <w:spacing w:before="100" w:beforeLines="0" w:after="100" w:afterLines="0"/>
        <w:jc w:val="left"/>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rPr>
        <w:t>五、一般公共预算财政拨款支出决算情况说明</w:t>
      </w:r>
    </w:p>
    <w:p w14:paraId="4EAF6C12">
      <w:pPr>
        <w:spacing w:before="100" w:beforeLines="0" w:after="100" w:afterLines="0"/>
        <w:jc w:val="left"/>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rPr>
        <w:t>六、一般公共预算财政拨款基本支出决算情况说明</w:t>
      </w:r>
    </w:p>
    <w:p w14:paraId="531801C7">
      <w:pPr>
        <w:spacing w:before="100" w:beforeLines="0" w:after="100" w:afterLines="0"/>
        <w:jc w:val="left"/>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rPr>
        <w:t>七、政府性基金预算财政拨款收支决算情况说明</w:t>
      </w:r>
    </w:p>
    <w:p w14:paraId="5FF4C8E5">
      <w:pPr>
        <w:spacing w:before="100" w:beforeLines="0" w:after="100" w:afterLines="0"/>
        <w:jc w:val="left"/>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rPr>
        <w:t>八、国有资本经营预算财政拨款支出情况说明</w:t>
      </w:r>
    </w:p>
    <w:p w14:paraId="1F7EEBFA">
      <w:pPr>
        <w:spacing w:before="100" w:beforeLines="0" w:after="100" w:afterLines="0"/>
        <w:jc w:val="left"/>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rPr>
        <w:t>九、财政拨款“三公”经费支出决算情况说明</w:t>
      </w:r>
    </w:p>
    <w:p w14:paraId="10709847">
      <w:pPr>
        <w:spacing w:before="100" w:beforeLines="0" w:after="100" w:afterLines="0"/>
        <w:jc w:val="left"/>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rPr>
        <w:t>十、机关运行经费支出情况说明</w:t>
      </w:r>
    </w:p>
    <w:p w14:paraId="5A1C57B2">
      <w:pPr>
        <w:spacing w:before="100" w:beforeLines="0" w:after="100" w:afterLines="0"/>
        <w:jc w:val="left"/>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rPr>
        <w:t>十一、政府采购支出情况说明</w:t>
      </w:r>
    </w:p>
    <w:p w14:paraId="40EA9F5B">
      <w:pPr>
        <w:spacing w:before="100" w:beforeLines="0" w:after="100" w:afterLines="0"/>
        <w:jc w:val="left"/>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rPr>
        <w:t>十二、国有资产占用情况说明</w:t>
      </w:r>
    </w:p>
    <w:p w14:paraId="46AB5CF9">
      <w:pPr>
        <w:pStyle w:val="2"/>
        <w:ind w:left="0" w:leftChars="0" w:firstLine="0" w:firstLineChars="0"/>
        <w:rPr>
          <w:rFonts w:hint="eastAsia"/>
          <w:lang w:val="zh-CN"/>
        </w:rPr>
      </w:pPr>
      <w:r>
        <w:rPr>
          <w:rFonts w:hint="eastAsia" w:ascii="华文仿宋" w:hAnsi="华文仿宋" w:eastAsia="华文仿宋" w:cs="华文仿宋"/>
          <w:sz w:val="32"/>
          <w:szCs w:val="32"/>
          <w:lang w:val="zh-CN"/>
        </w:rPr>
        <w:t>十三、其他需要说明的情况</w:t>
      </w:r>
    </w:p>
    <w:p w14:paraId="21AF6C5C">
      <w:pPr>
        <w:spacing w:before="100" w:beforeLines="0" w:after="100" w:afterLines="0"/>
        <w:jc w:val="left"/>
        <w:rPr>
          <w:rFonts w:hint="eastAsia" w:ascii="华文仿宋" w:hAnsi="华文仿宋" w:eastAsia="华文仿宋" w:cs="华文仿宋"/>
          <w:sz w:val="32"/>
          <w:szCs w:val="32"/>
          <w:lang w:val="zh-CN"/>
        </w:rPr>
      </w:pPr>
      <w:r>
        <w:rPr>
          <w:rFonts w:hint="eastAsia" w:ascii="华文仿宋" w:hAnsi="华文仿宋" w:eastAsia="华文仿宋" w:cs="华文仿宋"/>
          <w:b/>
          <w:sz w:val="32"/>
          <w:szCs w:val="32"/>
          <w:lang w:val="zh-CN"/>
        </w:rPr>
        <w:t>第四部分预算绩效情况说明</w:t>
      </w:r>
    </w:p>
    <w:p w14:paraId="00A52D81">
      <w:pPr>
        <w:spacing w:before="100" w:beforeLines="0" w:after="100" w:afterLines="0"/>
        <w:jc w:val="left"/>
        <w:rPr>
          <w:rFonts w:hint="eastAsia" w:ascii="华文仿宋" w:hAnsi="华文仿宋" w:eastAsia="华文仿宋" w:cs="华文仿宋"/>
          <w:sz w:val="32"/>
          <w:szCs w:val="32"/>
          <w:lang w:val="zh-CN"/>
        </w:rPr>
      </w:pPr>
      <w:r>
        <w:rPr>
          <w:rFonts w:hint="eastAsia" w:ascii="华文仿宋" w:hAnsi="华文仿宋" w:eastAsia="华文仿宋" w:cs="华文仿宋"/>
          <w:b/>
          <w:sz w:val="32"/>
          <w:szCs w:val="32"/>
          <w:lang w:val="zh-CN"/>
        </w:rPr>
        <w:t>第五部分名词解释</w:t>
      </w:r>
    </w:p>
    <w:p w14:paraId="50922FD5">
      <w:pPr>
        <w:spacing w:before="100" w:beforeLines="0" w:after="100" w:afterLines="0"/>
        <w:jc w:val="center"/>
        <w:rPr>
          <w:rFonts w:hint="eastAsia" w:ascii="宋体" w:hAnsi="宋体"/>
          <w:sz w:val="24"/>
          <w:szCs w:val="24"/>
          <w:lang w:val="zh-CN"/>
        </w:rPr>
      </w:pPr>
    </w:p>
    <w:p w14:paraId="0951C9BD">
      <w:pPr>
        <w:spacing w:before="100" w:beforeLines="0" w:after="100" w:afterLines="0"/>
        <w:jc w:val="center"/>
        <w:rPr>
          <w:rFonts w:hint="eastAsia" w:ascii="宋体" w:hAnsi="宋体"/>
          <w:sz w:val="24"/>
          <w:szCs w:val="24"/>
          <w:lang w:val="zh-CN"/>
        </w:rPr>
      </w:pPr>
    </w:p>
    <w:p w14:paraId="1040F2A8">
      <w:pPr>
        <w:spacing w:before="100" w:beforeLines="0" w:after="100" w:afterLines="0"/>
        <w:jc w:val="center"/>
        <w:rPr>
          <w:rFonts w:hint="eastAsia" w:ascii="宋体" w:hAnsi="宋体"/>
          <w:sz w:val="24"/>
          <w:szCs w:val="24"/>
          <w:lang w:val="zh-CN"/>
        </w:rPr>
      </w:pPr>
    </w:p>
    <w:p w14:paraId="67375DE1">
      <w:pPr>
        <w:spacing w:before="100" w:beforeLines="0" w:after="100" w:afterLines="0"/>
        <w:jc w:val="center"/>
        <w:rPr>
          <w:rFonts w:hint="eastAsia" w:ascii="宋体" w:hAnsi="宋体"/>
          <w:sz w:val="24"/>
          <w:szCs w:val="24"/>
          <w:lang w:val="zh-CN"/>
        </w:rPr>
      </w:pPr>
    </w:p>
    <w:p w14:paraId="3BD43E48">
      <w:pPr>
        <w:spacing w:before="100" w:beforeLines="0" w:after="100" w:afterLines="0"/>
        <w:jc w:val="center"/>
        <w:rPr>
          <w:rFonts w:hint="eastAsia" w:ascii="宋体" w:hAnsi="宋体"/>
          <w:sz w:val="24"/>
          <w:szCs w:val="24"/>
          <w:lang w:val="zh-CN"/>
        </w:rPr>
      </w:pPr>
    </w:p>
    <w:p w14:paraId="226F2C70">
      <w:pPr>
        <w:spacing w:before="100" w:beforeLines="0" w:after="100" w:afterLines="0"/>
        <w:jc w:val="center"/>
        <w:rPr>
          <w:rFonts w:hint="eastAsia" w:ascii="宋体" w:hAnsi="宋体"/>
          <w:sz w:val="24"/>
          <w:szCs w:val="24"/>
          <w:lang w:val="zh-CN"/>
        </w:rPr>
      </w:pPr>
    </w:p>
    <w:p w14:paraId="62FB00CE">
      <w:pPr>
        <w:spacing w:before="100" w:beforeLines="0" w:after="100" w:afterLines="0"/>
        <w:jc w:val="center"/>
        <w:rPr>
          <w:rFonts w:hint="eastAsia" w:ascii="宋体" w:hAnsi="宋体"/>
          <w:sz w:val="24"/>
          <w:szCs w:val="24"/>
          <w:lang w:val="zh-CN"/>
        </w:rPr>
      </w:pPr>
    </w:p>
    <w:p w14:paraId="184B6FB8">
      <w:pPr>
        <w:spacing w:before="100" w:beforeLines="0" w:after="100" w:afterLines="0"/>
        <w:jc w:val="center"/>
        <w:rPr>
          <w:rFonts w:hint="eastAsia" w:ascii="华文仿宋" w:hAnsi="华文仿宋" w:eastAsia="华文仿宋" w:cs="华文仿宋"/>
          <w:sz w:val="32"/>
          <w:szCs w:val="32"/>
          <w:lang w:val="zh-CN"/>
        </w:rPr>
      </w:pPr>
      <w:r>
        <w:rPr>
          <w:rFonts w:hint="eastAsia" w:ascii="华文仿宋" w:hAnsi="华文仿宋" w:eastAsia="华文仿宋" w:cs="华文仿宋"/>
          <w:b/>
          <w:sz w:val="32"/>
          <w:szCs w:val="32"/>
          <w:lang w:val="zh-CN"/>
        </w:rPr>
        <w:t>第一部分部门概况</w:t>
      </w:r>
    </w:p>
    <w:p w14:paraId="6AB4C3E4">
      <w:pPr>
        <w:spacing w:before="100" w:beforeLines="0" w:after="100" w:afterLines="0"/>
        <w:jc w:val="left"/>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rPr>
        <w:t>一、部门职责</w:t>
      </w:r>
    </w:p>
    <w:p w14:paraId="602F3EFA">
      <w:pPr>
        <w:pStyle w:val="4"/>
        <w:shd w:val="clear" w:color="auto" w:fill="FFFFFF"/>
        <w:adjustRightInd w:val="0"/>
        <w:spacing w:line="52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合作市人民法院是国家的审判机关，主要任务是依法独立行使审判权，保证国家法律的统一、正确实施。据此，合作市人民法院的主要职责：</w:t>
      </w:r>
    </w:p>
    <w:p w14:paraId="1A4452EB">
      <w:pPr>
        <w:pStyle w:val="4"/>
        <w:shd w:val="clear" w:color="auto" w:fill="FFFFFF"/>
        <w:adjustRightInd w:val="0"/>
        <w:spacing w:line="520" w:lineRule="atLeast"/>
        <w:ind w:firstLine="646"/>
        <w:rPr>
          <w:rFonts w:hint="eastAsia" w:ascii="华文仿宋" w:hAnsi="华文仿宋" w:eastAsia="华文仿宋" w:cs="华文仿宋"/>
          <w:color w:val="222222"/>
          <w:sz w:val="32"/>
          <w:szCs w:val="32"/>
        </w:rPr>
      </w:pPr>
      <w:r>
        <w:rPr>
          <w:rFonts w:hint="eastAsia" w:ascii="华文仿宋" w:hAnsi="华文仿宋" w:eastAsia="华文仿宋" w:cs="华文仿宋"/>
          <w:color w:val="222222"/>
          <w:sz w:val="32"/>
          <w:szCs w:val="32"/>
          <w:shd w:val="clear" w:color="auto" w:fill="FFFFFF"/>
        </w:rPr>
        <w:t>1.依法审理法律、法规规定的由市人民法院管辖的刑事、民事、行政案件。</w:t>
      </w:r>
    </w:p>
    <w:p w14:paraId="0DBB4912">
      <w:pPr>
        <w:pStyle w:val="4"/>
        <w:shd w:val="clear" w:color="auto" w:fill="FFFFFF"/>
        <w:adjustRightInd w:val="0"/>
        <w:spacing w:line="520" w:lineRule="atLeast"/>
        <w:ind w:firstLine="646"/>
        <w:rPr>
          <w:rFonts w:hint="eastAsia" w:ascii="华文仿宋" w:hAnsi="华文仿宋" w:eastAsia="华文仿宋" w:cs="华文仿宋"/>
          <w:color w:val="222222"/>
          <w:sz w:val="32"/>
          <w:szCs w:val="32"/>
        </w:rPr>
      </w:pPr>
      <w:r>
        <w:rPr>
          <w:rFonts w:hint="eastAsia" w:ascii="华文仿宋" w:hAnsi="华文仿宋" w:eastAsia="华文仿宋" w:cs="华文仿宋"/>
          <w:color w:val="222222"/>
          <w:sz w:val="32"/>
          <w:szCs w:val="32"/>
          <w:shd w:val="clear" w:color="auto" w:fill="FFFFFF"/>
        </w:rPr>
        <w:t>2.依照审判监督程序，审理告诉、申诉的刑事、民事案件。</w:t>
      </w:r>
    </w:p>
    <w:p w14:paraId="6E066436">
      <w:pPr>
        <w:pStyle w:val="4"/>
        <w:shd w:val="clear" w:color="auto" w:fill="FFFFFF"/>
        <w:adjustRightInd w:val="0"/>
        <w:spacing w:line="520" w:lineRule="atLeast"/>
        <w:ind w:firstLine="646"/>
        <w:rPr>
          <w:rFonts w:hint="eastAsia" w:ascii="华文仿宋" w:hAnsi="华文仿宋" w:eastAsia="华文仿宋" w:cs="华文仿宋"/>
          <w:color w:val="222222"/>
          <w:sz w:val="32"/>
          <w:szCs w:val="32"/>
          <w:shd w:val="clear" w:color="auto" w:fill="FFFFFF"/>
        </w:rPr>
      </w:pPr>
      <w:r>
        <w:rPr>
          <w:rFonts w:hint="eastAsia" w:ascii="华文仿宋" w:hAnsi="华文仿宋" w:eastAsia="华文仿宋" w:cs="华文仿宋"/>
          <w:color w:val="222222"/>
          <w:sz w:val="32"/>
          <w:szCs w:val="32"/>
          <w:shd w:val="clear" w:color="auto" w:fill="FFFFFF"/>
        </w:rPr>
        <w:t>3.依法审理由中级人民法院指定再审的案件和人民检察院抗诉的案件。受理当事人不服本院发生法律效力的判决、裁定并提起申诉的刑事、行政诉讼案件。</w:t>
      </w:r>
    </w:p>
    <w:p w14:paraId="3290BA7D">
      <w:pPr>
        <w:pStyle w:val="4"/>
        <w:shd w:val="clear" w:color="auto" w:fill="FFFFFF"/>
        <w:adjustRightInd w:val="0"/>
        <w:spacing w:line="520" w:lineRule="atLeast"/>
        <w:ind w:firstLine="646"/>
        <w:rPr>
          <w:rFonts w:hint="eastAsia" w:ascii="华文仿宋" w:hAnsi="华文仿宋" w:eastAsia="华文仿宋" w:cs="华文仿宋"/>
          <w:color w:val="222222"/>
          <w:sz w:val="32"/>
          <w:szCs w:val="32"/>
        </w:rPr>
      </w:pPr>
      <w:r>
        <w:rPr>
          <w:rFonts w:hint="eastAsia" w:ascii="华文仿宋" w:hAnsi="华文仿宋" w:eastAsia="华文仿宋" w:cs="华文仿宋"/>
          <w:color w:val="222222"/>
          <w:sz w:val="32"/>
          <w:szCs w:val="32"/>
          <w:shd w:val="clear" w:color="auto" w:fill="FFFFFF"/>
        </w:rPr>
        <w:t>4.依法行使执行权和司法决定权，执行本院已经发生法律效力的判决、裁决以及国家行政机关申请执行的案件和外地法院委托执行的案件。</w:t>
      </w:r>
    </w:p>
    <w:p w14:paraId="72AB521E">
      <w:pPr>
        <w:pStyle w:val="4"/>
        <w:shd w:val="clear" w:color="auto" w:fill="FFFFFF"/>
        <w:adjustRightInd w:val="0"/>
        <w:spacing w:line="520" w:lineRule="atLeast"/>
        <w:ind w:firstLine="646"/>
        <w:rPr>
          <w:rFonts w:hint="eastAsia" w:ascii="华文仿宋" w:hAnsi="华文仿宋" w:eastAsia="华文仿宋" w:cs="华文仿宋"/>
          <w:color w:val="222222"/>
          <w:sz w:val="32"/>
          <w:szCs w:val="32"/>
        </w:rPr>
      </w:pPr>
      <w:r>
        <w:rPr>
          <w:rFonts w:hint="eastAsia" w:ascii="华文仿宋" w:hAnsi="华文仿宋" w:eastAsia="华文仿宋" w:cs="华文仿宋"/>
          <w:color w:val="222222"/>
          <w:sz w:val="32"/>
          <w:szCs w:val="32"/>
          <w:shd w:val="clear" w:color="auto" w:fill="FFFFFF"/>
        </w:rPr>
        <w:t>5.对法律规定、规章等草案提出意见，对案件审理中发现的问题提出司法建议。</w:t>
      </w:r>
    </w:p>
    <w:p w14:paraId="3AB70834">
      <w:pPr>
        <w:pStyle w:val="4"/>
        <w:shd w:val="clear" w:color="auto" w:fill="FFFFFF"/>
        <w:adjustRightInd w:val="0"/>
        <w:spacing w:line="520" w:lineRule="atLeast"/>
        <w:ind w:firstLine="646"/>
        <w:rPr>
          <w:rFonts w:hint="eastAsia" w:ascii="华文仿宋" w:hAnsi="华文仿宋" w:eastAsia="华文仿宋" w:cs="华文仿宋"/>
          <w:color w:val="222222"/>
          <w:sz w:val="32"/>
          <w:szCs w:val="32"/>
        </w:rPr>
      </w:pPr>
      <w:r>
        <w:rPr>
          <w:rFonts w:hint="eastAsia" w:ascii="华文仿宋" w:hAnsi="华文仿宋" w:eastAsia="华文仿宋" w:cs="华文仿宋"/>
          <w:color w:val="222222"/>
          <w:sz w:val="32"/>
          <w:szCs w:val="32"/>
          <w:shd w:val="clear" w:color="auto" w:fill="FFFFFF"/>
        </w:rPr>
        <w:t>6.参与社会治安综合治理工作，在审判工作中宣传法制、教育公民自觉遵守宪法、法律、法规和社会公德。</w:t>
      </w:r>
    </w:p>
    <w:p w14:paraId="5D7CCDA1">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二、机构设置</w:t>
      </w:r>
    </w:p>
    <w:p w14:paraId="2F912A21">
      <w:pPr>
        <w:pStyle w:val="4"/>
        <w:shd w:val="clear" w:color="auto" w:fill="FFFFFF"/>
        <w:snapToGrid w:val="0"/>
        <w:spacing w:line="520" w:lineRule="exact"/>
        <w:ind w:firstLine="646"/>
        <w:rPr>
          <w:rFonts w:hint="eastAsia" w:ascii="华文仿宋" w:hAnsi="华文仿宋" w:eastAsia="华文仿宋" w:cs="华文仿宋"/>
          <w:color w:val="222222"/>
          <w:sz w:val="32"/>
          <w:szCs w:val="32"/>
          <w:lang w:eastAsia="zh-CN"/>
        </w:rPr>
      </w:pPr>
      <w:r>
        <w:rPr>
          <w:rFonts w:hint="eastAsia" w:ascii="华文仿宋" w:hAnsi="华文仿宋" w:eastAsia="华文仿宋" w:cs="华文仿宋"/>
          <w:color w:val="222222"/>
          <w:sz w:val="32"/>
          <w:szCs w:val="32"/>
          <w:shd w:val="clear" w:color="auto" w:fill="FFFFFF"/>
        </w:rPr>
        <w:t>合作市人民法院属财政全额拨款的行政单位，现内设</w:t>
      </w:r>
      <w:r>
        <w:rPr>
          <w:rFonts w:hint="eastAsia" w:ascii="华文仿宋" w:hAnsi="华文仿宋" w:eastAsia="华文仿宋" w:cs="华文仿宋"/>
          <w:color w:val="222222"/>
          <w:sz w:val="32"/>
          <w:szCs w:val="32"/>
          <w:shd w:val="clear" w:color="auto" w:fill="FFFFFF"/>
          <w:lang w:val="en-US" w:eastAsia="zh-CN"/>
        </w:rPr>
        <w:t>8</w:t>
      </w:r>
      <w:r>
        <w:rPr>
          <w:rFonts w:hint="eastAsia" w:ascii="华文仿宋" w:hAnsi="华文仿宋" w:eastAsia="华文仿宋" w:cs="华文仿宋"/>
          <w:color w:val="222222"/>
          <w:sz w:val="32"/>
          <w:szCs w:val="32"/>
          <w:shd w:val="clear" w:color="auto" w:fill="FFFFFF"/>
        </w:rPr>
        <w:t>个科室，具体包括</w:t>
      </w:r>
      <w:r>
        <w:rPr>
          <w:rFonts w:hint="eastAsia" w:ascii="华文仿宋" w:hAnsi="华文仿宋" w:eastAsia="华文仿宋" w:cs="华文仿宋"/>
          <w:color w:val="222222"/>
          <w:sz w:val="32"/>
          <w:szCs w:val="32"/>
          <w:shd w:val="clear" w:color="auto" w:fill="FFFFFF"/>
          <w:lang w:eastAsia="zh-CN"/>
        </w:rPr>
        <w:t>综合审判庭、立案庭、执行局、司法警察大队、政工科、综合办公室</w:t>
      </w:r>
      <w:r>
        <w:rPr>
          <w:rFonts w:hint="eastAsia" w:ascii="华文仿宋" w:hAnsi="华文仿宋" w:eastAsia="华文仿宋" w:cs="华文仿宋"/>
          <w:color w:val="222222"/>
          <w:sz w:val="32"/>
          <w:szCs w:val="32"/>
          <w:shd w:val="clear" w:color="auto" w:fill="FFFFFF"/>
        </w:rPr>
        <w:t>、</w:t>
      </w:r>
      <w:r>
        <w:rPr>
          <w:rFonts w:hint="eastAsia" w:ascii="华文仿宋" w:hAnsi="华文仿宋" w:eastAsia="华文仿宋" w:cs="华文仿宋"/>
          <w:color w:val="222222"/>
          <w:sz w:val="32"/>
          <w:szCs w:val="32"/>
          <w:shd w:val="clear" w:color="auto" w:fill="FFFFFF"/>
          <w:lang w:eastAsia="zh-CN"/>
        </w:rPr>
        <w:t>审判监督庭、审判管理办公室。</w:t>
      </w:r>
    </w:p>
    <w:p w14:paraId="2980C492">
      <w:pPr>
        <w:spacing w:before="100" w:beforeLines="0" w:after="100" w:afterLines="0"/>
        <w:jc w:val="center"/>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zh-CN"/>
        </w:rPr>
        <w:t>第二部分2023年度部门决算表</w:t>
      </w:r>
    </w:p>
    <w:p w14:paraId="41287398">
      <w:pPr>
        <w:spacing w:before="100" w:beforeLines="0" w:after="100" w:afterLines="0"/>
        <w:jc w:val="left"/>
        <w:rPr>
          <w:rFonts w:hint="eastAsia" w:ascii="宋体" w:hAnsi="宋体"/>
          <w:color w:val="auto"/>
          <w:sz w:val="24"/>
          <w:szCs w:val="24"/>
          <w:lang w:val="zh-CN"/>
        </w:rPr>
      </w:pPr>
      <w:r>
        <w:rPr>
          <w:rFonts w:hint="eastAsia" w:ascii="华文仿宋" w:hAnsi="华文仿宋" w:eastAsia="华文仿宋" w:cs="华文仿宋"/>
          <w:color w:val="auto"/>
          <w:sz w:val="32"/>
          <w:szCs w:val="32"/>
          <w:lang w:val="zh-CN"/>
        </w:rPr>
        <w:t>一、收入支出决算总表（见附件1：Z01收入支出决算总表）；</w:t>
      </w:r>
    </w:p>
    <w:p w14:paraId="576FBD26">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二、收入决算表（见附件1：Z03收入决算表）；</w:t>
      </w:r>
    </w:p>
    <w:p w14:paraId="7054E23D">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三、支出决算表（见附件1：Z0</w:t>
      </w:r>
      <w:r>
        <w:rPr>
          <w:rFonts w:hint="eastAsia" w:ascii="华文仿宋" w:hAnsi="华文仿宋" w:eastAsia="华文仿宋" w:cs="华文仿宋"/>
          <w:color w:val="auto"/>
          <w:sz w:val="32"/>
          <w:szCs w:val="32"/>
          <w:lang w:val="en-US" w:eastAsia="zh-CN"/>
        </w:rPr>
        <w:t>4</w:t>
      </w:r>
      <w:r>
        <w:rPr>
          <w:rFonts w:hint="eastAsia" w:ascii="华文仿宋" w:hAnsi="华文仿宋" w:eastAsia="华文仿宋" w:cs="华文仿宋"/>
          <w:color w:val="auto"/>
          <w:sz w:val="32"/>
          <w:szCs w:val="32"/>
          <w:lang w:val="zh-CN"/>
        </w:rPr>
        <w:t>支出决算表）；</w:t>
      </w:r>
    </w:p>
    <w:p w14:paraId="5A40EDC6">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四、财政拨款收入支出决算总表（见附件1：Z01_1财政拨款收入支出决算总表）；</w:t>
      </w:r>
    </w:p>
    <w:p w14:paraId="245FAB85">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五、一般公共预算财政拨款支出决算表（见附件1：Z07一般公共预算财政拨款支出决算表）；</w:t>
      </w:r>
    </w:p>
    <w:p w14:paraId="11E54B28">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六、一般公共预算财政拨款基本支出决算明细表（见附件1：Z08_1一般公共预算财政拨款基本支出决算明细表）；</w:t>
      </w:r>
    </w:p>
    <w:p w14:paraId="25EF190D">
      <w:pPr>
        <w:pStyle w:val="4"/>
        <w:shd w:val="clear" w:color="auto" w:fill="FFFFFF"/>
        <w:snapToGrid w:val="0"/>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七、政府性基金预算财政拨款收入支出决算表（见附件1:Z09政府性基金预算财政拨款收入支出决算表），</w:t>
      </w:r>
      <w:r>
        <w:rPr>
          <w:rFonts w:hint="eastAsia" w:ascii="华文仿宋" w:hAnsi="华文仿宋" w:eastAsia="华文仿宋" w:cs="华文仿宋"/>
          <w:sz w:val="32"/>
          <w:szCs w:val="32"/>
        </w:rPr>
        <w:t>本部门没有相关数据，故本表无数据</w:t>
      </w:r>
      <w:r>
        <w:rPr>
          <w:rFonts w:hint="eastAsia" w:ascii="华文仿宋" w:hAnsi="华文仿宋" w:eastAsia="华文仿宋" w:cs="华文仿宋"/>
          <w:sz w:val="32"/>
          <w:szCs w:val="32"/>
          <w:lang w:eastAsia="zh-CN"/>
        </w:rPr>
        <w:t>。</w:t>
      </w:r>
    </w:p>
    <w:p w14:paraId="1734B76D">
      <w:pPr>
        <w:pStyle w:val="4"/>
        <w:shd w:val="clear" w:color="auto" w:fill="FFFFFF"/>
        <w:snapToGrid w:val="0"/>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八、国有资本经营预算财政拨款支出决算表（见附件1：Z11国有资本经营预算财政拨款支出决算表），</w:t>
      </w:r>
      <w:r>
        <w:rPr>
          <w:rFonts w:hint="eastAsia" w:ascii="华文仿宋" w:hAnsi="华文仿宋" w:eastAsia="华文仿宋" w:cs="华文仿宋"/>
          <w:sz w:val="32"/>
          <w:szCs w:val="32"/>
        </w:rPr>
        <w:t>本部门没有相关数据，故本表无数据</w:t>
      </w:r>
      <w:r>
        <w:rPr>
          <w:rFonts w:hint="eastAsia" w:ascii="华文仿宋" w:hAnsi="华文仿宋" w:eastAsia="华文仿宋" w:cs="华文仿宋"/>
          <w:sz w:val="32"/>
          <w:szCs w:val="32"/>
          <w:lang w:eastAsia="zh-CN"/>
        </w:rPr>
        <w:t>。</w:t>
      </w:r>
    </w:p>
    <w:p w14:paraId="0F17DC8B">
      <w:pPr>
        <w:spacing w:before="100" w:beforeLines="0" w:after="100" w:afterLines="0"/>
        <w:ind w:firstLine="640" w:firstLineChars="20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九、财政拨款“三公”经费支出决算表（见附表1：F03财政拨款“三公”经费支出决算表</w:t>
      </w:r>
      <w:r>
        <w:rPr>
          <w:rFonts w:hint="eastAsia" w:ascii="华文仿宋" w:hAnsi="华文仿宋" w:eastAsia="华文仿宋" w:cs="华文仿宋"/>
          <w:color w:val="auto"/>
          <w:sz w:val="32"/>
          <w:szCs w:val="32"/>
          <w:lang w:val="en-US" w:eastAsia="zh-CN"/>
        </w:rPr>
        <w:t>)</w:t>
      </w:r>
    </w:p>
    <w:p w14:paraId="75F8E564">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详见附件</w:t>
      </w:r>
      <w:r>
        <w:rPr>
          <w:rFonts w:hint="eastAsia" w:ascii="华文仿宋" w:hAnsi="华文仿宋" w:eastAsia="华文仿宋" w:cs="华文仿宋"/>
          <w:color w:val="auto"/>
          <w:sz w:val="32"/>
          <w:szCs w:val="32"/>
          <w:lang w:val="en-US" w:eastAsia="zh-CN"/>
        </w:rPr>
        <w:t>1</w:t>
      </w:r>
    </w:p>
    <w:p w14:paraId="6B34BD58">
      <w:pPr>
        <w:spacing w:before="100" w:beforeLines="0" w:after="100" w:afterLines="0"/>
        <w:jc w:val="center"/>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zh-CN"/>
        </w:rPr>
        <w:t>第三部分2023年度部门决算情况说明</w:t>
      </w:r>
    </w:p>
    <w:p w14:paraId="3D89010D">
      <w:pPr>
        <w:spacing w:before="100" w:beforeLines="0" w:after="100" w:afterLines="0"/>
        <w:jc w:val="left"/>
        <w:rPr>
          <w:rFonts w:hint="eastAsia" w:ascii="华文仿宋" w:hAnsi="华文仿宋" w:eastAsia="华文仿宋" w:cs="华文仿宋"/>
          <w:b/>
          <w:bCs/>
          <w:color w:val="auto"/>
          <w:sz w:val="32"/>
          <w:szCs w:val="32"/>
          <w:lang w:val="zh-CN" w:eastAsia="zh-CN"/>
        </w:rPr>
      </w:pPr>
      <w:r>
        <w:rPr>
          <w:rFonts w:hint="eastAsia" w:ascii="华文仿宋" w:hAnsi="华文仿宋" w:eastAsia="华文仿宋" w:cs="华文仿宋"/>
          <w:b/>
          <w:bCs/>
          <w:color w:val="auto"/>
          <w:sz w:val="32"/>
          <w:szCs w:val="32"/>
          <w:lang w:val="zh-CN" w:eastAsia="zh-CN"/>
        </w:rPr>
        <w:t>一、收入支出决算总体情况说明</w:t>
      </w:r>
    </w:p>
    <w:p w14:paraId="29855FAF">
      <w:pPr>
        <w:spacing w:before="100" w:beforeLines="0" w:after="100" w:afterLines="0"/>
        <w:jc w:val="left"/>
        <w:rPr>
          <w:rFonts w:hint="default"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zh-CN"/>
        </w:rPr>
        <w:t>2023年度收、支总计</w:t>
      </w:r>
      <w:r>
        <w:rPr>
          <w:rFonts w:hint="eastAsia" w:ascii="华文仿宋" w:hAnsi="华文仿宋" w:eastAsia="华文仿宋" w:cs="华文仿宋"/>
          <w:color w:val="auto"/>
          <w:sz w:val="32"/>
          <w:szCs w:val="32"/>
          <w:lang w:val="en-US"/>
        </w:rPr>
        <w:t>均为</w:t>
      </w:r>
      <w:r>
        <w:rPr>
          <w:rFonts w:hint="eastAsia" w:ascii="华文仿宋" w:hAnsi="华文仿宋" w:eastAsia="华文仿宋" w:cs="华文仿宋"/>
          <w:color w:val="auto"/>
          <w:sz w:val="32"/>
          <w:szCs w:val="32"/>
          <w:lang w:val="zh-CN"/>
        </w:rPr>
        <w:t>1711.79万元。</w:t>
      </w:r>
      <w:r>
        <w:rPr>
          <w:rFonts w:hint="eastAsia" w:ascii="华文仿宋" w:hAnsi="华文仿宋" w:eastAsia="华文仿宋" w:cs="华文仿宋"/>
          <w:color w:val="auto"/>
          <w:sz w:val="32"/>
          <w:szCs w:val="32"/>
          <w:lang w:val="en-US"/>
        </w:rPr>
        <w:t>与上年度相比,</w:t>
      </w:r>
      <w:r>
        <w:rPr>
          <w:rFonts w:hint="eastAsia" w:ascii="华文仿宋" w:hAnsi="华文仿宋" w:eastAsia="华文仿宋" w:cs="华文仿宋"/>
          <w:color w:val="auto"/>
          <w:sz w:val="32"/>
          <w:szCs w:val="32"/>
          <w:lang w:val="zh-CN"/>
        </w:rPr>
        <w:t>收、支</w:t>
      </w:r>
      <w:r>
        <w:rPr>
          <w:rFonts w:hint="eastAsia" w:ascii="华文仿宋" w:hAnsi="华文仿宋" w:eastAsia="华文仿宋" w:cs="华文仿宋"/>
          <w:color w:val="auto"/>
          <w:sz w:val="32"/>
          <w:szCs w:val="32"/>
          <w:lang w:val="en-US"/>
        </w:rPr>
        <w:t>总计各</w:t>
      </w:r>
      <w:r>
        <w:rPr>
          <w:rFonts w:hint="eastAsia" w:ascii="华文仿宋" w:hAnsi="华文仿宋" w:eastAsia="华文仿宋" w:cs="华文仿宋"/>
          <w:color w:val="auto"/>
          <w:sz w:val="32"/>
          <w:szCs w:val="32"/>
          <w:lang w:val="zh-CN"/>
        </w:rPr>
        <w:t>减少692.04万元,下降28.79%,主要原因是：</w:t>
      </w:r>
      <w:r>
        <w:rPr>
          <w:rFonts w:hint="eastAsia" w:ascii="华文仿宋" w:hAnsi="华文仿宋" w:eastAsia="华文仿宋" w:cs="华文仿宋"/>
          <w:color w:val="auto"/>
          <w:sz w:val="32"/>
          <w:szCs w:val="32"/>
          <w:lang w:val="en-US" w:eastAsia="zh-CN"/>
        </w:rPr>
        <w:t>1、2022年度有“两庭建设”项目资金拨付，2023年度无该项目资金拨付；2、上年度结转资金减少；3、2023年度退休1人，相关经费支出减少。</w:t>
      </w:r>
    </w:p>
    <w:p w14:paraId="1B808B5C">
      <w:pPr>
        <w:spacing w:before="100" w:beforeLines="0" w:after="100" w:afterLines="0"/>
        <w:jc w:val="left"/>
        <w:rPr>
          <w:rFonts w:hint="eastAsia" w:ascii="华文仿宋" w:hAnsi="华文仿宋" w:eastAsia="华文仿宋" w:cs="华文仿宋"/>
          <w:b/>
          <w:bCs/>
          <w:color w:val="auto"/>
          <w:sz w:val="32"/>
          <w:szCs w:val="32"/>
          <w:lang w:val="zh-CN" w:eastAsia="zh-CN"/>
        </w:rPr>
      </w:pPr>
      <w:r>
        <w:rPr>
          <w:rFonts w:hint="eastAsia" w:ascii="华文仿宋" w:hAnsi="华文仿宋" w:eastAsia="华文仿宋" w:cs="华文仿宋"/>
          <w:b/>
          <w:bCs/>
          <w:color w:val="auto"/>
          <w:sz w:val="32"/>
          <w:szCs w:val="32"/>
          <w:lang w:val="zh-CN" w:eastAsia="zh-CN"/>
        </w:rPr>
        <w:t>二、收入决算情况说明</w:t>
      </w:r>
    </w:p>
    <w:p w14:paraId="321887BA">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2023年度收入合计1500.7</w:t>
      </w:r>
      <w:r>
        <w:rPr>
          <w:rFonts w:hint="eastAsia" w:ascii="华文仿宋" w:hAnsi="华文仿宋" w:eastAsia="华文仿宋" w:cs="华文仿宋"/>
          <w:color w:val="auto"/>
          <w:sz w:val="32"/>
          <w:szCs w:val="32"/>
          <w:lang w:val="en-US" w:eastAsia="zh-CN"/>
        </w:rPr>
        <w:t>1</w:t>
      </w:r>
      <w:r>
        <w:rPr>
          <w:rFonts w:hint="eastAsia" w:ascii="华文仿宋" w:hAnsi="华文仿宋" w:eastAsia="华文仿宋" w:cs="华文仿宋"/>
          <w:color w:val="auto"/>
          <w:sz w:val="32"/>
          <w:szCs w:val="32"/>
          <w:lang w:val="zh-CN"/>
        </w:rPr>
        <w:t>万元,其中：财政拨款收入1355.16万元,占90.30%；</w:t>
      </w:r>
      <w:r>
        <w:rPr>
          <w:rFonts w:hint="eastAsia" w:ascii="华文仿宋" w:hAnsi="华文仿宋" w:eastAsia="华文仿宋" w:cs="华文仿宋"/>
          <w:color w:val="auto"/>
          <w:sz w:val="32"/>
          <w:szCs w:val="32"/>
          <w:lang w:val="en-US"/>
        </w:rPr>
        <w:t>其他</w:t>
      </w:r>
      <w:r>
        <w:rPr>
          <w:rFonts w:hint="eastAsia" w:ascii="华文仿宋" w:hAnsi="华文仿宋" w:eastAsia="华文仿宋" w:cs="华文仿宋"/>
          <w:color w:val="auto"/>
          <w:sz w:val="32"/>
          <w:szCs w:val="32"/>
          <w:lang w:val="zh-CN"/>
        </w:rPr>
        <w:t>收入145.56万元,占9.70%。</w:t>
      </w:r>
    </w:p>
    <w:p w14:paraId="5AB0216F">
      <w:pPr>
        <w:spacing w:before="100" w:beforeLines="0" w:after="100" w:afterLines="0"/>
        <w:jc w:val="left"/>
        <w:rPr>
          <w:rFonts w:hint="eastAsia" w:ascii="华文仿宋" w:hAnsi="华文仿宋" w:eastAsia="华文仿宋" w:cs="华文仿宋"/>
          <w:b/>
          <w:bCs/>
          <w:color w:val="auto"/>
          <w:sz w:val="32"/>
          <w:szCs w:val="32"/>
          <w:lang w:val="zh-CN" w:eastAsia="zh-CN"/>
        </w:rPr>
      </w:pPr>
      <w:r>
        <w:rPr>
          <w:rFonts w:hint="eastAsia" w:ascii="华文仿宋" w:hAnsi="华文仿宋" w:eastAsia="华文仿宋" w:cs="华文仿宋"/>
          <w:b/>
          <w:bCs/>
          <w:color w:val="auto"/>
          <w:sz w:val="32"/>
          <w:szCs w:val="32"/>
          <w:lang w:val="zh-CN" w:eastAsia="zh-CN"/>
        </w:rPr>
        <w:t>三、支出决算情况说明</w:t>
      </w:r>
    </w:p>
    <w:p w14:paraId="09DA7C46">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2023年度支出合计1561.43万元,其中：基本支出1134.79万元,占72.68%；项目支出426.64万元,占27.32%。</w:t>
      </w:r>
    </w:p>
    <w:p w14:paraId="600746A1">
      <w:pPr>
        <w:spacing w:before="100" w:beforeLines="0" w:after="100" w:afterLines="0"/>
        <w:jc w:val="left"/>
        <w:rPr>
          <w:rFonts w:hint="eastAsia" w:ascii="华文仿宋" w:hAnsi="华文仿宋" w:eastAsia="华文仿宋" w:cs="华文仿宋"/>
          <w:b/>
          <w:bCs/>
          <w:color w:val="auto"/>
          <w:sz w:val="32"/>
          <w:szCs w:val="32"/>
          <w:lang w:val="zh-CN" w:eastAsia="zh-CN"/>
        </w:rPr>
      </w:pPr>
      <w:r>
        <w:rPr>
          <w:rFonts w:hint="eastAsia" w:ascii="华文仿宋" w:hAnsi="华文仿宋" w:eastAsia="华文仿宋" w:cs="华文仿宋"/>
          <w:b/>
          <w:bCs/>
          <w:color w:val="auto"/>
          <w:sz w:val="32"/>
          <w:szCs w:val="32"/>
          <w:lang w:val="zh-CN" w:eastAsia="zh-CN"/>
        </w:rPr>
        <w:t>四、财政拨款收入支出决算总体情况说明</w:t>
      </w:r>
    </w:p>
    <w:p w14:paraId="3E1CEF0D">
      <w:pPr>
        <w:spacing w:before="100" w:beforeLines="0" w:after="100" w:afterLines="0"/>
        <w:jc w:val="left"/>
        <w:rPr>
          <w:rFonts w:hint="default"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zh-CN"/>
        </w:rPr>
        <w:t>2023年度财政拨款收、支总计</w:t>
      </w:r>
      <w:r>
        <w:rPr>
          <w:rFonts w:hint="eastAsia" w:ascii="华文仿宋" w:hAnsi="华文仿宋" w:eastAsia="华文仿宋" w:cs="华文仿宋"/>
          <w:color w:val="auto"/>
          <w:sz w:val="32"/>
          <w:szCs w:val="32"/>
          <w:lang w:val="en-US"/>
        </w:rPr>
        <w:t>均为</w:t>
      </w:r>
      <w:r>
        <w:rPr>
          <w:rFonts w:hint="eastAsia" w:ascii="华文仿宋" w:hAnsi="华文仿宋" w:eastAsia="华文仿宋" w:cs="华文仿宋"/>
          <w:color w:val="auto"/>
          <w:sz w:val="32"/>
          <w:szCs w:val="32"/>
          <w:lang w:val="zh-CN"/>
        </w:rPr>
        <w:t>1483.37万元。与</w:t>
      </w:r>
      <w:r>
        <w:rPr>
          <w:rFonts w:hint="eastAsia" w:ascii="华文仿宋" w:hAnsi="华文仿宋" w:eastAsia="华文仿宋" w:cs="华文仿宋"/>
          <w:color w:val="auto"/>
          <w:sz w:val="32"/>
          <w:szCs w:val="32"/>
          <w:lang w:val="en-US"/>
        </w:rPr>
        <w:t>上</w:t>
      </w:r>
      <w:r>
        <w:rPr>
          <w:rFonts w:hint="eastAsia" w:ascii="华文仿宋" w:hAnsi="华文仿宋" w:eastAsia="华文仿宋" w:cs="华文仿宋"/>
          <w:color w:val="auto"/>
          <w:sz w:val="32"/>
          <w:szCs w:val="32"/>
          <w:lang w:val="zh-CN"/>
        </w:rPr>
        <w:t>年相比,各减少701.8万元,下降32.12%。主要原因是</w:t>
      </w:r>
      <w:r>
        <w:rPr>
          <w:rFonts w:hint="eastAsia" w:ascii="华文仿宋" w:hAnsi="华文仿宋" w:eastAsia="华文仿宋" w:cs="华文仿宋"/>
          <w:color w:val="auto"/>
          <w:sz w:val="32"/>
          <w:szCs w:val="32"/>
          <w:lang w:val="en-US" w:eastAsia="zh-CN"/>
        </w:rPr>
        <w:t>1、</w:t>
      </w:r>
      <w:r>
        <w:rPr>
          <w:rFonts w:hint="eastAsia" w:ascii="华文仿宋" w:hAnsi="华文仿宋" w:eastAsia="华文仿宋" w:cs="华文仿宋"/>
          <w:color w:val="auto"/>
          <w:sz w:val="32"/>
          <w:szCs w:val="32"/>
          <w:lang w:val="zh-CN"/>
        </w:rPr>
        <w:t>“两庭建设”项目资金拨款减少。</w:t>
      </w:r>
      <w:r>
        <w:rPr>
          <w:rFonts w:hint="eastAsia" w:ascii="华文仿宋" w:hAnsi="华文仿宋" w:eastAsia="华文仿宋" w:cs="华文仿宋"/>
          <w:color w:val="auto"/>
          <w:sz w:val="32"/>
          <w:szCs w:val="32"/>
          <w:lang w:val="en-US" w:eastAsia="zh-CN"/>
        </w:rPr>
        <w:t>2、2023年度退休1人，人员经费相应减少。</w:t>
      </w:r>
    </w:p>
    <w:p w14:paraId="5C4C7EC4">
      <w:pPr>
        <w:spacing w:before="100" w:beforeLines="0" w:after="100" w:afterLines="0"/>
        <w:jc w:val="left"/>
        <w:rPr>
          <w:rFonts w:hint="eastAsia" w:ascii="华文仿宋" w:hAnsi="华文仿宋" w:eastAsia="华文仿宋" w:cs="华文仿宋"/>
          <w:b/>
          <w:bCs/>
          <w:color w:val="auto"/>
          <w:sz w:val="32"/>
          <w:szCs w:val="32"/>
          <w:lang w:val="zh-CN" w:eastAsia="zh-CN"/>
        </w:rPr>
      </w:pPr>
      <w:r>
        <w:rPr>
          <w:rFonts w:hint="eastAsia" w:ascii="华文仿宋" w:hAnsi="华文仿宋" w:eastAsia="华文仿宋" w:cs="华文仿宋"/>
          <w:b/>
          <w:bCs/>
          <w:color w:val="auto"/>
          <w:sz w:val="32"/>
          <w:szCs w:val="32"/>
          <w:lang w:val="zh-CN" w:eastAsia="zh-CN"/>
        </w:rPr>
        <w:t>五、一般公共预算财政拨款支出决算情况说明</w:t>
      </w:r>
    </w:p>
    <w:p w14:paraId="3200B620">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（一）一般公共预算财政拨款支出决算总体情况</w:t>
      </w:r>
    </w:p>
    <w:p w14:paraId="417D1D2E">
      <w:pPr>
        <w:spacing w:before="100" w:beforeLines="0" w:after="100" w:afterLines="0"/>
        <w:jc w:val="left"/>
        <w:rPr>
          <w:rFonts w:hint="eastAsia" w:ascii="宋体" w:hAnsi="宋体"/>
          <w:color w:val="FF0000"/>
          <w:sz w:val="24"/>
          <w:szCs w:val="24"/>
          <w:lang w:val="zh-CN"/>
        </w:rPr>
      </w:pPr>
      <w:r>
        <w:rPr>
          <w:rFonts w:hint="eastAsia" w:ascii="华文仿宋" w:hAnsi="华文仿宋" w:eastAsia="华文仿宋" w:cs="华文仿宋"/>
          <w:color w:val="auto"/>
          <w:sz w:val="32"/>
          <w:szCs w:val="32"/>
          <w:lang w:val="zh-CN"/>
        </w:rPr>
        <w:t>2023年度一般公共预算财政拨款支出1367.93万元,较上年决算数减少683.69万元,下降33.32%。主要原因是：：</w:t>
      </w:r>
      <w:r>
        <w:rPr>
          <w:rFonts w:hint="eastAsia" w:ascii="华文仿宋" w:hAnsi="华文仿宋" w:eastAsia="华文仿宋" w:cs="华文仿宋"/>
          <w:color w:val="auto"/>
          <w:sz w:val="32"/>
          <w:szCs w:val="32"/>
          <w:lang w:val="en-US" w:eastAsia="zh-CN"/>
        </w:rPr>
        <w:t>1、2022年度有“两庭建设”项目资金拨付，2023年度无该项目资金拨付；2、上年度结转资金减少；3、2023年度退休1人，相关经费支出减少。</w:t>
      </w:r>
    </w:p>
    <w:p w14:paraId="04FBE2C0">
      <w:pPr>
        <w:numPr>
          <w:ilvl w:val="0"/>
          <w:numId w:val="1"/>
        </w:numPr>
        <w:spacing w:before="100" w:beforeLines="0" w:after="100" w:afterLines="0"/>
        <w:jc w:val="left"/>
        <w:rPr>
          <w:rFonts w:hint="eastAsia" w:ascii="华文仿宋" w:hAnsi="华文仿宋" w:eastAsia="华文仿宋" w:cs="华文仿宋"/>
          <w:color w:val="000000" w:themeColor="text1"/>
          <w:sz w:val="32"/>
          <w:szCs w:val="32"/>
          <w:lang w:val="zh-CN"/>
          <w14:textFill>
            <w14:solidFill>
              <w14:schemeClr w14:val="tx1"/>
            </w14:solidFill>
          </w14:textFill>
        </w:rPr>
      </w:pPr>
      <w:r>
        <w:rPr>
          <w:rFonts w:hint="eastAsia" w:ascii="华文仿宋" w:hAnsi="华文仿宋" w:eastAsia="华文仿宋" w:cs="华文仿宋"/>
          <w:color w:val="000000" w:themeColor="text1"/>
          <w:sz w:val="32"/>
          <w:szCs w:val="32"/>
          <w:lang w:val="zh-CN"/>
          <w14:textFill>
            <w14:solidFill>
              <w14:schemeClr w14:val="tx1"/>
            </w14:solidFill>
          </w14:textFill>
        </w:rPr>
        <w:t>一般公共预算财政拨款支出决算结构情况</w:t>
      </w:r>
    </w:p>
    <w:p w14:paraId="65EFB496">
      <w:pPr>
        <w:numPr>
          <w:ilvl w:val="0"/>
          <w:numId w:val="0"/>
        </w:numPr>
        <w:spacing w:before="100" w:beforeLines="0" w:after="100" w:afterLines="0"/>
        <w:jc w:val="left"/>
        <w:rPr>
          <w:rFonts w:hint="eastAsia" w:ascii="宋体" w:hAnsi="宋体"/>
          <w:color w:val="FF0000"/>
          <w:sz w:val="24"/>
          <w:szCs w:val="24"/>
          <w:lang w:val="zh-CN"/>
        </w:rPr>
      </w:pPr>
      <w:r>
        <w:rPr>
          <w:rFonts w:hint="eastAsia" w:ascii="华文仿宋" w:hAnsi="华文仿宋" w:eastAsia="华文仿宋" w:cs="华文仿宋"/>
          <w:color w:val="000000" w:themeColor="text1"/>
          <w:sz w:val="32"/>
          <w:szCs w:val="32"/>
          <w:lang w:val="en-US" w:eastAsia="zh-CN"/>
          <w14:textFill>
            <w14:solidFill>
              <w14:schemeClr w14:val="tx1"/>
            </w14:solidFill>
          </w14:textFill>
        </w:rPr>
        <w:t>2023年度一般公共预算财政拨款支出</w:t>
      </w:r>
      <w:r>
        <w:rPr>
          <w:rFonts w:hint="eastAsia" w:ascii="华文仿宋" w:hAnsi="华文仿宋" w:eastAsia="华文仿宋" w:cs="华文仿宋"/>
          <w:color w:val="auto"/>
          <w:sz w:val="32"/>
          <w:szCs w:val="32"/>
          <w:highlight w:val="none"/>
          <w:lang w:val="zh-CN"/>
        </w:rPr>
        <w:t>1367.93</w:t>
      </w:r>
      <w:r>
        <w:rPr>
          <w:rFonts w:hint="eastAsia" w:ascii="华文仿宋" w:hAnsi="华文仿宋" w:eastAsia="华文仿宋" w:cs="华文仿宋"/>
          <w:color w:val="auto"/>
          <w:sz w:val="32"/>
          <w:szCs w:val="32"/>
          <w:lang w:val="zh-CN"/>
        </w:rPr>
        <w:t>万元，主要用于以下方面：公共安全支出1210.12万元,占88.46%；社会保障和就业支出50.67万元,占3.7%；卫生健康支出35.61万元,占2.6%；住房保障支出71.52万元,占5.23%。</w:t>
      </w:r>
    </w:p>
    <w:p w14:paraId="2E80D160">
      <w:pPr>
        <w:numPr>
          <w:ilvl w:val="0"/>
          <w:numId w:val="1"/>
        </w:numPr>
        <w:spacing w:before="100" w:beforeLines="0" w:after="100" w:afterLines="0"/>
        <w:ind w:left="0" w:leftChars="0" w:firstLine="0" w:firstLineChars="0"/>
        <w:jc w:val="left"/>
        <w:rPr>
          <w:rFonts w:hint="eastAsia" w:ascii="华文仿宋" w:hAnsi="华文仿宋" w:eastAsia="华文仿宋" w:cs="华文仿宋"/>
          <w:color w:val="000000" w:themeColor="text1"/>
          <w:sz w:val="32"/>
          <w:szCs w:val="32"/>
          <w:lang w:val="zh-CN"/>
          <w14:textFill>
            <w14:solidFill>
              <w14:schemeClr w14:val="tx1"/>
            </w14:solidFill>
          </w14:textFill>
        </w:rPr>
      </w:pPr>
      <w:r>
        <w:rPr>
          <w:rFonts w:hint="eastAsia" w:ascii="华文仿宋" w:hAnsi="华文仿宋" w:eastAsia="华文仿宋" w:cs="华文仿宋"/>
          <w:color w:val="000000" w:themeColor="text1"/>
          <w:sz w:val="32"/>
          <w:szCs w:val="32"/>
          <w:lang w:val="zh-CN"/>
          <w14:textFill>
            <w14:solidFill>
              <w14:schemeClr w14:val="tx1"/>
            </w14:solidFill>
          </w14:textFill>
        </w:rPr>
        <w:t>一般公共预算财政拨款支出决算具体情况。</w:t>
      </w:r>
    </w:p>
    <w:p w14:paraId="6A0311AD">
      <w:pPr>
        <w:numPr>
          <w:ilvl w:val="0"/>
          <w:numId w:val="0"/>
        </w:numPr>
        <w:spacing w:before="100" w:beforeLines="0" w:after="100" w:afterLines="0"/>
        <w:ind w:leftChar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000000" w:themeColor="text1"/>
          <w:sz w:val="32"/>
          <w:szCs w:val="32"/>
          <w:lang w:val="en-US" w:eastAsia="zh-CN"/>
          <w14:textFill>
            <w14:solidFill>
              <w14:schemeClr w14:val="tx1"/>
            </w14:solidFill>
          </w14:textFill>
        </w:rPr>
        <w:t>2023年度一般公共预算财政拨款支出年初预算为</w:t>
      </w:r>
      <w:r>
        <w:rPr>
          <w:rFonts w:hint="eastAsia" w:ascii="华文仿宋" w:hAnsi="华文仿宋" w:eastAsia="华文仿宋" w:cs="华文仿宋"/>
          <w:color w:val="auto"/>
          <w:sz w:val="32"/>
          <w:szCs w:val="32"/>
          <w:lang w:val="zh-CN"/>
        </w:rPr>
        <w:t>1516.55万元,支出决算为1367.93万元,完成年初预算的90.2%。其中：</w:t>
      </w:r>
    </w:p>
    <w:p w14:paraId="5D6A36EC">
      <w:pPr>
        <w:numPr>
          <w:ilvl w:val="0"/>
          <w:numId w:val="2"/>
        </w:numPr>
        <w:spacing w:before="100" w:beforeLines="0" w:after="100" w:afterLines="0"/>
        <w:jc w:val="left"/>
        <w:rPr>
          <w:rFonts w:hint="eastAsia" w:ascii="华文仿宋" w:hAnsi="华文仿宋" w:eastAsia="华文仿宋" w:cs="华文仿宋"/>
          <w:color w:val="FF0000"/>
          <w:sz w:val="32"/>
          <w:szCs w:val="32"/>
          <w:lang w:val="zh-CN"/>
        </w:rPr>
      </w:pPr>
      <w:r>
        <w:rPr>
          <w:rFonts w:hint="eastAsia" w:ascii="华文仿宋" w:hAnsi="华文仿宋" w:eastAsia="华文仿宋" w:cs="华文仿宋"/>
          <w:b/>
          <w:color w:val="auto"/>
          <w:sz w:val="32"/>
          <w:szCs w:val="32"/>
          <w:lang w:val="zh-CN"/>
        </w:rPr>
        <w:t>公共安全支出</w:t>
      </w:r>
      <w:r>
        <w:rPr>
          <w:rFonts w:hint="eastAsia" w:ascii="华文仿宋" w:hAnsi="华文仿宋" w:eastAsia="华文仿宋" w:cs="华文仿宋"/>
          <w:color w:val="auto"/>
          <w:sz w:val="32"/>
          <w:szCs w:val="32"/>
          <w:lang w:val="zh-CN"/>
        </w:rPr>
        <w:t>年初预算数为1321.31万元,支出决算为1210.12万元,完成年初预算的91.58%,决算数小于预算数的主要原因是本年度人员减少。</w:t>
      </w:r>
    </w:p>
    <w:p w14:paraId="254B6EB7">
      <w:pPr>
        <w:numPr>
          <w:ilvl w:val="0"/>
          <w:numId w:val="2"/>
        </w:numPr>
        <w:spacing w:before="100" w:beforeLines="0" w:after="100" w:afterLines="0"/>
        <w:ind w:left="0" w:leftChars="0" w:firstLine="0" w:firstLineChar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zh-CN"/>
        </w:rPr>
        <w:t>社会保障和就业支出</w:t>
      </w:r>
      <w:r>
        <w:rPr>
          <w:rFonts w:hint="eastAsia" w:ascii="华文仿宋" w:hAnsi="华文仿宋" w:eastAsia="华文仿宋" w:cs="华文仿宋"/>
          <w:color w:val="auto"/>
          <w:sz w:val="32"/>
          <w:szCs w:val="32"/>
          <w:lang w:val="zh-CN"/>
        </w:rPr>
        <w:t>年初预算数为74.15万元,支出决算为50.67万元,完成年初预算的68.34%,决算数小于预算数的主要原因是本年度人员减少。</w:t>
      </w:r>
    </w:p>
    <w:p w14:paraId="70434196">
      <w:pPr>
        <w:numPr>
          <w:ilvl w:val="0"/>
          <w:numId w:val="2"/>
        </w:numPr>
        <w:spacing w:before="100" w:beforeLines="0" w:after="100" w:afterLines="0"/>
        <w:ind w:left="0" w:leftChars="0" w:firstLine="0" w:firstLineChars="0"/>
        <w:jc w:val="left"/>
        <w:rPr>
          <w:rFonts w:hint="eastAsia" w:ascii="华文仿宋" w:hAnsi="华文仿宋" w:eastAsia="华文仿宋" w:cs="华文仿宋"/>
          <w:color w:val="FF0000"/>
          <w:sz w:val="32"/>
          <w:szCs w:val="32"/>
          <w:lang w:val="zh-CN"/>
        </w:rPr>
      </w:pPr>
      <w:r>
        <w:rPr>
          <w:rFonts w:hint="eastAsia" w:ascii="华文仿宋" w:hAnsi="华文仿宋" w:eastAsia="华文仿宋" w:cs="华文仿宋"/>
          <w:b/>
          <w:color w:val="auto"/>
          <w:sz w:val="32"/>
          <w:szCs w:val="32"/>
          <w:lang w:val="zh-CN"/>
        </w:rPr>
        <w:t>卫生健康支出</w:t>
      </w:r>
      <w:r>
        <w:rPr>
          <w:rFonts w:hint="eastAsia" w:ascii="华文仿宋" w:hAnsi="华文仿宋" w:eastAsia="华文仿宋" w:cs="华文仿宋"/>
          <w:color w:val="auto"/>
          <w:sz w:val="32"/>
          <w:szCs w:val="32"/>
          <w:lang w:val="zh-CN"/>
        </w:rPr>
        <w:t>年初预算数为49.57万元,支出决算为35.61万元,完成年初预算的71.84%,决算数小于预算数的主要原因是本年度人员减少。</w:t>
      </w:r>
    </w:p>
    <w:p w14:paraId="02FAAAA8">
      <w:pPr>
        <w:numPr>
          <w:ilvl w:val="0"/>
          <w:numId w:val="2"/>
        </w:numPr>
        <w:spacing w:before="100" w:beforeLines="0" w:after="100" w:afterLines="0"/>
        <w:ind w:left="0" w:leftChars="0" w:firstLine="0" w:firstLineChars="0"/>
        <w:jc w:val="left"/>
        <w:rPr>
          <w:rFonts w:hint="eastAsia" w:ascii="华文仿宋" w:hAnsi="华文仿宋" w:eastAsia="华文仿宋" w:cs="华文仿宋"/>
          <w:color w:val="FF0000"/>
          <w:sz w:val="32"/>
          <w:szCs w:val="32"/>
          <w:lang w:val="zh-CN"/>
        </w:rPr>
      </w:pPr>
      <w:r>
        <w:rPr>
          <w:rFonts w:hint="eastAsia" w:ascii="华文仿宋" w:hAnsi="华文仿宋" w:eastAsia="华文仿宋" w:cs="华文仿宋"/>
          <w:b/>
          <w:color w:val="auto"/>
          <w:sz w:val="32"/>
          <w:szCs w:val="32"/>
          <w:lang w:val="zh-CN"/>
        </w:rPr>
        <w:t>住房保障支出</w:t>
      </w:r>
      <w:r>
        <w:rPr>
          <w:rFonts w:hint="eastAsia" w:ascii="华文仿宋" w:hAnsi="华文仿宋" w:eastAsia="华文仿宋" w:cs="华文仿宋"/>
          <w:color w:val="auto"/>
          <w:sz w:val="32"/>
          <w:szCs w:val="32"/>
          <w:lang w:val="zh-CN"/>
        </w:rPr>
        <w:t>年初预算数为71.52万元,支出决算为71.52万元,完成年初预算的100.0%,决算数与预算数一致。</w:t>
      </w:r>
    </w:p>
    <w:p w14:paraId="5FA9D7B5">
      <w:pPr>
        <w:spacing w:before="100" w:beforeLines="0" w:after="100" w:afterLines="0"/>
        <w:jc w:val="left"/>
        <w:rPr>
          <w:rFonts w:hint="eastAsia" w:ascii="华文仿宋" w:hAnsi="华文仿宋" w:eastAsia="华文仿宋" w:cs="华文仿宋"/>
          <w:b/>
          <w:bCs/>
          <w:color w:val="auto"/>
          <w:sz w:val="32"/>
          <w:szCs w:val="32"/>
          <w:lang w:val="zh-CN" w:eastAsia="zh-CN"/>
        </w:rPr>
      </w:pPr>
      <w:r>
        <w:rPr>
          <w:rFonts w:hint="eastAsia" w:ascii="华文仿宋" w:hAnsi="华文仿宋" w:eastAsia="华文仿宋" w:cs="华文仿宋"/>
          <w:b/>
          <w:bCs/>
          <w:color w:val="auto"/>
          <w:sz w:val="32"/>
          <w:szCs w:val="32"/>
          <w:lang w:val="zh-CN" w:eastAsia="zh-CN"/>
        </w:rPr>
        <w:t>六、一般公共预算财政拨款基本支出决算情况说明</w:t>
      </w:r>
    </w:p>
    <w:p w14:paraId="4152EF13">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2023年度一般公共预算财政拨款基本支出941.29万元。其中：</w:t>
      </w:r>
    </w:p>
    <w:p w14:paraId="3CB1F1C7">
      <w:pPr>
        <w:spacing w:before="100" w:beforeLines="0" w:after="100" w:afterLines="0"/>
        <w:jc w:val="left"/>
        <w:rPr>
          <w:rFonts w:hint="eastAsia" w:ascii="华文仿宋" w:hAnsi="华文仿宋" w:eastAsia="华文仿宋" w:cs="华文仿宋"/>
          <w:sz w:val="32"/>
          <w:szCs w:val="32"/>
        </w:rPr>
      </w:pPr>
      <w:r>
        <w:rPr>
          <w:rFonts w:hint="eastAsia" w:ascii="华文仿宋" w:hAnsi="华文仿宋" w:eastAsia="华文仿宋" w:cs="华文仿宋"/>
          <w:b/>
          <w:color w:val="auto"/>
          <w:sz w:val="32"/>
          <w:szCs w:val="32"/>
          <w:lang w:val="zh-CN"/>
        </w:rPr>
        <w:t>人员经费</w:t>
      </w:r>
      <w:r>
        <w:rPr>
          <w:rFonts w:hint="eastAsia" w:ascii="华文仿宋" w:hAnsi="华文仿宋" w:eastAsia="华文仿宋" w:cs="华文仿宋"/>
          <w:color w:val="auto"/>
          <w:sz w:val="32"/>
          <w:szCs w:val="32"/>
          <w:lang w:val="zh-CN"/>
        </w:rPr>
        <w:t>730.40万元,较上年决算数增加74.61万元,增长11.38%,主要原因是主要原因是人员工资增加，社会保障缴费增加。人员经费用途</w:t>
      </w:r>
      <w:r>
        <w:rPr>
          <w:rFonts w:hint="eastAsia" w:ascii="华文仿宋" w:hAnsi="华文仿宋" w:eastAsia="华文仿宋" w:cs="华文仿宋"/>
          <w:sz w:val="32"/>
          <w:szCs w:val="32"/>
        </w:rPr>
        <w:t>主要包括基本工资、津贴补贴、绩效工资、社会保障缴费、职业年金缴费、职工基本医疗保险缴费、公务员医疗补助缴费、其他社会保障缴费、住房公积金、医疗费、其他工资福利支出等项目。</w:t>
      </w:r>
    </w:p>
    <w:p w14:paraId="754F78D3">
      <w:pPr>
        <w:pStyle w:val="4"/>
        <w:shd w:val="clear" w:color="auto" w:fill="FFFFFF"/>
        <w:adjustRightInd w:val="0"/>
        <w:spacing w:line="520" w:lineRule="exact"/>
        <w:ind w:firstLine="641" w:firstLineChars="200"/>
        <w:rPr>
          <w:rFonts w:hint="eastAsia" w:ascii="华文仿宋" w:hAnsi="华文仿宋" w:eastAsia="华文仿宋" w:cs="华文仿宋"/>
          <w:sz w:val="32"/>
          <w:szCs w:val="32"/>
        </w:rPr>
      </w:pPr>
      <w:r>
        <w:rPr>
          <w:rFonts w:hint="eastAsia" w:ascii="华文仿宋" w:hAnsi="华文仿宋" w:eastAsia="华文仿宋" w:cs="华文仿宋"/>
          <w:b/>
          <w:color w:val="auto"/>
          <w:sz w:val="32"/>
          <w:szCs w:val="32"/>
          <w:lang w:val="zh-CN"/>
        </w:rPr>
        <w:t>公用经费</w:t>
      </w:r>
      <w:r>
        <w:rPr>
          <w:rFonts w:hint="eastAsia" w:ascii="华文仿宋" w:hAnsi="华文仿宋" w:eastAsia="华文仿宋" w:cs="华文仿宋"/>
          <w:color w:val="auto"/>
          <w:sz w:val="32"/>
          <w:szCs w:val="32"/>
          <w:lang w:val="zh-CN"/>
        </w:rPr>
        <w:t>210.89万元,较上年决算数增加66.9万元,增长46.46%,主要原因是我院搬迁至新建审判大楼办公后各项公用经费支出增加，案件数量增加，各项费用增加。公用经费用途主要包括</w:t>
      </w:r>
      <w:r>
        <w:rPr>
          <w:rFonts w:hint="eastAsia" w:ascii="华文仿宋" w:hAnsi="华文仿宋" w:eastAsia="华文仿宋" w:cs="华文仿宋"/>
          <w:sz w:val="32"/>
          <w:szCs w:val="32"/>
        </w:rPr>
        <w:t>办公费、印刷费、手续费、水费、电费、租赁费、培训费、被装购置费、工会经费、差旅费等。</w:t>
      </w:r>
    </w:p>
    <w:p w14:paraId="53C1A04A">
      <w:pPr>
        <w:spacing w:before="100" w:beforeLines="0" w:after="100" w:afterLines="0"/>
        <w:jc w:val="left"/>
        <w:rPr>
          <w:rFonts w:hint="eastAsia" w:ascii="华文仿宋" w:hAnsi="华文仿宋" w:eastAsia="华文仿宋" w:cs="华文仿宋"/>
          <w:b/>
          <w:bCs/>
          <w:color w:val="auto"/>
          <w:sz w:val="32"/>
          <w:szCs w:val="32"/>
          <w:lang w:val="zh-CN" w:eastAsia="zh-CN"/>
        </w:rPr>
      </w:pPr>
      <w:r>
        <w:rPr>
          <w:rFonts w:hint="eastAsia" w:ascii="华文仿宋" w:hAnsi="华文仿宋" w:eastAsia="华文仿宋" w:cs="华文仿宋"/>
          <w:b/>
          <w:bCs/>
          <w:color w:val="auto"/>
          <w:sz w:val="32"/>
          <w:szCs w:val="32"/>
          <w:lang w:val="zh-CN" w:eastAsia="zh-CN"/>
        </w:rPr>
        <w:t>七、政府性基金预算财政拨款收支决算情况说明</w:t>
      </w:r>
    </w:p>
    <w:p w14:paraId="73FB2B94">
      <w:pPr>
        <w:spacing w:before="100" w:beforeLines="0" w:after="100" w:afterLines="0"/>
        <w:jc w:val="left"/>
        <w:rPr>
          <w:rFonts w:hint="eastAsia" w:ascii="宋体" w:hAnsi="宋体"/>
          <w:color w:val="auto"/>
          <w:sz w:val="24"/>
          <w:szCs w:val="24"/>
          <w:lang w:val="zh-CN"/>
        </w:rPr>
      </w:pPr>
      <w:r>
        <w:rPr>
          <w:rFonts w:hint="eastAsia" w:ascii="华文仿宋" w:hAnsi="华文仿宋" w:eastAsia="华文仿宋" w:cs="华文仿宋"/>
          <w:color w:val="auto"/>
          <w:sz w:val="32"/>
          <w:szCs w:val="32"/>
          <w:lang w:val="zh-CN"/>
        </w:rPr>
        <w:t>本部门2023年度无政府性基金收入,也没有使用政府性基金安排的支出，故本表无数据。</w:t>
      </w:r>
    </w:p>
    <w:p w14:paraId="0E3143FD">
      <w:pPr>
        <w:spacing w:before="100" w:beforeLines="0" w:after="100" w:afterLines="0"/>
        <w:jc w:val="left"/>
        <w:rPr>
          <w:rFonts w:hint="eastAsia" w:ascii="华文仿宋" w:hAnsi="华文仿宋" w:eastAsia="华文仿宋" w:cs="华文仿宋"/>
          <w:b/>
          <w:bCs/>
          <w:color w:val="auto"/>
          <w:sz w:val="32"/>
          <w:szCs w:val="32"/>
          <w:lang w:val="zh-CN" w:eastAsia="zh-CN"/>
        </w:rPr>
      </w:pPr>
      <w:r>
        <w:rPr>
          <w:rFonts w:hint="eastAsia" w:ascii="华文仿宋" w:hAnsi="华文仿宋" w:eastAsia="华文仿宋" w:cs="华文仿宋"/>
          <w:b/>
          <w:bCs/>
          <w:color w:val="auto"/>
          <w:sz w:val="32"/>
          <w:szCs w:val="32"/>
          <w:lang w:val="zh-CN" w:eastAsia="zh-CN"/>
        </w:rPr>
        <w:t>八、国有资本经营预算财政拨款支出情况说明</w:t>
      </w:r>
    </w:p>
    <w:p w14:paraId="7AD8B570">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本部门2023年度没有使用国有资本经营预算安排的支出，故本表无数据。</w:t>
      </w:r>
    </w:p>
    <w:p w14:paraId="4FB0E4ED">
      <w:pPr>
        <w:spacing w:before="100" w:beforeLines="0" w:after="100" w:afterLines="0"/>
        <w:jc w:val="left"/>
        <w:rPr>
          <w:rFonts w:hint="eastAsia" w:ascii="华文仿宋" w:hAnsi="华文仿宋" w:eastAsia="华文仿宋" w:cs="华文仿宋"/>
          <w:b/>
          <w:bCs/>
          <w:color w:val="auto"/>
          <w:sz w:val="32"/>
          <w:szCs w:val="32"/>
          <w:lang w:val="zh-CN" w:eastAsia="zh-CN"/>
        </w:rPr>
      </w:pPr>
      <w:r>
        <w:rPr>
          <w:rFonts w:hint="eastAsia" w:ascii="华文仿宋" w:hAnsi="华文仿宋" w:eastAsia="华文仿宋" w:cs="华文仿宋"/>
          <w:b/>
          <w:bCs/>
          <w:color w:val="auto"/>
          <w:sz w:val="32"/>
          <w:szCs w:val="32"/>
          <w:lang w:val="en-US" w:eastAsia="zh-CN"/>
        </w:rPr>
        <w:t>九</w:t>
      </w:r>
      <w:r>
        <w:rPr>
          <w:rFonts w:hint="eastAsia" w:ascii="华文仿宋" w:hAnsi="华文仿宋" w:eastAsia="华文仿宋" w:cs="华文仿宋"/>
          <w:b/>
          <w:bCs/>
          <w:color w:val="auto"/>
          <w:sz w:val="32"/>
          <w:szCs w:val="32"/>
          <w:lang w:val="zh-CN" w:eastAsia="zh-CN"/>
        </w:rPr>
        <w:t>、财政拨款“三公”经费支出决算情况说明</w:t>
      </w:r>
    </w:p>
    <w:p w14:paraId="245C50BA">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zh-CN"/>
        </w:rPr>
        <w:t>(一)“三公”经费财政拨款支出总体情况说明</w:t>
      </w:r>
    </w:p>
    <w:p w14:paraId="6A9A3D89">
      <w:pPr>
        <w:jc w:val="left"/>
        <w:rPr>
          <w:rFonts w:ascii="宋体" w:hAnsi="宋体"/>
          <w:sz w:val="24"/>
          <w:szCs w:val="24"/>
          <w:lang w:val="zh-CN"/>
        </w:rPr>
      </w:pPr>
      <w:r>
        <w:rPr>
          <w:rFonts w:hint="eastAsia" w:ascii="华文仿宋" w:hAnsi="华文仿宋" w:eastAsia="华文仿宋" w:cs="华文仿宋"/>
          <w:color w:val="auto"/>
          <w:sz w:val="32"/>
          <w:szCs w:val="32"/>
          <w:lang w:val="zh-CN"/>
        </w:rPr>
        <w:t>2023年度“三公”经费支出</w:t>
      </w:r>
      <w:r>
        <w:rPr>
          <w:rFonts w:hint="eastAsia" w:ascii="华文仿宋" w:hAnsi="华文仿宋" w:eastAsia="华文仿宋" w:cs="华文仿宋"/>
          <w:color w:val="auto"/>
          <w:sz w:val="32"/>
          <w:szCs w:val="32"/>
          <w:lang w:val="en-US"/>
        </w:rPr>
        <w:t>全年</w:t>
      </w:r>
      <w:r>
        <w:rPr>
          <w:rFonts w:hint="eastAsia" w:ascii="华文仿宋" w:hAnsi="华文仿宋" w:eastAsia="华文仿宋" w:cs="华文仿宋"/>
          <w:color w:val="auto"/>
          <w:sz w:val="32"/>
          <w:szCs w:val="32"/>
          <w:lang w:val="zh-CN"/>
        </w:rPr>
        <w:t>预算数为8.62万元,支出决算为7.00万元,决算数小于预算数的主要原因是主要原因是</w:t>
      </w:r>
      <w:r>
        <w:rPr>
          <w:rFonts w:hint="eastAsia" w:ascii="华文仿宋" w:hAnsi="华文仿宋" w:eastAsia="华文仿宋" w:cs="华文仿宋"/>
          <w:sz w:val="32"/>
          <w:szCs w:val="32"/>
        </w:rPr>
        <w:t>我单位牢牢树立过“紧日子”的思想，严格控制</w:t>
      </w:r>
      <w:r>
        <w:rPr>
          <w:rFonts w:hint="eastAsia" w:ascii="华文仿宋" w:hAnsi="华文仿宋" w:eastAsia="华文仿宋" w:cs="华文仿宋"/>
          <w:sz w:val="32"/>
          <w:szCs w:val="32"/>
          <w:lang w:eastAsia="zh-CN"/>
        </w:rPr>
        <w:t>“三公”经费</w:t>
      </w:r>
      <w:r>
        <w:rPr>
          <w:rFonts w:hint="eastAsia" w:ascii="华文仿宋" w:hAnsi="华文仿宋" w:eastAsia="华文仿宋" w:cs="华文仿宋"/>
          <w:sz w:val="32"/>
          <w:szCs w:val="32"/>
        </w:rPr>
        <w:t>的支出。</w:t>
      </w:r>
      <w:r>
        <w:rPr>
          <w:rFonts w:hint="eastAsia" w:ascii="华文仿宋" w:hAnsi="华文仿宋" w:eastAsia="华文仿宋" w:cs="华文仿宋"/>
          <w:color w:val="auto"/>
          <w:sz w:val="32"/>
          <w:szCs w:val="32"/>
          <w:lang w:val="en-US"/>
        </w:rPr>
        <w:t>较上年决算数</w:t>
      </w:r>
      <w:r>
        <w:rPr>
          <w:rFonts w:hint="eastAsia" w:ascii="华文仿宋" w:hAnsi="华文仿宋" w:eastAsia="华文仿宋" w:cs="华文仿宋"/>
          <w:color w:val="auto"/>
          <w:sz w:val="32"/>
          <w:szCs w:val="32"/>
          <w:lang w:val="en-US" w:eastAsia="zh-CN"/>
        </w:rPr>
        <w:t>减少31.39</w:t>
      </w:r>
      <w:r>
        <w:rPr>
          <w:rFonts w:hint="eastAsia" w:ascii="华文仿宋" w:hAnsi="华文仿宋" w:eastAsia="华文仿宋" w:cs="华文仿宋"/>
          <w:color w:val="auto"/>
          <w:sz w:val="32"/>
          <w:szCs w:val="32"/>
          <w:lang w:val="zh-CN"/>
        </w:rPr>
        <w:t>万元</w:t>
      </w:r>
      <w:r>
        <w:rPr>
          <w:rFonts w:hint="eastAsia" w:ascii="华文仿宋" w:hAnsi="华文仿宋" w:eastAsia="华文仿宋" w:cs="华文仿宋"/>
          <w:color w:val="auto"/>
          <w:sz w:val="32"/>
          <w:szCs w:val="32"/>
          <w:lang w:val="en-US"/>
        </w:rPr>
        <w:t>,</w:t>
      </w:r>
      <w:r>
        <w:rPr>
          <w:rFonts w:hint="eastAsia" w:ascii="华文仿宋" w:hAnsi="华文仿宋" w:eastAsia="华文仿宋" w:cs="华文仿宋"/>
          <w:color w:val="auto"/>
          <w:sz w:val="32"/>
          <w:szCs w:val="32"/>
          <w:lang w:val="en-US" w:eastAsia="zh-CN"/>
        </w:rPr>
        <w:t>下降81.77</w:t>
      </w:r>
      <w:r>
        <w:rPr>
          <w:rFonts w:hint="eastAsia" w:ascii="华文仿宋" w:hAnsi="华文仿宋" w:eastAsia="华文仿宋" w:cs="华文仿宋"/>
          <w:color w:val="auto"/>
          <w:sz w:val="32"/>
          <w:szCs w:val="32"/>
          <w:lang w:val="zh-CN"/>
        </w:rPr>
        <w:t>%</w:t>
      </w:r>
      <w:r>
        <w:rPr>
          <w:rFonts w:hint="eastAsia" w:ascii="华文仿宋" w:hAnsi="华文仿宋" w:eastAsia="华文仿宋" w:cs="华文仿宋"/>
          <w:color w:val="auto"/>
          <w:sz w:val="32"/>
          <w:szCs w:val="32"/>
          <w:lang w:val="en-US"/>
        </w:rPr>
        <w:t>,主要原因是</w:t>
      </w:r>
      <w:r>
        <w:rPr>
          <w:rFonts w:hint="eastAsia" w:ascii="华文仿宋" w:hAnsi="华文仿宋" w:eastAsia="华文仿宋" w:cs="华文仿宋"/>
          <w:color w:val="auto"/>
          <w:sz w:val="32"/>
          <w:szCs w:val="32"/>
          <w:lang w:val="en-US" w:eastAsia="zh-CN"/>
        </w:rPr>
        <w:t>：1.上年度购买执法执勤用车1辆；2.上年度</w:t>
      </w:r>
      <w:r>
        <w:rPr>
          <w:rFonts w:hint="eastAsia" w:ascii="华文仿宋" w:hAnsi="华文仿宋" w:eastAsia="华文仿宋" w:cs="华文仿宋"/>
          <w:color w:val="000000" w:themeColor="text1"/>
          <w:sz w:val="32"/>
          <w:szCs w:val="32"/>
          <w14:textFill>
            <w14:solidFill>
              <w14:schemeClr w14:val="tx1"/>
            </w14:solidFill>
          </w14:textFill>
        </w:rPr>
        <w:t>部分车辆老旧，车辆维修费及保险费增加</w:t>
      </w:r>
      <w:r>
        <w:rPr>
          <w:rFonts w:hint="eastAsia" w:ascii="华文仿宋" w:hAnsi="华文仿宋" w:eastAsia="华文仿宋" w:cs="华文仿宋"/>
          <w:color w:val="000000" w:themeColor="text1"/>
          <w:sz w:val="32"/>
          <w:szCs w:val="32"/>
          <w:lang w:val="zh-CN"/>
          <w14:textFill>
            <w14:solidFill>
              <w14:schemeClr w14:val="tx1"/>
            </w14:solidFill>
          </w14:textFill>
        </w:rPr>
        <w:t>。</w:t>
      </w:r>
    </w:p>
    <w:p w14:paraId="4C8E801C">
      <w:pPr>
        <w:pStyle w:val="4"/>
        <w:shd w:val="clear" w:color="auto" w:fill="FFFFFF"/>
        <w:adjustRightInd w:val="0"/>
        <w:spacing w:line="520" w:lineRule="exact"/>
        <w:ind w:firstLine="640" w:firstLineChars="200"/>
        <w:rPr>
          <w:rFonts w:hint="default" w:ascii="华文仿宋" w:hAnsi="华文仿宋" w:eastAsia="华文仿宋" w:cs="华文仿宋"/>
          <w:color w:val="auto"/>
          <w:sz w:val="32"/>
          <w:szCs w:val="32"/>
          <w:lang w:val="en-US"/>
        </w:rPr>
      </w:pPr>
      <w:r>
        <w:rPr>
          <w:rFonts w:hint="eastAsia" w:ascii="华文仿宋" w:hAnsi="华文仿宋" w:eastAsia="华文仿宋" w:cs="华文仿宋"/>
          <w:color w:val="auto"/>
          <w:sz w:val="32"/>
          <w:szCs w:val="32"/>
          <w:lang w:val="en-US" w:eastAsia="zh-CN"/>
        </w:rPr>
        <w:t>。</w:t>
      </w:r>
    </w:p>
    <w:p w14:paraId="06AEA5E7">
      <w:pPr>
        <w:numPr>
          <w:ilvl w:val="0"/>
          <w:numId w:val="3"/>
        </w:numPr>
        <w:spacing w:before="100" w:beforeLines="0" w:after="100" w:afterLines="0"/>
        <w:jc w:val="left"/>
        <w:rPr>
          <w:rFonts w:hint="eastAsia" w:ascii="华文仿宋" w:hAnsi="华文仿宋" w:eastAsia="华文仿宋" w:cs="华文仿宋"/>
          <w:b/>
          <w:color w:val="auto"/>
          <w:sz w:val="32"/>
          <w:szCs w:val="32"/>
          <w:lang w:val="zh-CN"/>
        </w:rPr>
      </w:pPr>
      <w:r>
        <w:rPr>
          <w:rFonts w:hint="eastAsia" w:ascii="华文仿宋" w:hAnsi="华文仿宋" w:eastAsia="华文仿宋" w:cs="华文仿宋"/>
          <w:b/>
          <w:color w:val="auto"/>
          <w:sz w:val="32"/>
          <w:szCs w:val="32"/>
          <w:lang w:val="zh-CN"/>
        </w:rPr>
        <w:t>“三公”经费财政拨款支出决算具体情况说明</w:t>
      </w:r>
    </w:p>
    <w:p w14:paraId="29019282">
      <w:pPr>
        <w:pStyle w:val="4"/>
        <w:shd w:val="clear" w:color="auto" w:fill="FFFFFF"/>
        <w:adjustRightInd w:val="0"/>
        <w:spacing w:line="520" w:lineRule="exact"/>
        <w:ind w:firstLine="641" w:firstLineChars="200"/>
        <w:rPr>
          <w:rFonts w:hint="eastAsia" w:ascii="华文仿宋" w:hAnsi="华文仿宋" w:eastAsia="华文仿宋" w:cs="华文仿宋"/>
          <w:sz w:val="32"/>
          <w:szCs w:val="32"/>
        </w:rPr>
      </w:pPr>
      <w:r>
        <w:rPr>
          <w:rFonts w:hint="eastAsia" w:ascii="华文仿宋" w:hAnsi="华文仿宋" w:eastAsia="华文仿宋" w:cs="华文仿宋"/>
          <w:b/>
          <w:color w:val="auto"/>
          <w:sz w:val="32"/>
          <w:szCs w:val="32"/>
          <w:lang w:val="en-US" w:eastAsia="zh-CN"/>
        </w:rPr>
        <w:t>1.</w:t>
      </w:r>
      <w:r>
        <w:rPr>
          <w:rFonts w:hint="eastAsia" w:ascii="华文仿宋" w:hAnsi="华文仿宋" w:eastAsia="华文仿宋" w:cs="华文仿宋"/>
          <w:b/>
          <w:color w:val="auto"/>
          <w:sz w:val="32"/>
          <w:szCs w:val="32"/>
          <w:lang w:val="zh-CN"/>
        </w:rPr>
        <w:t>因公出国(境)费用</w:t>
      </w:r>
      <w:r>
        <w:rPr>
          <w:rFonts w:hint="eastAsia" w:ascii="华文仿宋" w:hAnsi="华文仿宋" w:eastAsia="华文仿宋" w:cs="华文仿宋"/>
          <w:color w:val="auto"/>
          <w:sz w:val="32"/>
          <w:szCs w:val="32"/>
          <w:lang w:val="en-US"/>
        </w:rPr>
        <w:t>全年</w:t>
      </w:r>
      <w:r>
        <w:rPr>
          <w:rFonts w:hint="eastAsia" w:ascii="华文仿宋" w:hAnsi="华文仿宋" w:eastAsia="华文仿宋" w:cs="华文仿宋"/>
          <w:color w:val="auto"/>
          <w:sz w:val="32"/>
          <w:szCs w:val="32"/>
          <w:lang w:val="zh-CN"/>
        </w:rPr>
        <w:t>预算数为0.00万元,支出决算为0.00万元,</w:t>
      </w:r>
      <w:r>
        <w:rPr>
          <w:rFonts w:hint="eastAsia" w:ascii="华文仿宋" w:hAnsi="华文仿宋" w:eastAsia="华文仿宋" w:cs="华文仿宋"/>
          <w:sz w:val="32"/>
          <w:szCs w:val="32"/>
        </w:rPr>
        <w:t>完成年初预算的0.00%,本单位无相关数据。本年无因公出国（境）。</w:t>
      </w:r>
    </w:p>
    <w:p w14:paraId="248051FD">
      <w:pPr>
        <w:jc w:val="left"/>
        <w:rPr>
          <w:rFonts w:ascii="宋体" w:hAnsi="宋体"/>
          <w:sz w:val="24"/>
          <w:szCs w:val="24"/>
          <w:lang w:val="zh-CN"/>
        </w:rPr>
      </w:pPr>
      <w:r>
        <w:rPr>
          <w:rFonts w:hint="eastAsia" w:ascii="华文仿宋" w:hAnsi="华文仿宋" w:eastAsia="华文仿宋" w:cs="华文仿宋"/>
          <w:b/>
          <w:color w:val="auto"/>
          <w:sz w:val="32"/>
          <w:szCs w:val="32"/>
          <w:lang w:val="zh-CN"/>
        </w:rPr>
        <w:t>2.公务用车购置及运行维护费</w:t>
      </w:r>
      <w:r>
        <w:rPr>
          <w:rFonts w:hint="eastAsia" w:ascii="华文仿宋" w:hAnsi="华文仿宋" w:eastAsia="华文仿宋" w:cs="华文仿宋"/>
          <w:color w:val="auto"/>
          <w:sz w:val="32"/>
          <w:szCs w:val="32"/>
          <w:lang w:val="en-US"/>
        </w:rPr>
        <w:t>全年</w:t>
      </w:r>
      <w:r>
        <w:rPr>
          <w:rFonts w:hint="eastAsia" w:ascii="华文仿宋" w:hAnsi="华文仿宋" w:eastAsia="华文仿宋" w:cs="华文仿宋"/>
          <w:color w:val="auto"/>
          <w:sz w:val="32"/>
          <w:szCs w:val="32"/>
          <w:lang w:val="zh-CN"/>
        </w:rPr>
        <w:t>预算数为7.00万元,支出决算为7.00万元,决算数等于预算数，完成年初预算的</w:t>
      </w:r>
      <w:r>
        <w:rPr>
          <w:rFonts w:hint="eastAsia" w:ascii="华文仿宋" w:hAnsi="华文仿宋" w:eastAsia="华文仿宋" w:cs="华文仿宋"/>
          <w:color w:val="auto"/>
          <w:sz w:val="32"/>
          <w:szCs w:val="32"/>
          <w:lang w:val="en-US" w:eastAsia="zh-CN"/>
        </w:rPr>
        <w:t>100%。</w:t>
      </w:r>
      <w:r>
        <w:rPr>
          <w:rFonts w:hint="eastAsia" w:ascii="华文仿宋" w:hAnsi="华文仿宋" w:eastAsia="华文仿宋" w:cs="华文仿宋"/>
          <w:color w:val="auto"/>
          <w:sz w:val="32"/>
          <w:szCs w:val="32"/>
          <w:lang w:val="en-US"/>
        </w:rPr>
        <w:t>较上年决算数</w:t>
      </w:r>
      <w:r>
        <w:rPr>
          <w:rFonts w:hint="eastAsia" w:ascii="华文仿宋" w:hAnsi="华文仿宋" w:eastAsia="华文仿宋" w:cs="华文仿宋"/>
          <w:color w:val="auto"/>
          <w:sz w:val="32"/>
          <w:szCs w:val="32"/>
          <w:lang w:val="en-US" w:eastAsia="zh-CN"/>
        </w:rPr>
        <w:t>减少31.39</w:t>
      </w:r>
      <w:r>
        <w:rPr>
          <w:rFonts w:hint="eastAsia" w:ascii="华文仿宋" w:hAnsi="华文仿宋" w:eastAsia="华文仿宋" w:cs="华文仿宋"/>
          <w:color w:val="auto"/>
          <w:sz w:val="32"/>
          <w:szCs w:val="32"/>
          <w:lang w:val="zh-CN"/>
        </w:rPr>
        <w:t>万元</w:t>
      </w:r>
      <w:r>
        <w:rPr>
          <w:rFonts w:hint="eastAsia" w:ascii="华文仿宋" w:hAnsi="华文仿宋" w:eastAsia="华文仿宋" w:cs="华文仿宋"/>
          <w:color w:val="auto"/>
          <w:sz w:val="32"/>
          <w:szCs w:val="32"/>
          <w:lang w:val="en-US"/>
        </w:rPr>
        <w:t>,</w:t>
      </w:r>
      <w:r>
        <w:rPr>
          <w:rFonts w:hint="eastAsia" w:ascii="华文仿宋" w:hAnsi="华文仿宋" w:eastAsia="华文仿宋" w:cs="华文仿宋"/>
          <w:color w:val="auto"/>
          <w:sz w:val="32"/>
          <w:szCs w:val="32"/>
          <w:lang w:val="en-US" w:eastAsia="zh-CN"/>
        </w:rPr>
        <w:t>下降81.77</w:t>
      </w:r>
      <w:r>
        <w:rPr>
          <w:rFonts w:hint="eastAsia" w:ascii="华文仿宋" w:hAnsi="华文仿宋" w:eastAsia="华文仿宋" w:cs="华文仿宋"/>
          <w:color w:val="auto"/>
          <w:sz w:val="32"/>
          <w:szCs w:val="32"/>
          <w:lang w:val="zh-CN"/>
        </w:rPr>
        <w:t>%</w:t>
      </w:r>
      <w:r>
        <w:rPr>
          <w:rFonts w:hint="eastAsia" w:ascii="华文仿宋" w:hAnsi="华文仿宋" w:eastAsia="华文仿宋" w:cs="华文仿宋"/>
          <w:color w:val="auto"/>
          <w:sz w:val="32"/>
          <w:szCs w:val="32"/>
          <w:lang w:val="en-US"/>
        </w:rPr>
        <w:t>,主要原因是</w:t>
      </w:r>
      <w:r>
        <w:rPr>
          <w:rFonts w:hint="eastAsia" w:ascii="华文仿宋" w:hAnsi="华文仿宋" w:eastAsia="华文仿宋" w:cs="华文仿宋"/>
          <w:color w:val="auto"/>
          <w:sz w:val="32"/>
          <w:szCs w:val="32"/>
          <w:lang w:val="en-US" w:eastAsia="zh-CN"/>
        </w:rPr>
        <w:t>：1.上年度购买执法执勤用车1辆；2.上年度</w:t>
      </w:r>
      <w:r>
        <w:rPr>
          <w:rFonts w:hint="eastAsia" w:ascii="华文仿宋" w:hAnsi="华文仿宋" w:eastAsia="华文仿宋" w:cs="华文仿宋"/>
          <w:color w:val="000000" w:themeColor="text1"/>
          <w:sz w:val="32"/>
          <w:szCs w:val="32"/>
          <w14:textFill>
            <w14:solidFill>
              <w14:schemeClr w14:val="tx1"/>
            </w14:solidFill>
          </w14:textFill>
        </w:rPr>
        <w:t>部分车辆老旧，车辆维修费及保险费增加</w:t>
      </w:r>
      <w:r>
        <w:rPr>
          <w:rFonts w:hint="eastAsia" w:ascii="华文仿宋" w:hAnsi="华文仿宋" w:eastAsia="华文仿宋" w:cs="华文仿宋"/>
          <w:color w:val="000000" w:themeColor="text1"/>
          <w:sz w:val="32"/>
          <w:szCs w:val="32"/>
          <w:lang w:val="zh-CN"/>
          <w14:textFill>
            <w14:solidFill>
              <w14:schemeClr w14:val="tx1"/>
            </w14:solidFill>
          </w14:textFill>
        </w:rPr>
        <w:t>。</w:t>
      </w:r>
    </w:p>
    <w:p w14:paraId="77727837">
      <w:pPr>
        <w:pStyle w:val="4"/>
        <w:shd w:val="clear" w:color="auto" w:fill="FFFFFF"/>
        <w:adjustRightInd w:val="0"/>
        <w:spacing w:line="520" w:lineRule="exact"/>
        <w:ind w:firstLine="641" w:firstLineChars="200"/>
        <w:rPr>
          <w:rFonts w:hint="eastAsia" w:ascii="华文仿宋" w:hAnsi="华文仿宋" w:eastAsia="华文仿宋" w:cs="华文仿宋"/>
          <w:color w:val="auto"/>
          <w:sz w:val="32"/>
          <w:szCs w:val="32"/>
          <w:lang w:val="en-US"/>
        </w:rPr>
      </w:pPr>
      <w:r>
        <w:rPr>
          <w:rFonts w:hint="eastAsia" w:ascii="华文仿宋" w:hAnsi="华文仿宋" w:eastAsia="华文仿宋" w:cs="华文仿宋"/>
          <w:b/>
          <w:color w:val="auto"/>
          <w:sz w:val="32"/>
          <w:szCs w:val="32"/>
          <w:lang w:val="zh-CN"/>
        </w:rPr>
        <w:t>其中：公务用车购置费</w:t>
      </w:r>
      <w:r>
        <w:rPr>
          <w:rFonts w:hint="eastAsia" w:ascii="华文仿宋" w:hAnsi="华文仿宋" w:eastAsia="华文仿宋" w:cs="华文仿宋"/>
          <w:color w:val="auto"/>
          <w:sz w:val="32"/>
          <w:szCs w:val="32"/>
          <w:lang w:val="en-US"/>
        </w:rPr>
        <w:t>全年</w:t>
      </w:r>
      <w:r>
        <w:rPr>
          <w:rFonts w:hint="eastAsia" w:ascii="华文仿宋" w:hAnsi="华文仿宋" w:eastAsia="华文仿宋" w:cs="华文仿宋"/>
          <w:color w:val="auto"/>
          <w:sz w:val="32"/>
          <w:szCs w:val="32"/>
          <w:lang w:val="zh-CN"/>
        </w:rPr>
        <w:t>预算数为0.00万元,支出决算为0.00万元,决算数等于预算数的，</w:t>
      </w:r>
      <w:r>
        <w:rPr>
          <w:rFonts w:hint="eastAsia" w:ascii="华文仿宋" w:hAnsi="华文仿宋" w:eastAsia="华文仿宋" w:cs="华文仿宋"/>
          <w:color w:val="auto"/>
          <w:sz w:val="32"/>
          <w:szCs w:val="32"/>
          <w:lang w:val="en-US"/>
        </w:rPr>
        <w:t>较上年决算数</w:t>
      </w:r>
      <w:r>
        <w:rPr>
          <w:rFonts w:hint="eastAsia" w:ascii="华文仿宋" w:hAnsi="华文仿宋" w:eastAsia="华文仿宋" w:cs="华文仿宋"/>
          <w:color w:val="auto"/>
          <w:sz w:val="32"/>
          <w:szCs w:val="32"/>
          <w:lang w:val="en-US" w:eastAsia="zh-CN"/>
        </w:rPr>
        <w:t>减少18.39</w:t>
      </w:r>
      <w:r>
        <w:rPr>
          <w:rFonts w:hint="eastAsia" w:ascii="华文仿宋" w:hAnsi="华文仿宋" w:eastAsia="华文仿宋" w:cs="华文仿宋"/>
          <w:color w:val="auto"/>
          <w:sz w:val="32"/>
          <w:szCs w:val="32"/>
          <w:lang w:val="zh-CN"/>
        </w:rPr>
        <w:t>万元</w:t>
      </w:r>
      <w:r>
        <w:rPr>
          <w:rFonts w:hint="eastAsia" w:ascii="华文仿宋" w:hAnsi="华文仿宋" w:eastAsia="华文仿宋" w:cs="华文仿宋"/>
          <w:color w:val="auto"/>
          <w:sz w:val="32"/>
          <w:szCs w:val="32"/>
          <w:lang w:val="en-US"/>
        </w:rPr>
        <w:t>,</w:t>
      </w:r>
      <w:r>
        <w:rPr>
          <w:rFonts w:hint="eastAsia" w:ascii="华文仿宋" w:hAnsi="华文仿宋" w:eastAsia="华文仿宋" w:cs="华文仿宋"/>
          <w:color w:val="auto"/>
          <w:sz w:val="32"/>
          <w:szCs w:val="32"/>
          <w:lang w:val="en-US" w:eastAsia="zh-CN"/>
        </w:rPr>
        <w:t>下降100.0</w:t>
      </w:r>
      <w:r>
        <w:rPr>
          <w:rFonts w:hint="eastAsia" w:ascii="华文仿宋" w:hAnsi="华文仿宋" w:eastAsia="华文仿宋" w:cs="华文仿宋"/>
          <w:color w:val="auto"/>
          <w:sz w:val="32"/>
          <w:szCs w:val="32"/>
          <w:lang w:val="zh-CN"/>
        </w:rPr>
        <w:t>%</w:t>
      </w:r>
      <w:r>
        <w:rPr>
          <w:rFonts w:hint="eastAsia" w:ascii="华文仿宋" w:hAnsi="华文仿宋" w:eastAsia="华文仿宋" w:cs="华文仿宋"/>
          <w:color w:val="auto"/>
          <w:sz w:val="32"/>
          <w:szCs w:val="32"/>
          <w:lang w:val="en-US"/>
        </w:rPr>
        <w:t>,主要原因是</w:t>
      </w:r>
      <w:r>
        <w:rPr>
          <w:rFonts w:hint="eastAsia" w:ascii="华文仿宋" w:hAnsi="华文仿宋" w:eastAsia="华文仿宋" w:cs="华文仿宋"/>
          <w:color w:val="auto"/>
          <w:sz w:val="32"/>
          <w:szCs w:val="32"/>
          <w:lang w:val="en-US" w:eastAsia="zh-CN"/>
        </w:rPr>
        <w:t>上年度购买执法执勤用车1辆。</w:t>
      </w:r>
    </w:p>
    <w:p w14:paraId="2C63CE6D">
      <w:pPr>
        <w:jc w:val="left"/>
        <w:rPr>
          <w:rFonts w:hint="eastAsia" w:ascii="华文仿宋" w:hAnsi="华文仿宋" w:eastAsia="华文仿宋" w:cs="华文仿宋"/>
          <w:color w:val="000000" w:themeColor="text1"/>
          <w:sz w:val="32"/>
          <w:szCs w:val="32"/>
          <w:lang w:val="zh-CN"/>
          <w14:textFill>
            <w14:solidFill>
              <w14:schemeClr w14:val="tx1"/>
            </w14:solidFill>
          </w14:textFill>
        </w:rPr>
      </w:pPr>
      <w:r>
        <w:rPr>
          <w:rFonts w:hint="eastAsia" w:ascii="华文仿宋" w:hAnsi="华文仿宋" w:eastAsia="华文仿宋" w:cs="华文仿宋"/>
          <w:b/>
          <w:color w:val="auto"/>
          <w:sz w:val="32"/>
          <w:szCs w:val="32"/>
          <w:lang w:val="zh-CN"/>
        </w:rPr>
        <w:t>公务用车运行维护费</w:t>
      </w:r>
      <w:r>
        <w:rPr>
          <w:rFonts w:hint="eastAsia" w:ascii="华文仿宋" w:hAnsi="华文仿宋" w:eastAsia="华文仿宋" w:cs="华文仿宋"/>
          <w:color w:val="auto"/>
          <w:sz w:val="32"/>
          <w:szCs w:val="32"/>
          <w:lang w:val="en-US"/>
        </w:rPr>
        <w:t>全年</w:t>
      </w:r>
      <w:r>
        <w:rPr>
          <w:rFonts w:hint="eastAsia" w:ascii="华文仿宋" w:hAnsi="华文仿宋" w:eastAsia="华文仿宋" w:cs="华文仿宋"/>
          <w:color w:val="auto"/>
          <w:sz w:val="32"/>
          <w:szCs w:val="32"/>
          <w:lang w:val="zh-CN"/>
        </w:rPr>
        <w:t>预算数为7.00万元,支出决算为7.00万元,决算数等于预算数，完成年初预算的</w:t>
      </w:r>
      <w:r>
        <w:rPr>
          <w:rFonts w:hint="eastAsia" w:ascii="华文仿宋" w:hAnsi="华文仿宋" w:eastAsia="华文仿宋" w:cs="华文仿宋"/>
          <w:color w:val="auto"/>
          <w:sz w:val="32"/>
          <w:szCs w:val="32"/>
          <w:lang w:val="en-US" w:eastAsia="zh-CN"/>
        </w:rPr>
        <w:t>100%，</w:t>
      </w:r>
      <w:r>
        <w:rPr>
          <w:rFonts w:hint="eastAsia" w:ascii="华文仿宋" w:hAnsi="华文仿宋" w:eastAsia="华文仿宋" w:cs="华文仿宋"/>
          <w:color w:val="auto"/>
          <w:sz w:val="32"/>
          <w:szCs w:val="32"/>
          <w:lang w:val="en-US"/>
        </w:rPr>
        <w:t>较上年决算数</w:t>
      </w:r>
      <w:r>
        <w:rPr>
          <w:rFonts w:hint="eastAsia" w:ascii="华文仿宋" w:hAnsi="华文仿宋" w:eastAsia="华文仿宋" w:cs="华文仿宋"/>
          <w:color w:val="auto"/>
          <w:sz w:val="32"/>
          <w:szCs w:val="32"/>
          <w:lang w:val="en-US" w:eastAsia="zh-CN"/>
        </w:rPr>
        <w:t>减少13.0</w:t>
      </w:r>
      <w:r>
        <w:rPr>
          <w:rFonts w:hint="eastAsia" w:ascii="华文仿宋" w:hAnsi="华文仿宋" w:eastAsia="华文仿宋" w:cs="华文仿宋"/>
          <w:color w:val="auto"/>
          <w:sz w:val="32"/>
          <w:szCs w:val="32"/>
          <w:lang w:val="zh-CN"/>
        </w:rPr>
        <w:t>万元</w:t>
      </w:r>
      <w:r>
        <w:rPr>
          <w:rFonts w:hint="eastAsia" w:ascii="华文仿宋" w:hAnsi="华文仿宋" w:eastAsia="华文仿宋" w:cs="华文仿宋"/>
          <w:color w:val="auto"/>
          <w:sz w:val="32"/>
          <w:szCs w:val="32"/>
          <w:lang w:val="en-US"/>
        </w:rPr>
        <w:t>,</w:t>
      </w:r>
      <w:r>
        <w:rPr>
          <w:rFonts w:hint="eastAsia" w:ascii="华文仿宋" w:hAnsi="华文仿宋" w:eastAsia="华文仿宋" w:cs="华文仿宋"/>
          <w:color w:val="auto"/>
          <w:sz w:val="32"/>
          <w:szCs w:val="32"/>
          <w:lang w:val="en-US" w:eastAsia="zh-CN"/>
        </w:rPr>
        <w:t>下降65.0</w:t>
      </w:r>
      <w:r>
        <w:rPr>
          <w:rFonts w:hint="eastAsia" w:ascii="华文仿宋" w:hAnsi="华文仿宋" w:eastAsia="华文仿宋" w:cs="华文仿宋"/>
          <w:color w:val="auto"/>
          <w:sz w:val="32"/>
          <w:szCs w:val="32"/>
          <w:lang w:val="zh-CN"/>
        </w:rPr>
        <w:t>%</w:t>
      </w:r>
      <w:r>
        <w:rPr>
          <w:rFonts w:hint="eastAsia" w:ascii="华文仿宋" w:hAnsi="华文仿宋" w:eastAsia="华文仿宋" w:cs="华文仿宋"/>
          <w:color w:val="auto"/>
          <w:sz w:val="32"/>
          <w:szCs w:val="32"/>
          <w:lang w:val="en-US"/>
        </w:rPr>
        <w:t>,主要原因是</w:t>
      </w:r>
      <w:r>
        <w:rPr>
          <w:rFonts w:hint="eastAsia" w:ascii="华文仿宋" w:hAnsi="华文仿宋" w:eastAsia="华文仿宋" w:cs="华文仿宋"/>
          <w:color w:val="auto"/>
          <w:sz w:val="32"/>
          <w:szCs w:val="32"/>
          <w:lang w:val="en-US" w:eastAsia="zh-CN"/>
        </w:rPr>
        <w:t>上年度</w:t>
      </w:r>
      <w:r>
        <w:rPr>
          <w:rFonts w:hint="eastAsia" w:ascii="华文仿宋" w:hAnsi="华文仿宋" w:eastAsia="华文仿宋" w:cs="华文仿宋"/>
          <w:color w:val="000000" w:themeColor="text1"/>
          <w:sz w:val="32"/>
          <w:szCs w:val="32"/>
          <w14:textFill>
            <w14:solidFill>
              <w14:schemeClr w14:val="tx1"/>
            </w14:solidFill>
          </w14:textFill>
        </w:rPr>
        <w:t>部分车辆老旧，车辆维修费及保险费增加</w:t>
      </w:r>
      <w:r>
        <w:rPr>
          <w:rFonts w:hint="eastAsia" w:ascii="华文仿宋" w:hAnsi="华文仿宋" w:eastAsia="华文仿宋" w:cs="华文仿宋"/>
          <w:color w:val="000000" w:themeColor="text1"/>
          <w:sz w:val="32"/>
          <w:szCs w:val="32"/>
          <w:lang w:val="zh-CN"/>
          <w14:textFill>
            <w14:solidFill>
              <w14:schemeClr w14:val="tx1"/>
            </w14:solidFill>
          </w14:textFill>
        </w:rPr>
        <w:t>。</w:t>
      </w:r>
    </w:p>
    <w:p w14:paraId="6F819CED">
      <w:pPr>
        <w:jc w:val="left"/>
        <w:rPr>
          <w:rFonts w:hint="eastAsia" w:ascii="华文仿宋" w:hAnsi="华文仿宋" w:eastAsia="华文仿宋" w:cs="华文仿宋"/>
          <w:color w:val="FF0000"/>
          <w:sz w:val="32"/>
          <w:szCs w:val="32"/>
          <w:lang w:val="zh-CN"/>
        </w:rPr>
      </w:pPr>
      <w:r>
        <w:rPr>
          <w:rFonts w:hint="eastAsia" w:ascii="华文仿宋" w:hAnsi="华文仿宋" w:eastAsia="华文仿宋" w:cs="华文仿宋"/>
          <w:color w:val="000000" w:themeColor="text1"/>
          <w:sz w:val="32"/>
          <w:szCs w:val="32"/>
          <w:lang w:val="en-US" w:eastAsia="zh-CN"/>
          <w14:textFill>
            <w14:solidFill>
              <w14:schemeClr w14:val="tx1"/>
            </w14:solidFill>
          </w14:textFill>
        </w:rPr>
        <w:t>3.</w:t>
      </w:r>
      <w:r>
        <w:rPr>
          <w:rFonts w:hint="eastAsia" w:ascii="华文仿宋" w:hAnsi="华文仿宋" w:eastAsia="华文仿宋" w:cs="华文仿宋"/>
          <w:b/>
          <w:color w:val="auto"/>
          <w:sz w:val="32"/>
          <w:szCs w:val="32"/>
          <w:lang w:val="zh-CN"/>
        </w:rPr>
        <w:t>公务接待费</w:t>
      </w:r>
      <w:r>
        <w:rPr>
          <w:rFonts w:hint="eastAsia" w:ascii="华文仿宋" w:hAnsi="华文仿宋" w:eastAsia="华文仿宋" w:cs="华文仿宋"/>
          <w:color w:val="auto"/>
          <w:sz w:val="32"/>
          <w:szCs w:val="32"/>
          <w:lang w:val="en-US"/>
        </w:rPr>
        <w:t>全</w:t>
      </w:r>
      <w:r>
        <w:rPr>
          <w:rFonts w:hint="eastAsia" w:ascii="华文仿宋" w:hAnsi="华文仿宋" w:eastAsia="华文仿宋" w:cs="华文仿宋"/>
          <w:color w:val="auto"/>
          <w:sz w:val="32"/>
          <w:szCs w:val="32"/>
          <w:lang w:val="zh-CN"/>
        </w:rPr>
        <w:t>年预算数为1.62万元,支出决算为0.00万元,决算数小于预算数的主要原因是本年度未发生公务接待，故未产生相关费用，</w:t>
      </w:r>
      <w:r>
        <w:rPr>
          <w:rFonts w:hint="eastAsia" w:ascii="华文仿宋" w:hAnsi="华文仿宋" w:eastAsia="华文仿宋" w:cs="华文仿宋"/>
          <w:color w:val="auto"/>
          <w:sz w:val="32"/>
          <w:szCs w:val="32"/>
          <w:lang w:val="en-US"/>
        </w:rPr>
        <w:t>较上年决算数</w:t>
      </w:r>
      <w:r>
        <w:rPr>
          <w:rFonts w:hint="eastAsia" w:ascii="华文仿宋" w:hAnsi="华文仿宋" w:eastAsia="华文仿宋" w:cs="华文仿宋"/>
          <w:color w:val="auto"/>
          <w:sz w:val="32"/>
          <w:szCs w:val="32"/>
          <w:lang w:val="en-US" w:eastAsia="zh-CN"/>
        </w:rPr>
        <w:t>减少0.0</w:t>
      </w:r>
      <w:r>
        <w:rPr>
          <w:rFonts w:hint="eastAsia" w:ascii="华文仿宋" w:hAnsi="华文仿宋" w:eastAsia="华文仿宋" w:cs="华文仿宋"/>
          <w:color w:val="auto"/>
          <w:sz w:val="32"/>
          <w:szCs w:val="32"/>
          <w:lang w:val="zh-CN"/>
        </w:rPr>
        <w:t>万元</w:t>
      </w:r>
      <w:r>
        <w:rPr>
          <w:rFonts w:hint="eastAsia" w:ascii="华文仿宋" w:hAnsi="华文仿宋" w:eastAsia="华文仿宋" w:cs="华文仿宋"/>
          <w:color w:val="auto"/>
          <w:sz w:val="32"/>
          <w:szCs w:val="32"/>
          <w:lang w:val="en-US"/>
        </w:rPr>
        <w:t>,</w:t>
      </w:r>
      <w:r>
        <w:rPr>
          <w:rFonts w:hint="eastAsia" w:ascii="华文仿宋" w:hAnsi="华文仿宋" w:eastAsia="华文仿宋" w:cs="华文仿宋"/>
          <w:color w:val="auto"/>
          <w:sz w:val="32"/>
          <w:szCs w:val="32"/>
          <w:lang w:val="en-US" w:eastAsia="zh-CN"/>
        </w:rPr>
        <w:t>与上年度持平。</w:t>
      </w:r>
    </w:p>
    <w:p w14:paraId="68350E75">
      <w:pPr>
        <w:numPr>
          <w:ilvl w:val="0"/>
          <w:numId w:val="0"/>
        </w:numPr>
        <w:spacing w:before="100" w:beforeLines="0" w:after="100" w:afterLines="0"/>
        <w:jc w:val="left"/>
        <w:rPr>
          <w:rFonts w:hint="eastAsia" w:ascii="华文仿宋" w:hAnsi="华文仿宋" w:eastAsia="华文仿宋" w:cs="华文仿宋"/>
          <w:color w:val="FF0000"/>
          <w:sz w:val="32"/>
          <w:szCs w:val="32"/>
          <w:lang w:val="en-US" w:eastAsia="zh-CN"/>
        </w:rPr>
      </w:pPr>
      <w:r>
        <w:rPr>
          <w:rFonts w:hint="eastAsia" w:ascii="华文仿宋" w:hAnsi="华文仿宋" w:eastAsia="华文仿宋" w:cs="华文仿宋"/>
          <w:color w:val="000000" w:themeColor="text1"/>
          <w:sz w:val="32"/>
          <w:szCs w:val="32"/>
          <w:lang w:val="zh-CN"/>
          <w14:textFill>
            <w14:solidFill>
              <w14:schemeClr w14:val="tx1"/>
            </w14:solidFill>
          </w14:textFill>
        </w:rPr>
        <w:t>外事接待费支出0.00</w:t>
      </w:r>
      <w:r>
        <w:rPr>
          <w:rFonts w:hint="eastAsia" w:ascii="华文仿宋" w:hAnsi="华文仿宋" w:eastAsia="华文仿宋" w:cs="华文仿宋"/>
          <w:color w:val="auto"/>
          <w:sz w:val="32"/>
          <w:szCs w:val="32"/>
          <w:lang w:val="zh-CN"/>
        </w:rPr>
        <w:t>万元。</w:t>
      </w:r>
      <w:r>
        <w:rPr>
          <w:rFonts w:hint="eastAsia" w:ascii="华文仿宋" w:hAnsi="华文仿宋" w:eastAsia="华文仿宋" w:cs="华文仿宋"/>
          <w:color w:val="000000" w:themeColor="text1"/>
          <w:sz w:val="32"/>
          <w:szCs w:val="32"/>
          <w:lang w:val="en-US" w:eastAsia="zh-CN"/>
          <w14:textFill>
            <w14:solidFill>
              <w14:schemeClr w14:val="tx1"/>
            </w14:solidFill>
          </w14:textFill>
        </w:rPr>
        <w:t>其他国内公务接待支出0.00</w:t>
      </w:r>
      <w:r>
        <w:rPr>
          <w:rFonts w:hint="eastAsia" w:ascii="华文仿宋" w:hAnsi="华文仿宋" w:eastAsia="华文仿宋" w:cs="华文仿宋"/>
          <w:color w:val="auto"/>
          <w:sz w:val="32"/>
          <w:szCs w:val="32"/>
          <w:lang w:val="zh-CN"/>
        </w:rPr>
        <w:t>万元。</w:t>
      </w:r>
    </w:p>
    <w:p w14:paraId="34F426C6">
      <w:pPr>
        <w:numPr>
          <w:ilvl w:val="0"/>
          <w:numId w:val="3"/>
        </w:numPr>
        <w:spacing w:before="100" w:beforeLines="0" w:after="100" w:afterLines="0"/>
        <w:ind w:left="0" w:leftChars="0" w:firstLine="0" w:firstLineChars="0"/>
        <w:jc w:val="left"/>
        <w:rPr>
          <w:rFonts w:hint="eastAsia" w:ascii="华文仿宋" w:hAnsi="华文仿宋" w:eastAsia="华文仿宋" w:cs="华文仿宋"/>
          <w:b/>
          <w:color w:val="auto"/>
          <w:sz w:val="32"/>
          <w:szCs w:val="32"/>
          <w:lang w:val="zh-CN"/>
        </w:rPr>
      </w:pPr>
      <w:r>
        <w:rPr>
          <w:rFonts w:hint="eastAsia" w:ascii="华文仿宋" w:hAnsi="华文仿宋" w:eastAsia="华文仿宋" w:cs="华文仿宋"/>
          <w:b/>
          <w:color w:val="auto"/>
          <w:sz w:val="32"/>
          <w:szCs w:val="32"/>
          <w:lang w:val="zh-CN"/>
        </w:rPr>
        <w:t>“三公”经费财政拨款支出决算实物量情况</w:t>
      </w:r>
    </w:p>
    <w:p w14:paraId="6FC60EFC">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2023年度本部门</w:t>
      </w:r>
      <w:r>
        <w:rPr>
          <w:rFonts w:hint="eastAsia" w:ascii="华文仿宋" w:hAnsi="华文仿宋" w:eastAsia="华文仿宋" w:cs="华文仿宋"/>
          <w:b/>
          <w:color w:val="auto"/>
          <w:sz w:val="32"/>
          <w:szCs w:val="32"/>
          <w:lang w:val="zh-CN"/>
        </w:rPr>
        <w:t>因公出国(境)</w:t>
      </w:r>
      <w:r>
        <w:rPr>
          <w:rFonts w:hint="eastAsia" w:ascii="华文仿宋" w:hAnsi="华文仿宋" w:eastAsia="华文仿宋" w:cs="华文仿宋"/>
          <w:color w:val="auto"/>
          <w:sz w:val="32"/>
          <w:szCs w:val="32"/>
          <w:lang w:val="zh-CN"/>
        </w:rPr>
        <w:t>共计</w:t>
      </w:r>
      <w:r>
        <w:rPr>
          <w:rFonts w:hint="eastAsia" w:ascii="华文仿宋" w:hAnsi="华文仿宋" w:eastAsia="华文仿宋" w:cs="华文仿宋"/>
          <w:color w:val="auto"/>
          <w:sz w:val="32"/>
          <w:szCs w:val="32"/>
          <w:lang w:val="en-US" w:eastAsia="zh-CN"/>
        </w:rPr>
        <w:t>0</w:t>
      </w:r>
      <w:r>
        <w:rPr>
          <w:rFonts w:hint="eastAsia" w:ascii="华文仿宋" w:hAnsi="华文仿宋" w:eastAsia="华文仿宋" w:cs="华文仿宋"/>
          <w:color w:val="auto"/>
          <w:sz w:val="32"/>
          <w:szCs w:val="32"/>
          <w:lang w:val="zh-CN"/>
        </w:rPr>
        <w:t>个团组,</w:t>
      </w:r>
      <w:r>
        <w:rPr>
          <w:rFonts w:hint="eastAsia" w:ascii="华文仿宋" w:hAnsi="华文仿宋" w:eastAsia="华文仿宋" w:cs="华文仿宋"/>
          <w:color w:val="auto"/>
          <w:sz w:val="32"/>
          <w:szCs w:val="32"/>
          <w:lang w:val="en-US" w:eastAsia="zh-CN"/>
        </w:rPr>
        <w:t>0</w:t>
      </w:r>
      <w:r>
        <w:rPr>
          <w:rFonts w:hint="eastAsia" w:ascii="华文仿宋" w:hAnsi="华文仿宋" w:eastAsia="华文仿宋" w:cs="华文仿宋"/>
          <w:color w:val="auto"/>
          <w:sz w:val="32"/>
          <w:szCs w:val="32"/>
          <w:lang w:val="zh-CN"/>
        </w:rPr>
        <w:t>人；</w:t>
      </w:r>
      <w:r>
        <w:rPr>
          <w:rFonts w:hint="eastAsia" w:ascii="华文仿宋" w:hAnsi="华文仿宋" w:eastAsia="华文仿宋" w:cs="华文仿宋"/>
          <w:b/>
          <w:color w:val="auto"/>
          <w:sz w:val="32"/>
          <w:szCs w:val="32"/>
          <w:lang w:val="zh-CN"/>
        </w:rPr>
        <w:t>公务用车购置</w:t>
      </w:r>
      <w:r>
        <w:rPr>
          <w:rFonts w:hint="eastAsia" w:ascii="华文仿宋" w:hAnsi="华文仿宋" w:eastAsia="华文仿宋" w:cs="华文仿宋"/>
          <w:b/>
          <w:color w:val="auto"/>
          <w:sz w:val="32"/>
          <w:szCs w:val="32"/>
          <w:lang w:val="en-US" w:eastAsia="zh-CN"/>
        </w:rPr>
        <w:t>0</w:t>
      </w:r>
      <w:r>
        <w:rPr>
          <w:rFonts w:hint="eastAsia" w:ascii="华文仿宋" w:hAnsi="华文仿宋" w:eastAsia="华文仿宋" w:cs="华文仿宋"/>
          <w:color w:val="auto"/>
          <w:sz w:val="32"/>
          <w:szCs w:val="32"/>
          <w:lang w:val="zh-CN"/>
        </w:rPr>
        <w:t>辆,</w:t>
      </w:r>
      <w:r>
        <w:rPr>
          <w:rFonts w:hint="eastAsia" w:ascii="华文仿宋" w:hAnsi="华文仿宋" w:eastAsia="华文仿宋" w:cs="华文仿宋"/>
          <w:b/>
          <w:color w:val="auto"/>
          <w:sz w:val="32"/>
          <w:szCs w:val="32"/>
          <w:lang w:val="zh-CN"/>
        </w:rPr>
        <w:t>公务用车保有量</w:t>
      </w:r>
      <w:r>
        <w:rPr>
          <w:rFonts w:hint="eastAsia" w:ascii="华文仿宋" w:hAnsi="华文仿宋" w:eastAsia="华文仿宋" w:cs="华文仿宋"/>
          <w:color w:val="auto"/>
          <w:sz w:val="32"/>
          <w:szCs w:val="32"/>
          <w:lang w:val="zh-CN"/>
        </w:rPr>
        <w:t>为7辆；</w:t>
      </w:r>
      <w:r>
        <w:rPr>
          <w:rFonts w:hint="eastAsia" w:ascii="华文仿宋" w:hAnsi="华文仿宋" w:eastAsia="华文仿宋" w:cs="华文仿宋"/>
          <w:b/>
          <w:color w:val="auto"/>
          <w:sz w:val="32"/>
          <w:szCs w:val="32"/>
          <w:lang w:val="zh-CN"/>
        </w:rPr>
        <w:t>国内公务接待</w:t>
      </w:r>
      <w:r>
        <w:rPr>
          <w:rFonts w:hint="eastAsia" w:ascii="华文仿宋" w:hAnsi="华文仿宋" w:eastAsia="华文仿宋" w:cs="华文仿宋"/>
          <w:b/>
          <w:color w:val="auto"/>
          <w:sz w:val="32"/>
          <w:szCs w:val="32"/>
          <w:lang w:val="en-US" w:eastAsia="zh-CN"/>
        </w:rPr>
        <w:t>0</w:t>
      </w:r>
      <w:r>
        <w:rPr>
          <w:rFonts w:hint="eastAsia" w:ascii="华文仿宋" w:hAnsi="华文仿宋" w:eastAsia="华文仿宋" w:cs="华文仿宋"/>
          <w:color w:val="auto"/>
          <w:sz w:val="32"/>
          <w:szCs w:val="32"/>
          <w:lang w:val="zh-CN"/>
        </w:rPr>
        <w:t>批次</w:t>
      </w:r>
      <w:r>
        <w:rPr>
          <w:rFonts w:hint="eastAsia" w:ascii="华文仿宋" w:hAnsi="华文仿宋" w:eastAsia="华文仿宋" w:cs="华文仿宋"/>
          <w:color w:val="auto"/>
          <w:sz w:val="32"/>
          <w:szCs w:val="32"/>
          <w:lang w:val="en-US" w:eastAsia="zh-CN"/>
        </w:rPr>
        <w:t>0</w:t>
      </w:r>
      <w:r>
        <w:rPr>
          <w:rFonts w:hint="eastAsia" w:ascii="华文仿宋" w:hAnsi="华文仿宋" w:eastAsia="华文仿宋" w:cs="华文仿宋"/>
          <w:color w:val="auto"/>
          <w:sz w:val="32"/>
          <w:szCs w:val="32"/>
          <w:lang w:val="zh-CN"/>
        </w:rPr>
        <w:t>人,其中：</w:t>
      </w:r>
      <w:r>
        <w:rPr>
          <w:rFonts w:hint="eastAsia" w:ascii="华文仿宋" w:hAnsi="华文仿宋" w:eastAsia="华文仿宋" w:cs="华文仿宋"/>
          <w:b/>
          <w:color w:val="auto"/>
          <w:sz w:val="32"/>
          <w:szCs w:val="32"/>
          <w:lang w:val="zh-CN"/>
        </w:rPr>
        <w:t>外事接待</w:t>
      </w:r>
      <w:r>
        <w:rPr>
          <w:rFonts w:hint="eastAsia" w:ascii="华文仿宋" w:hAnsi="华文仿宋" w:eastAsia="华文仿宋" w:cs="华文仿宋"/>
          <w:b/>
          <w:color w:val="auto"/>
          <w:sz w:val="32"/>
          <w:szCs w:val="32"/>
          <w:lang w:val="en-US" w:eastAsia="zh-CN"/>
        </w:rPr>
        <w:t>0</w:t>
      </w:r>
      <w:r>
        <w:rPr>
          <w:rFonts w:hint="eastAsia" w:ascii="华文仿宋" w:hAnsi="华文仿宋" w:eastAsia="华文仿宋" w:cs="华文仿宋"/>
          <w:color w:val="auto"/>
          <w:sz w:val="32"/>
          <w:szCs w:val="32"/>
          <w:lang w:val="zh-CN"/>
        </w:rPr>
        <w:t>批次</w:t>
      </w:r>
      <w:r>
        <w:rPr>
          <w:rFonts w:hint="eastAsia" w:ascii="华文仿宋" w:hAnsi="华文仿宋" w:eastAsia="华文仿宋" w:cs="华文仿宋"/>
          <w:color w:val="auto"/>
          <w:sz w:val="32"/>
          <w:szCs w:val="32"/>
          <w:lang w:val="en-US" w:eastAsia="zh-CN"/>
        </w:rPr>
        <w:t>0</w:t>
      </w:r>
      <w:r>
        <w:rPr>
          <w:rFonts w:hint="eastAsia" w:ascii="华文仿宋" w:hAnsi="华文仿宋" w:eastAsia="华文仿宋" w:cs="华文仿宋"/>
          <w:color w:val="auto"/>
          <w:sz w:val="32"/>
          <w:szCs w:val="32"/>
          <w:lang w:val="zh-CN"/>
        </w:rPr>
        <w:t>人；</w:t>
      </w:r>
      <w:r>
        <w:rPr>
          <w:rFonts w:hint="eastAsia" w:ascii="华文仿宋" w:hAnsi="华文仿宋" w:eastAsia="华文仿宋" w:cs="华文仿宋"/>
          <w:b/>
          <w:color w:val="auto"/>
          <w:sz w:val="32"/>
          <w:szCs w:val="32"/>
          <w:lang w:val="zh-CN"/>
        </w:rPr>
        <w:t>国(境)外公务接待</w:t>
      </w:r>
      <w:r>
        <w:rPr>
          <w:rFonts w:hint="eastAsia" w:ascii="华文仿宋" w:hAnsi="华文仿宋" w:eastAsia="华文仿宋" w:cs="华文仿宋"/>
          <w:b/>
          <w:color w:val="auto"/>
          <w:sz w:val="32"/>
          <w:szCs w:val="32"/>
          <w:lang w:val="en-US" w:eastAsia="zh-CN"/>
        </w:rPr>
        <w:t>0</w:t>
      </w:r>
      <w:r>
        <w:rPr>
          <w:rFonts w:hint="eastAsia" w:ascii="华文仿宋" w:hAnsi="华文仿宋" w:eastAsia="华文仿宋" w:cs="华文仿宋"/>
          <w:color w:val="auto"/>
          <w:sz w:val="32"/>
          <w:szCs w:val="32"/>
          <w:lang w:val="zh-CN"/>
        </w:rPr>
        <w:t>批次</w:t>
      </w:r>
      <w:r>
        <w:rPr>
          <w:rFonts w:hint="eastAsia" w:ascii="华文仿宋" w:hAnsi="华文仿宋" w:eastAsia="华文仿宋" w:cs="华文仿宋"/>
          <w:color w:val="auto"/>
          <w:sz w:val="32"/>
          <w:szCs w:val="32"/>
          <w:lang w:val="en-US" w:eastAsia="zh-CN"/>
        </w:rPr>
        <w:t>0</w:t>
      </w:r>
      <w:r>
        <w:rPr>
          <w:rFonts w:hint="eastAsia" w:ascii="华文仿宋" w:hAnsi="华文仿宋" w:eastAsia="华文仿宋" w:cs="华文仿宋"/>
          <w:color w:val="auto"/>
          <w:sz w:val="32"/>
          <w:szCs w:val="32"/>
          <w:lang w:val="zh-CN"/>
        </w:rPr>
        <w:t>人。</w:t>
      </w:r>
    </w:p>
    <w:p w14:paraId="45BC69F2">
      <w:pPr>
        <w:spacing w:before="100" w:beforeLines="0" w:after="100" w:afterLines="0"/>
        <w:jc w:val="left"/>
        <w:rPr>
          <w:rFonts w:hint="eastAsia" w:ascii="华文仿宋" w:hAnsi="华文仿宋" w:eastAsia="华文仿宋" w:cs="华文仿宋"/>
          <w:b/>
          <w:bCs/>
          <w:color w:val="auto"/>
          <w:sz w:val="32"/>
          <w:szCs w:val="32"/>
          <w:lang w:val="zh-CN" w:eastAsia="zh-CN"/>
        </w:rPr>
      </w:pPr>
      <w:r>
        <w:rPr>
          <w:rFonts w:hint="eastAsia" w:ascii="华文仿宋" w:hAnsi="华文仿宋" w:eastAsia="华文仿宋" w:cs="华文仿宋"/>
          <w:b/>
          <w:bCs/>
          <w:color w:val="auto"/>
          <w:sz w:val="32"/>
          <w:szCs w:val="32"/>
          <w:lang w:val="en-US" w:eastAsia="zh-CN"/>
        </w:rPr>
        <w:t>十</w:t>
      </w:r>
      <w:r>
        <w:rPr>
          <w:rFonts w:hint="eastAsia" w:ascii="华文仿宋" w:hAnsi="华文仿宋" w:eastAsia="华文仿宋" w:cs="华文仿宋"/>
          <w:b/>
          <w:bCs/>
          <w:color w:val="auto"/>
          <w:sz w:val="32"/>
          <w:szCs w:val="32"/>
          <w:lang w:val="zh-CN" w:eastAsia="zh-CN"/>
        </w:rPr>
        <w:t>、机关运行经费支出情况说明</w:t>
      </w:r>
    </w:p>
    <w:p w14:paraId="7FD4D1D9">
      <w:pPr>
        <w:spacing w:before="100" w:beforeLines="0" w:after="100" w:afterLines="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zh-CN"/>
        </w:rPr>
        <w:t>2023年度本部门机关运行经费支出210.89万元,机关运行经费主要用于开支办公费、印刷费、咨询费、手续费、</w:t>
      </w:r>
      <w:r>
        <w:rPr>
          <w:rFonts w:hint="eastAsia" w:ascii="华文仿宋" w:hAnsi="华文仿宋" w:eastAsia="华文仿宋" w:cs="华文仿宋"/>
          <w:color w:val="auto"/>
          <w:sz w:val="32"/>
          <w:szCs w:val="32"/>
        </w:rPr>
        <w:t>差旅费、水电费、公务用车运行维护费、公务接待费、劳务费、邮电费、福利费、工会经费</w:t>
      </w:r>
      <w:r>
        <w:rPr>
          <w:rFonts w:hint="eastAsia" w:ascii="华文仿宋" w:hAnsi="华文仿宋" w:eastAsia="华文仿宋" w:cs="华文仿宋"/>
          <w:color w:val="auto"/>
          <w:sz w:val="32"/>
          <w:szCs w:val="32"/>
          <w:lang w:val="zh-CN"/>
        </w:rPr>
        <w:t>。机关运行经费较上年决算数增加66.89万元,增长46.45%,主要原因是：</w:t>
      </w:r>
      <w:r>
        <w:rPr>
          <w:rFonts w:hint="eastAsia" w:ascii="华文仿宋" w:hAnsi="华文仿宋" w:eastAsia="华文仿宋" w:cs="华文仿宋"/>
          <w:color w:val="auto"/>
          <w:sz w:val="32"/>
          <w:szCs w:val="32"/>
          <w:lang w:val="en-US" w:eastAsia="zh-CN"/>
        </w:rPr>
        <w:t>1.</w:t>
      </w:r>
      <w:r>
        <w:rPr>
          <w:rFonts w:hint="eastAsia" w:ascii="华文仿宋" w:hAnsi="华文仿宋" w:eastAsia="华文仿宋" w:cs="华文仿宋"/>
          <w:color w:val="auto"/>
          <w:sz w:val="32"/>
          <w:szCs w:val="32"/>
          <w:lang w:val="zh-CN"/>
        </w:rPr>
        <w:t>办案办公运行维护经费增加；</w:t>
      </w:r>
      <w:r>
        <w:rPr>
          <w:rFonts w:hint="eastAsia" w:ascii="华文仿宋" w:hAnsi="华文仿宋" w:eastAsia="华文仿宋" w:cs="华文仿宋"/>
          <w:color w:val="auto"/>
          <w:sz w:val="32"/>
          <w:szCs w:val="32"/>
          <w:lang w:val="en-US" w:eastAsia="zh-CN"/>
        </w:rPr>
        <w:t>2.聘用辅警增加，</w:t>
      </w:r>
      <w:r>
        <w:rPr>
          <w:rFonts w:hint="eastAsia" w:ascii="华文仿宋" w:hAnsi="华文仿宋" w:eastAsia="华文仿宋" w:cs="华文仿宋"/>
          <w:color w:val="auto"/>
          <w:sz w:val="32"/>
          <w:szCs w:val="32"/>
          <w:lang w:val="zh-CN"/>
        </w:rPr>
        <w:t>劳务费费用增加。本年度培训费支出1.42万元,较上年决算数增加0.48万元,增长51.06%,主要原因是本年度新招录的两名公务员初任培训费增加。</w:t>
      </w:r>
    </w:p>
    <w:p w14:paraId="1B1C75E1">
      <w:pPr>
        <w:spacing w:before="100" w:beforeLines="0" w:after="100" w:afterLines="0"/>
        <w:jc w:val="left"/>
        <w:rPr>
          <w:rFonts w:hint="eastAsia" w:ascii="华文仿宋" w:hAnsi="华文仿宋" w:eastAsia="华文仿宋" w:cs="华文仿宋"/>
          <w:b/>
          <w:bCs/>
          <w:color w:val="auto"/>
          <w:sz w:val="32"/>
          <w:szCs w:val="32"/>
          <w:lang w:val="zh-CN" w:eastAsia="zh-CN"/>
        </w:rPr>
      </w:pPr>
      <w:r>
        <w:rPr>
          <w:rFonts w:hint="eastAsia" w:ascii="华文仿宋" w:hAnsi="华文仿宋" w:eastAsia="华文仿宋" w:cs="华文仿宋"/>
          <w:b/>
          <w:bCs/>
          <w:color w:val="auto"/>
          <w:sz w:val="32"/>
          <w:szCs w:val="32"/>
          <w:lang w:val="zh-CN" w:eastAsia="zh-CN"/>
        </w:rPr>
        <w:t>十一、政府采购支出情况说明</w:t>
      </w:r>
    </w:p>
    <w:p w14:paraId="110347C4">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2023年度本部门政府采购支出合计34.69万元,其中：政府采购货物支出7.74万元、政府采购工程支出0.00万元、政府采购服务支出26.96万元。授予中小企业合同金额34.69万元,占政府采购支出总额的100.00%,其中：授予小微企业合同金额34.69万元,占政府采购支出总额的100.00%。</w:t>
      </w:r>
    </w:p>
    <w:p w14:paraId="28C332F2">
      <w:pPr>
        <w:spacing w:before="100" w:beforeLines="0" w:after="100" w:afterLines="0"/>
        <w:jc w:val="left"/>
        <w:rPr>
          <w:rFonts w:hint="eastAsia" w:ascii="华文仿宋" w:hAnsi="华文仿宋" w:eastAsia="华文仿宋" w:cs="华文仿宋"/>
          <w:b/>
          <w:bCs/>
          <w:color w:val="auto"/>
          <w:sz w:val="32"/>
          <w:szCs w:val="32"/>
          <w:lang w:val="zh-CN" w:eastAsia="zh-CN"/>
        </w:rPr>
      </w:pPr>
      <w:r>
        <w:rPr>
          <w:rFonts w:hint="eastAsia" w:ascii="华文仿宋" w:hAnsi="华文仿宋" w:eastAsia="华文仿宋" w:cs="华文仿宋"/>
          <w:b/>
          <w:bCs/>
          <w:color w:val="auto"/>
          <w:sz w:val="32"/>
          <w:szCs w:val="32"/>
          <w:lang w:val="en-US" w:eastAsia="zh-CN"/>
        </w:rPr>
        <w:t>十二</w:t>
      </w:r>
      <w:r>
        <w:rPr>
          <w:rFonts w:hint="eastAsia" w:ascii="华文仿宋" w:hAnsi="华文仿宋" w:eastAsia="华文仿宋" w:cs="华文仿宋"/>
          <w:b/>
          <w:bCs/>
          <w:color w:val="auto"/>
          <w:sz w:val="32"/>
          <w:szCs w:val="32"/>
          <w:lang w:val="zh-CN" w:eastAsia="zh-CN"/>
        </w:rPr>
        <w:t>、国有资产占用情况说明</w:t>
      </w:r>
    </w:p>
    <w:p w14:paraId="46E32D5B">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截至2023年12月31日,本部门共有车辆7辆,其中,副部(省)级及以上领导用车0辆、主要领导干部用车0辆、机要通信用车0辆、应急保障用车0辆、执法执勤用车7辆,特种专业技术用车0辆,离退休干部用车0辆,其他用车0辆，单价100万元(含)以上设备5台(套)。</w:t>
      </w:r>
    </w:p>
    <w:p w14:paraId="0947948B">
      <w:pPr>
        <w:spacing w:before="100" w:beforeLines="0" w:after="100" w:afterLines="0"/>
        <w:jc w:val="left"/>
        <w:rPr>
          <w:rFonts w:hint="eastAsia" w:ascii="华文仿宋" w:hAnsi="华文仿宋" w:eastAsia="华文仿宋" w:cs="华文仿宋"/>
          <w:b/>
          <w:bCs/>
          <w:color w:val="auto"/>
          <w:sz w:val="32"/>
          <w:szCs w:val="32"/>
          <w:lang w:val="zh-CN" w:eastAsia="zh-CN"/>
        </w:rPr>
      </w:pPr>
      <w:r>
        <w:rPr>
          <w:rFonts w:hint="eastAsia" w:ascii="华文仿宋" w:hAnsi="华文仿宋" w:eastAsia="华文仿宋" w:cs="华文仿宋"/>
          <w:b/>
          <w:bCs/>
          <w:color w:val="auto"/>
          <w:sz w:val="32"/>
          <w:szCs w:val="32"/>
          <w:lang w:val="zh-CN" w:eastAsia="zh-CN"/>
        </w:rPr>
        <w:t>十三、其他需要说明的情况</w:t>
      </w:r>
    </w:p>
    <w:p w14:paraId="62BF8432">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由于决算公开表格中金额数值应当保留两位小数，公开数据为四舍五入计算结果，个别数据合计项与分项之和存在小数点后差额，特此说明。</w:t>
      </w:r>
    </w:p>
    <w:p w14:paraId="034E2849">
      <w:pPr>
        <w:spacing w:before="100" w:beforeLines="0" w:after="100" w:afterLines="0"/>
        <w:jc w:val="left"/>
        <w:rPr>
          <w:rFonts w:hint="eastAsia" w:ascii="宋体" w:hAnsi="宋体"/>
          <w:color w:val="FF0000"/>
          <w:sz w:val="24"/>
          <w:szCs w:val="24"/>
          <w:lang w:val="zh-CN"/>
        </w:rPr>
      </w:pPr>
    </w:p>
    <w:p w14:paraId="1BFA387B">
      <w:pPr>
        <w:spacing w:before="100" w:beforeLines="0" w:after="100" w:afterLines="0"/>
        <w:jc w:val="left"/>
        <w:rPr>
          <w:rFonts w:hint="eastAsia" w:ascii="宋体" w:hAnsi="宋体"/>
          <w:color w:val="auto"/>
          <w:sz w:val="24"/>
          <w:szCs w:val="24"/>
          <w:lang w:val="zh-CN"/>
        </w:rPr>
      </w:pPr>
    </w:p>
    <w:p w14:paraId="7086C837">
      <w:pPr>
        <w:spacing w:before="100" w:beforeLines="0" w:after="100" w:afterLines="0"/>
        <w:jc w:val="center"/>
        <w:rPr>
          <w:rFonts w:hint="eastAsia" w:ascii="华文仿宋" w:hAnsi="华文仿宋" w:eastAsia="华文仿宋" w:cs="华文仿宋"/>
          <w:b/>
          <w:bCs/>
          <w:color w:val="auto"/>
          <w:sz w:val="32"/>
          <w:szCs w:val="32"/>
          <w:lang w:val="zh-CN" w:eastAsia="zh-CN"/>
        </w:rPr>
      </w:pPr>
      <w:r>
        <w:rPr>
          <w:rFonts w:hint="eastAsia" w:ascii="华文仿宋" w:hAnsi="华文仿宋" w:eastAsia="华文仿宋" w:cs="华文仿宋"/>
          <w:b/>
          <w:bCs/>
          <w:color w:val="auto"/>
          <w:sz w:val="32"/>
          <w:szCs w:val="32"/>
          <w:lang w:val="zh-CN" w:eastAsia="zh-CN"/>
        </w:rPr>
        <w:t>第四部分</w:t>
      </w:r>
      <w:r>
        <w:rPr>
          <w:rFonts w:hint="eastAsia" w:ascii="华文仿宋" w:hAnsi="华文仿宋" w:eastAsia="华文仿宋" w:cs="华文仿宋"/>
          <w:b/>
          <w:bCs/>
          <w:color w:val="auto"/>
          <w:sz w:val="32"/>
          <w:szCs w:val="32"/>
          <w:lang w:val="en-US" w:eastAsia="zh-CN"/>
        </w:rPr>
        <w:t xml:space="preserve">  </w:t>
      </w:r>
      <w:r>
        <w:rPr>
          <w:rFonts w:hint="eastAsia" w:ascii="华文仿宋" w:hAnsi="华文仿宋" w:eastAsia="华文仿宋" w:cs="华文仿宋"/>
          <w:b/>
          <w:bCs/>
          <w:color w:val="auto"/>
          <w:sz w:val="32"/>
          <w:szCs w:val="32"/>
          <w:lang w:val="zh-CN" w:eastAsia="zh-CN"/>
        </w:rPr>
        <w:t>预算绩效情况说明</w:t>
      </w:r>
    </w:p>
    <w:p w14:paraId="07A68A39">
      <w:pPr>
        <w:spacing w:before="100" w:beforeLines="0" w:after="100" w:afterLines="0"/>
        <w:jc w:val="left"/>
        <w:rPr>
          <w:rFonts w:hint="eastAsia" w:ascii="华文仿宋" w:hAnsi="华文仿宋" w:eastAsia="华文仿宋" w:cs="华文仿宋"/>
          <w:b/>
          <w:bCs/>
          <w:color w:val="auto"/>
          <w:sz w:val="32"/>
          <w:szCs w:val="32"/>
          <w:lang w:val="zh-CN" w:eastAsia="zh-CN"/>
        </w:rPr>
      </w:pPr>
      <w:r>
        <w:rPr>
          <w:rFonts w:hint="eastAsia" w:ascii="华文仿宋" w:hAnsi="华文仿宋" w:eastAsia="华文仿宋" w:cs="华文仿宋"/>
          <w:b/>
          <w:bCs/>
          <w:color w:val="auto"/>
          <w:sz w:val="32"/>
          <w:szCs w:val="32"/>
          <w:lang w:val="zh-CN" w:eastAsia="zh-CN"/>
        </w:rPr>
        <w:t>一、预算绩效管理工作开展情况</w:t>
      </w:r>
    </w:p>
    <w:p w14:paraId="1D2E265F">
      <w:pPr>
        <w:keepNext/>
        <w:keepLines/>
        <w:suppressLineNumbers/>
        <w:ind w:firstLine="640" w:firstLineChars="200"/>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kern w:val="0"/>
          <w:sz w:val="32"/>
          <w:szCs w:val="32"/>
          <w:lang w:val="en-US"/>
        </w:rPr>
        <w:t>根据预算绩效管理要求,本部门对</w:t>
      </w:r>
      <w:r>
        <w:rPr>
          <w:rFonts w:hint="eastAsia" w:ascii="华文仿宋" w:hAnsi="华文仿宋" w:eastAsia="华文仿宋" w:cs="华文仿宋"/>
          <w:color w:val="auto"/>
          <w:kern w:val="0"/>
          <w:sz w:val="32"/>
          <w:szCs w:val="32"/>
          <w:lang w:val="en-US" w:eastAsia="zh-CN"/>
        </w:rPr>
        <w:t>2023</w:t>
      </w:r>
      <w:r>
        <w:rPr>
          <w:rFonts w:hint="eastAsia" w:ascii="华文仿宋" w:hAnsi="华文仿宋" w:eastAsia="华文仿宋" w:cs="华文仿宋"/>
          <w:color w:val="auto"/>
          <w:kern w:val="0"/>
          <w:sz w:val="32"/>
          <w:szCs w:val="32"/>
          <w:lang w:val="en-US"/>
        </w:rPr>
        <w:t>年度一般公共预算项目支出全面开展绩效自评,其中,一级项目</w:t>
      </w:r>
      <w:r>
        <w:rPr>
          <w:rFonts w:hint="eastAsia" w:ascii="华文仿宋" w:hAnsi="华文仿宋" w:eastAsia="华文仿宋" w:cs="华文仿宋"/>
          <w:color w:val="auto"/>
          <w:kern w:val="0"/>
          <w:sz w:val="32"/>
          <w:szCs w:val="32"/>
          <w:lang w:val="en-US" w:eastAsia="zh-CN"/>
        </w:rPr>
        <w:t>3</w:t>
      </w:r>
      <w:r>
        <w:rPr>
          <w:rFonts w:hint="eastAsia" w:ascii="华文仿宋" w:hAnsi="华文仿宋" w:eastAsia="华文仿宋" w:cs="华文仿宋"/>
          <w:color w:val="auto"/>
          <w:kern w:val="0"/>
          <w:sz w:val="32"/>
          <w:szCs w:val="32"/>
          <w:lang w:val="en-US"/>
        </w:rPr>
        <w:t>个,共涉及资金</w:t>
      </w:r>
      <w:r>
        <w:rPr>
          <w:rFonts w:hint="eastAsia" w:ascii="华文仿宋" w:hAnsi="华文仿宋" w:eastAsia="华文仿宋" w:cs="华文仿宋"/>
          <w:color w:val="auto"/>
          <w:kern w:val="0"/>
          <w:sz w:val="32"/>
          <w:szCs w:val="32"/>
          <w:lang w:val="en-US" w:eastAsia="zh-CN"/>
        </w:rPr>
        <w:t>437.97万元</w:t>
      </w:r>
      <w:r>
        <w:rPr>
          <w:rFonts w:hint="eastAsia" w:ascii="华文仿宋" w:hAnsi="华文仿宋" w:eastAsia="华文仿宋" w:cs="华文仿宋"/>
          <w:color w:val="auto"/>
          <w:kern w:val="0"/>
          <w:sz w:val="32"/>
          <w:szCs w:val="32"/>
          <w:lang w:val="en-US"/>
        </w:rPr>
        <w:t>,占一般公共预算项目支出总额的</w:t>
      </w:r>
      <w:r>
        <w:rPr>
          <w:rFonts w:hint="eastAsia" w:ascii="华文仿宋" w:hAnsi="华文仿宋" w:eastAsia="华文仿宋" w:cs="华文仿宋"/>
          <w:color w:val="auto"/>
          <w:kern w:val="0"/>
          <w:sz w:val="32"/>
          <w:szCs w:val="32"/>
          <w:lang w:val="en-US" w:eastAsia="zh-CN"/>
        </w:rPr>
        <w:t>100</w:t>
      </w:r>
      <w:r>
        <w:rPr>
          <w:rFonts w:hint="eastAsia" w:ascii="华文仿宋" w:hAnsi="华文仿宋" w:eastAsia="华文仿宋" w:cs="华文仿宋"/>
          <w:color w:val="auto"/>
          <w:kern w:val="0"/>
          <w:sz w:val="32"/>
          <w:szCs w:val="32"/>
          <w:lang w:val="en-US"/>
        </w:rPr>
        <w:t>%。对</w:t>
      </w:r>
      <w:r>
        <w:rPr>
          <w:rFonts w:hint="eastAsia" w:ascii="华文仿宋" w:hAnsi="华文仿宋" w:eastAsia="华文仿宋" w:cs="华文仿宋"/>
          <w:color w:val="auto"/>
          <w:kern w:val="0"/>
          <w:sz w:val="32"/>
          <w:szCs w:val="32"/>
          <w:lang w:val="en-US" w:eastAsia="zh-CN"/>
        </w:rPr>
        <w:t>2023</w:t>
      </w:r>
      <w:r>
        <w:rPr>
          <w:rFonts w:hint="eastAsia" w:ascii="华文仿宋" w:hAnsi="华文仿宋" w:eastAsia="华文仿宋" w:cs="华文仿宋"/>
          <w:color w:val="auto"/>
          <w:kern w:val="0"/>
          <w:sz w:val="32"/>
          <w:szCs w:val="32"/>
          <w:lang w:val="en-US"/>
        </w:rPr>
        <w:t>年度</w:t>
      </w:r>
      <w:r>
        <w:rPr>
          <w:rFonts w:hint="eastAsia" w:ascii="华文仿宋" w:hAnsi="华文仿宋" w:eastAsia="华文仿宋" w:cs="华文仿宋"/>
          <w:color w:val="auto"/>
          <w:kern w:val="0"/>
          <w:sz w:val="32"/>
          <w:szCs w:val="32"/>
          <w:lang w:val="en-US" w:eastAsia="zh-CN"/>
        </w:rPr>
        <w:t>全省法院业务费、中央政法转移支付资金</w:t>
      </w:r>
      <w:r>
        <w:rPr>
          <w:rFonts w:hint="eastAsia" w:ascii="华文仿宋" w:hAnsi="华文仿宋" w:eastAsia="华文仿宋" w:cs="华文仿宋"/>
          <w:color w:val="auto"/>
          <w:kern w:val="0"/>
          <w:sz w:val="32"/>
          <w:szCs w:val="32"/>
          <w:lang w:val="en-US"/>
        </w:rPr>
        <w:t>、</w:t>
      </w:r>
      <w:r>
        <w:rPr>
          <w:rFonts w:hint="eastAsia" w:ascii="华文仿宋" w:hAnsi="华文仿宋" w:eastAsia="华文仿宋" w:cs="华文仿宋"/>
          <w:color w:val="auto"/>
          <w:kern w:val="0"/>
          <w:sz w:val="32"/>
          <w:szCs w:val="32"/>
          <w:lang w:val="en-US" w:eastAsia="zh-CN"/>
        </w:rPr>
        <w:t>全省法院“两庭建设”资金3</w:t>
      </w:r>
      <w:r>
        <w:rPr>
          <w:rFonts w:hint="eastAsia" w:ascii="华文仿宋" w:hAnsi="华文仿宋" w:eastAsia="华文仿宋" w:cs="华文仿宋"/>
          <w:color w:val="auto"/>
          <w:kern w:val="0"/>
          <w:sz w:val="32"/>
          <w:szCs w:val="32"/>
        </w:rPr>
        <w:t>个项目开展了部门评价,涉及一般公共预算支出</w:t>
      </w:r>
      <w:r>
        <w:rPr>
          <w:rFonts w:hint="eastAsia" w:ascii="华文仿宋" w:hAnsi="华文仿宋" w:eastAsia="华文仿宋" w:cs="华文仿宋"/>
          <w:color w:val="auto"/>
          <w:kern w:val="0"/>
          <w:sz w:val="32"/>
          <w:szCs w:val="32"/>
          <w:lang w:val="en-US" w:eastAsia="zh-CN"/>
        </w:rPr>
        <w:t>437.97</w:t>
      </w:r>
      <w:r>
        <w:rPr>
          <w:rFonts w:hint="eastAsia" w:ascii="华文仿宋" w:hAnsi="华文仿宋" w:eastAsia="华文仿宋" w:cs="华文仿宋"/>
          <w:color w:val="auto"/>
          <w:kern w:val="0"/>
          <w:sz w:val="32"/>
          <w:szCs w:val="32"/>
        </w:rPr>
        <w:t>万元,从评价情况来看,</w:t>
      </w:r>
      <w:r>
        <w:rPr>
          <w:rFonts w:hint="eastAsia" w:ascii="华文仿宋" w:hAnsi="华文仿宋" w:eastAsia="华文仿宋" w:cs="华文仿宋"/>
          <w:color w:val="auto"/>
          <w:kern w:val="0"/>
          <w:sz w:val="32"/>
          <w:szCs w:val="32"/>
          <w:lang w:val="en-US" w:eastAsia="zh-CN"/>
        </w:rPr>
        <w:t>2</w:t>
      </w:r>
      <w:r>
        <w:rPr>
          <w:rFonts w:hint="eastAsia" w:ascii="华文仿宋" w:hAnsi="华文仿宋" w:eastAsia="华文仿宋" w:cs="华文仿宋"/>
          <w:color w:val="auto"/>
          <w:kern w:val="0"/>
          <w:sz w:val="32"/>
          <w:szCs w:val="32"/>
          <w:lang w:eastAsia="zh-CN"/>
        </w:rPr>
        <w:t>个</w:t>
      </w:r>
      <w:r>
        <w:rPr>
          <w:rFonts w:hint="eastAsia" w:ascii="华文仿宋" w:hAnsi="华文仿宋" w:eastAsia="华文仿宋" w:cs="华文仿宋"/>
          <w:color w:val="auto"/>
          <w:kern w:val="0"/>
          <w:sz w:val="32"/>
          <w:szCs w:val="32"/>
        </w:rPr>
        <w:t>项目的自评结果为“优”。</w:t>
      </w:r>
    </w:p>
    <w:p w14:paraId="5ACA7448">
      <w:pPr>
        <w:numPr>
          <w:ilvl w:val="0"/>
          <w:numId w:val="4"/>
        </w:numPr>
        <w:spacing w:before="100" w:beforeLines="0" w:after="100" w:afterLines="0"/>
        <w:jc w:val="left"/>
        <w:rPr>
          <w:rFonts w:hint="eastAsia" w:ascii="华文仿宋" w:hAnsi="华文仿宋" w:eastAsia="华文仿宋" w:cs="华文仿宋"/>
          <w:b/>
          <w:bCs/>
          <w:color w:val="auto"/>
          <w:sz w:val="32"/>
          <w:szCs w:val="32"/>
          <w:lang w:val="zh-CN" w:eastAsia="zh-CN"/>
        </w:rPr>
      </w:pPr>
      <w:r>
        <w:rPr>
          <w:rFonts w:hint="eastAsia" w:ascii="华文仿宋" w:hAnsi="华文仿宋" w:eastAsia="华文仿宋" w:cs="华文仿宋"/>
          <w:b/>
          <w:bCs/>
          <w:color w:val="auto"/>
          <w:sz w:val="32"/>
          <w:szCs w:val="32"/>
          <w:lang w:val="zh-CN" w:eastAsia="zh-CN"/>
        </w:rPr>
        <w:t>绩效自评结果</w:t>
      </w:r>
    </w:p>
    <w:p w14:paraId="781D673B">
      <w:pPr>
        <w:numPr>
          <w:ilvl w:val="0"/>
          <w:numId w:val="0"/>
        </w:numPr>
        <w:spacing w:before="100" w:beforeLines="0" w:after="100" w:afterLines="0"/>
        <w:jc w:val="left"/>
        <w:rPr>
          <w:rFonts w:hint="eastAsia" w:ascii="华文仿宋" w:hAnsi="华文仿宋" w:eastAsia="华文仿宋" w:cs="华文仿宋"/>
          <w:color w:val="000000"/>
          <w:kern w:val="0"/>
          <w:sz w:val="32"/>
          <w:szCs w:val="32"/>
          <w:highlight w:val="none"/>
          <w:lang w:val="en-US"/>
        </w:rPr>
      </w:pPr>
      <w:r>
        <w:rPr>
          <w:rFonts w:hint="eastAsia" w:ascii="华文仿宋" w:hAnsi="华文仿宋" w:eastAsia="华文仿宋" w:cs="华文仿宋"/>
          <w:color w:val="000000"/>
          <w:kern w:val="0"/>
          <w:sz w:val="32"/>
          <w:szCs w:val="32"/>
          <w:highlight w:val="none"/>
          <w:lang w:val="en-US"/>
        </w:rPr>
        <w:t>我部门在</w:t>
      </w:r>
      <w:r>
        <w:rPr>
          <w:rFonts w:hint="eastAsia" w:ascii="华文仿宋" w:hAnsi="华文仿宋" w:eastAsia="华文仿宋" w:cs="华文仿宋"/>
          <w:color w:val="000000"/>
          <w:kern w:val="0"/>
          <w:sz w:val="32"/>
          <w:szCs w:val="32"/>
          <w:highlight w:val="none"/>
          <w:lang w:val="en-US" w:eastAsia="zh-CN"/>
        </w:rPr>
        <w:t>2023</w:t>
      </w:r>
      <w:r>
        <w:rPr>
          <w:rFonts w:hint="eastAsia" w:ascii="华文仿宋" w:hAnsi="华文仿宋" w:eastAsia="华文仿宋" w:cs="华文仿宋"/>
          <w:color w:val="000000"/>
          <w:kern w:val="0"/>
          <w:sz w:val="32"/>
          <w:szCs w:val="32"/>
          <w:highlight w:val="none"/>
          <w:lang w:val="en-US"/>
        </w:rPr>
        <w:t>年度部门决算中反映</w:t>
      </w:r>
      <w:r>
        <w:rPr>
          <w:rFonts w:hint="eastAsia" w:ascii="华文仿宋" w:hAnsi="华文仿宋" w:eastAsia="华文仿宋" w:cs="华文仿宋"/>
          <w:color w:val="auto"/>
          <w:kern w:val="0"/>
          <w:sz w:val="32"/>
          <w:szCs w:val="32"/>
          <w:lang w:val="en-US" w:eastAsia="zh-CN"/>
        </w:rPr>
        <w:t>全省法院业务费、中央政法转移支付资金</w:t>
      </w:r>
      <w:r>
        <w:rPr>
          <w:rFonts w:hint="eastAsia" w:ascii="华文仿宋" w:hAnsi="华文仿宋" w:eastAsia="华文仿宋" w:cs="华文仿宋"/>
          <w:color w:val="auto"/>
          <w:kern w:val="0"/>
          <w:sz w:val="32"/>
          <w:szCs w:val="32"/>
          <w:lang w:val="en-US"/>
        </w:rPr>
        <w:t>、</w:t>
      </w:r>
      <w:r>
        <w:rPr>
          <w:rFonts w:hint="eastAsia" w:ascii="华文仿宋" w:hAnsi="华文仿宋" w:eastAsia="华文仿宋" w:cs="华文仿宋"/>
          <w:color w:val="auto"/>
          <w:kern w:val="0"/>
          <w:sz w:val="32"/>
          <w:szCs w:val="32"/>
          <w:lang w:val="en-US" w:eastAsia="zh-CN"/>
        </w:rPr>
        <w:t>全省法院“两庭建设”资金3</w:t>
      </w:r>
      <w:r>
        <w:rPr>
          <w:rFonts w:hint="eastAsia" w:ascii="华文仿宋" w:hAnsi="华文仿宋" w:eastAsia="华文仿宋" w:cs="华文仿宋"/>
          <w:color w:val="000000"/>
          <w:kern w:val="0"/>
          <w:sz w:val="32"/>
          <w:szCs w:val="32"/>
          <w:highlight w:val="none"/>
          <w:lang w:val="en-US"/>
        </w:rPr>
        <w:t>个项目绩效自评结果。</w:t>
      </w:r>
    </w:p>
    <w:p w14:paraId="12225D87">
      <w:pPr>
        <w:numPr>
          <w:ilvl w:val="0"/>
          <w:numId w:val="0"/>
        </w:numPr>
        <w:spacing w:before="100" w:beforeLines="0" w:after="100" w:afterLines="0"/>
        <w:jc w:val="left"/>
        <w:rPr>
          <w:rFonts w:hint="eastAsia" w:ascii="华文仿宋" w:hAnsi="华文仿宋" w:eastAsia="华文仿宋" w:cs="华文仿宋"/>
          <w:color w:val="auto"/>
          <w:kern w:val="0"/>
          <w:sz w:val="32"/>
          <w:szCs w:val="32"/>
        </w:rPr>
      </w:pPr>
      <w:r>
        <w:rPr>
          <w:rFonts w:hint="eastAsia" w:ascii="华文仿宋" w:hAnsi="华文仿宋" w:eastAsia="华文仿宋" w:cs="华文仿宋"/>
          <w:color w:val="auto"/>
          <w:kern w:val="0"/>
          <w:sz w:val="32"/>
          <w:szCs w:val="32"/>
          <w:lang w:val="en-US" w:eastAsia="zh-CN"/>
        </w:rPr>
        <w:t>1.全省法院业务费</w:t>
      </w:r>
      <w:r>
        <w:rPr>
          <w:rFonts w:hint="eastAsia" w:ascii="华文仿宋" w:hAnsi="华文仿宋" w:eastAsia="华文仿宋" w:cs="华文仿宋"/>
          <w:color w:val="auto"/>
          <w:kern w:val="0"/>
          <w:sz w:val="32"/>
          <w:szCs w:val="32"/>
          <w:lang w:val="en-US"/>
        </w:rPr>
        <w:t>项目绩效自评情况：根据年初设定的绩效目标,项目绩效自评得分为</w:t>
      </w:r>
      <w:r>
        <w:rPr>
          <w:rFonts w:hint="eastAsia" w:ascii="华文仿宋" w:hAnsi="华文仿宋" w:eastAsia="华文仿宋" w:cs="华文仿宋"/>
          <w:color w:val="auto"/>
          <w:kern w:val="0"/>
          <w:sz w:val="32"/>
          <w:szCs w:val="32"/>
          <w:lang w:val="en-US" w:eastAsia="zh-CN"/>
        </w:rPr>
        <w:t>99.71</w:t>
      </w:r>
      <w:r>
        <w:rPr>
          <w:rFonts w:hint="eastAsia" w:ascii="华文仿宋" w:hAnsi="华文仿宋" w:eastAsia="华文仿宋" w:cs="华文仿宋"/>
          <w:color w:val="auto"/>
          <w:kern w:val="0"/>
          <w:sz w:val="32"/>
          <w:szCs w:val="32"/>
          <w:lang w:val="en-US"/>
        </w:rPr>
        <w:t>分。项目全年预算数为</w:t>
      </w:r>
      <w:r>
        <w:rPr>
          <w:rFonts w:hint="eastAsia" w:ascii="华文仿宋" w:hAnsi="华文仿宋" w:eastAsia="华文仿宋" w:cs="华文仿宋"/>
          <w:color w:val="auto"/>
          <w:kern w:val="0"/>
          <w:sz w:val="32"/>
          <w:szCs w:val="32"/>
          <w:lang w:val="en-US" w:eastAsia="zh-CN"/>
        </w:rPr>
        <w:t>168.33万元</w:t>
      </w:r>
      <w:r>
        <w:rPr>
          <w:rFonts w:hint="eastAsia" w:ascii="华文仿宋" w:hAnsi="华文仿宋" w:eastAsia="华文仿宋" w:cs="华文仿宋"/>
          <w:color w:val="auto"/>
          <w:kern w:val="0"/>
          <w:sz w:val="32"/>
          <w:szCs w:val="32"/>
          <w:lang w:val="en-US"/>
        </w:rPr>
        <w:t>,执行数为</w:t>
      </w:r>
      <w:r>
        <w:rPr>
          <w:rFonts w:hint="eastAsia" w:ascii="华文仿宋" w:hAnsi="华文仿宋" w:eastAsia="华文仿宋" w:cs="华文仿宋"/>
          <w:color w:val="auto"/>
          <w:kern w:val="0"/>
          <w:sz w:val="32"/>
          <w:szCs w:val="32"/>
          <w:lang w:val="en-US" w:eastAsia="zh-CN"/>
        </w:rPr>
        <w:t>163.44万元</w:t>
      </w:r>
      <w:r>
        <w:rPr>
          <w:rFonts w:hint="eastAsia" w:ascii="华文仿宋" w:hAnsi="华文仿宋" w:eastAsia="华文仿宋" w:cs="华文仿宋"/>
          <w:color w:val="auto"/>
          <w:kern w:val="0"/>
          <w:sz w:val="32"/>
          <w:szCs w:val="32"/>
          <w:lang w:val="en-US"/>
        </w:rPr>
        <w:t>,完成预算的</w:t>
      </w:r>
      <w:r>
        <w:rPr>
          <w:rFonts w:hint="eastAsia" w:ascii="华文仿宋" w:hAnsi="华文仿宋" w:eastAsia="华文仿宋" w:cs="华文仿宋"/>
          <w:color w:val="auto"/>
          <w:kern w:val="0"/>
          <w:sz w:val="32"/>
          <w:szCs w:val="32"/>
          <w:lang w:val="en-US" w:eastAsia="zh-CN"/>
        </w:rPr>
        <w:t>97.09</w:t>
      </w:r>
      <w:r>
        <w:rPr>
          <w:rFonts w:hint="eastAsia" w:ascii="华文仿宋" w:hAnsi="华文仿宋" w:eastAsia="华文仿宋" w:cs="华文仿宋"/>
          <w:color w:val="auto"/>
          <w:kern w:val="0"/>
          <w:sz w:val="32"/>
          <w:szCs w:val="32"/>
          <w:lang w:val="en-US"/>
        </w:rPr>
        <w:t>%。项目绩效目标完成情况：</w:t>
      </w:r>
      <w:r>
        <w:rPr>
          <w:rFonts w:hint="eastAsia" w:ascii="华文仿宋" w:hAnsi="华文仿宋" w:eastAsia="华文仿宋" w:cs="华文仿宋"/>
          <w:color w:val="auto"/>
          <w:kern w:val="0"/>
          <w:sz w:val="32"/>
          <w:szCs w:val="32"/>
          <w:lang w:val="en-US" w:eastAsia="zh-CN"/>
        </w:rPr>
        <w:t>一是</w:t>
      </w:r>
      <w:r>
        <w:rPr>
          <w:rFonts w:hint="eastAsia" w:ascii="华文仿宋" w:hAnsi="华文仿宋" w:eastAsia="华文仿宋" w:cs="华文仿宋"/>
          <w:color w:val="auto"/>
          <w:kern w:val="0"/>
          <w:sz w:val="32"/>
          <w:szCs w:val="32"/>
          <w:lang w:val="en-US"/>
        </w:rPr>
        <w:t>忠实履行</w:t>
      </w:r>
      <w:r>
        <w:rPr>
          <w:rFonts w:hint="eastAsia" w:ascii="华文仿宋" w:hAnsi="华文仿宋" w:eastAsia="华文仿宋" w:cs="华文仿宋"/>
          <w:color w:val="auto"/>
          <w:kern w:val="0"/>
          <w:sz w:val="32"/>
          <w:szCs w:val="32"/>
          <w:lang w:val="en-US" w:eastAsia="zh-CN"/>
        </w:rPr>
        <w:t>了</w:t>
      </w:r>
      <w:r>
        <w:rPr>
          <w:rFonts w:hint="eastAsia" w:ascii="华文仿宋" w:hAnsi="华文仿宋" w:eastAsia="华文仿宋" w:cs="华文仿宋"/>
          <w:color w:val="auto"/>
          <w:kern w:val="0"/>
          <w:sz w:val="32"/>
          <w:szCs w:val="32"/>
          <w:lang w:val="en-US"/>
        </w:rPr>
        <w:t>法院审判职能，为社会发展稳定提供</w:t>
      </w:r>
      <w:r>
        <w:rPr>
          <w:rFonts w:hint="eastAsia" w:ascii="华文仿宋" w:hAnsi="华文仿宋" w:eastAsia="华文仿宋" w:cs="华文仿宋"/>
          <w:color w:val="auto"/>
          <w:kern w:val="0"/>
          <w:sz w:val="32"/>
          <w:szCs w:val="32"/>
          <w:lang w:val="en-US" w:eastAsia="zh-CN"/>
        </w:rPr>
        <w:t>了</w:t>
      </w:r>
      <w:r>
        <w:rPr>
          <w:rFonts w:hint="eastAsia" w:ascii="华文仿宋" w:hAnsi="华文仿宋" w:eastAsia="华文仿宋" w:cs="华文仿宋"/>
          <w:color w:val="auto"/>
          <w:kern w:val="0"/>
          <w:sz w:val="32"/>
          <w:szCs w:val="32"/>
          <w:lang w:val="en-US"/>
        </w:rPr>
        <w:t>强有力的司法保障；</w:t>
      </w:r>
      <w:r>
        <w:rPr>
          <w:rFonts w:hint="eastAsia" w:ascii="华文仿宋" w:hAnsi="华文仿宋" w:eastAsia="华文仿宋" w:cs="华文仿宋"/>
          <w:color w:val="auto"/>
          <w:kern w:val="0"/>
          <w:sz w:val="32"/>
          <w:szCs w:val="32"/>
          <w:lang w:val="en-US" w:eastAsia="zh-CN"/>
        </w:rPr>
        <w:t>二是</w:t>
      </w:r>
      <w:r>
        <w:rPr>
          <w:rFonts w:hint="eastAsia" w:ascii="华文仿宋" w:hAnsi="华文仿宋" w:eastAsia="华文仿宋" w:cs="华文仿宋"/>
          <w:color w:val="auto"/>
          <w:kern w:val="0"/>
          <w:sz w:val="32"/>
          <w:szCs w:val="32"/>
        </w:rPr>
        <w:t>案件执行率、结案率均有所提高</w:t>
      </w:r>
      <w:r>
        <w:rPr>
          <w:rFonts w:hint="eastAsia" w:ascii="华文仿宋" w:hAnsi="华文仿宋" w:eastAsia="华文仿宋" w:cs="华文仿宋"/>
          <w:color w:val="auto"/>
          <w:kern w:val="0"/>
          <w:sz w:val="32"/>
          <w:szCs w:val="32"/>
          <w:lang w:val="en-US"/>
        </w:rPr>
        <w:t>保障司法审判工作顺利进行。发现的主要问题及原因：</w:t>
      </w:r>
      <w:r>
        <w:rPr>
          <w:rFonts w:hint="eastAsia" w:ascii="华文仿宋" w:hAnsi="华文仿宋" w:eastAsia="华文仿宋" w:cs="华文仿宋"/>
          <w:color w:val="auto"/>
          <w:sz w:val="32"/>
          <w:szCs w:val="32"/>
          <w:highlight w:val="none"/>
          <w:lang w:val="en-US" w:eastAsia="zh-CN"/>
        </w:rPr>
        <w:t>对指标的理解不够，部分指标设置不合理,</w:t>
      </w:r>
      <w:r>
        <w:rPr>
          <w:rFonts w:hint="eastAsia" w:ascii="华文仿宋" w:hAnsi="华文仿宋" w:eastAsia="华文仿宋" w:cs="华文仿宋"/>
          <w:color w:val="auto"/>
          <w:kern w:val="0"/>
          <w:sz w:val="32"/>
          <w:szCs w:val="32"/>
          <w:lang w:val="en-US"/>
        </w:rPr>
        <w:t>下一步改进措施</w:t>
      </w:r>
      <w:r>
        <w:rPr>
          <w:rFonts w:hint="eastAsia" w:ascii="华文仿宋" w:hAnsi="华文仿宋" w:eastAsia="华文仿宋" w:cs="华文仿宋"/>
          <w:color w:val="auto"/>
          <w:kern w:val="0"/>
          <w:sz w:val="32"/>
          <w:szCs w:val="32"/>
          <w:lang w:val="en-US" w:eastAsia="zh-CN"/>
        </w:rPr>
        <w:t>：</w:t>
      </w:r>
      <w:r>
        <w:rPr>
          <w:rFonts w:hint="eastAsia" w:ascii="华文仿宋" w:hAnsi="华文仿宋" w:eastAsia="华文仿宋" w:cs="华文仿宋"/>
          <w:color w:val="auto"/>
          <w:sz w:val="32"/>
          <w:szCs w:val="32"/>
          <w:highlight w:val="none"/>
          <w:lang w:eastAsia="zh-CN"/>
        </w:rPr>
        <w:t>加强预算绩效知识学习，合理设置年度指标值</w:t>
      </w:r>
      <w:r>
        <w:rPr>
          <w:rFonts w:hint="eastAsia" w:ascii="华文仿宋" w:hAnsi="华文仿宋" w:eastAsia="华文仿宋" w:cs="华文仿宋"/>
          <w:color w:val="auto"/>
          <w:sz w:val="32"/>
          <w:szCs w:val="32"/>
          <w:highlight w:val="none"/>
        </w:rPr>
        <w:t>。</w:t>
      </w:r>
      <w:r>
        <w:rPr>
          <w:rFonts w:hint="eastAsia" w:ascii="华文仿宋" w:hAnsi="华文仿宋" w:eastAsia="华文仿宋" w:cs="华文仿宋"/>
          <w:color w:val="auto"/>
          <w:kern w:val="0"/>
          <w:sz w:val="32"/>
          <w:szCs w:val="32"/>
          <w:lang w:val="en-US" w:eastAsia="zh-CN"/>
        </w:rPr>
        <w:t>全省法院业务费</w:t>
      </w:r>
      <w:r>
        <w:rPr>
          <w:rFonts w:hint="eastAsia" w:ascii="华文仿宋" w:hAnsi="华文仿宋" w:eastAsia="华文仿宋" w:cs="华文仿宋"/>
          <w:color w:val="auto"/>
          <w:kern w:val="0"/>
          <w:sz w:val="32"/>
          <w:szCs w:val="32"/>
          <w:lang w:val="en-US"/>
        </w:rPr>
        <w:t>项目绩效自评情况：</w:t>
      </w:r>
      <w:r>
        <w:rPr>
          <w:rFonts w:hint="eastAsia" w:ascii="华文仿宋" w:hAnsi="华文仿宋" w:eastAsia="华文仿宋" w:cs="华文仿宋"/>
          <w:color w:val="auto"/>
          <w:kern w:val="0"/>
          <w:sz w:val="32"/>
          <w:szCs w:val="32"/>
        </w:rPr>
        <w:t>综合评定2023年中</w:t>
      </w:r>
      <w:r>
        <w:rPr>
          <w:rFonts w:hint="eastAsia" w:ascii="华文仿宋" w:hAnsi="华文仿宋" w:eastAsia="华文仿宋" w:cs="华文仿宋"/>
          <w:color w:val="auto"/>
          <w:kern w:val="0"/>
          <w:sz w:val="32"/>
          <w:szCs w:val="32"/>
          <w:lang w:eastAsia="zh-CN"/>
        </w:rPr>
        <w:t>全省法院业务费</w:t>
      </w:r>
      <w:r>
        <w:rPr>
          <w:rFonts w:hint="eastAsia" w:ascii="华文仿宋" w:hAnsi="华文仿宋" w:eastAsia="华文仿宋" w:cs="华文仿宋"/>
          <w:color w:val="auto"/>
          <w:kern w:val="0"/>
          <w:sz w:val="32"/>
          <w:szCs w:val="32"/>
        </w:rPr>
        <w:t>绩效</w:t>
      </w:r>
      <w:r>
        <w:rPr>
          <w:rFonts w:hint="eastAsia" w:ascii="华文仿宋" w:hAnsi="华文仿宋" w:eastAsia="华文仿宋" w:cs="华文仿宋"/>
          <w:color w:val="auto"/>
          <w:kern w:val="0"/>
          <w:sz w:val="32"/>
          <w:szCs w:val="32"/>
          <w:lang w:eastAsia="zh-CN"/>
        </w:rPr>
        <w:t>自评</w:t>
      </w:r>
      <w:r>
        <w:rPr>
          <w:rFonts w:hint="eastAsia" w:ascii="华文仿宋" w:hAnsi="华文仿宋" w:eastAsia="华文仿宋" w:cs="华文仿宋"/>
          <w:color w:val="auto"/>
          <w:kern w:val="0"/>
          <w:sz w:val="32"/>
          <w:szCs w:val="32"/>
        </w:rPr>
        <w:t>得分为9</w:t>
      </w:r>
      <w:r>
        <w:rPr>
          <w:rFonts w:hint="eastAsia" w:ascii="华文仿宋" w:hAnsi="华文仿宋" w:eastAsia="华文仿宋" w:cs="华文仿宋"/>
          <w:color w:val="auto"/>
          <w:kern w:val="0"/>
          <w:sz w:val="32"/>
          <w:szCs w:val="32"/>
          <w:lang w:val="en-US" w:eastAsia="zh-CN"/>
        </w:rPr>
        <w:t>9</w:t>
      </w:r>
      <w:r>
        <w:rPr>
          <w:rFonts w:hint="eastAsia" w:ascii="华文仿宋" w:hAnsi="华文仿宋" w:eastAsia="华文仿宋" w:cs="华文仿宋"/>
          <w:color w:val="auto"/>
          <w:kern w:val="0"/>
          <w:sz w:val="32"/>
          <w:szCs w:val="32"/>
        </w:rPr>
        <w:t>.</w:t>
      </w:r>
      <w:r>
        <w:rPr>
          <w:rFonts w:hint="eastAsia" w:ascii="华文仿宋" w:hAnsi="华文仿宋" w:eastAsia="华文仿宋" w:cs="华文仿宋"/>
          <w:color w:val="auto"/>
          <w:kern w:val="0"/>
          <w:sz w:val="32"/>
          <w:szCs w:val="32"/>
          <w:lang w:val="en-US" w:eastAsia="zh-CN"/>
        </w:rPr>
        <w:t>71</w:t>
      </w:r>
      <w:r>
        <w:rPr>
          <w:rFonts w:hint="eastAsia" w:ascii="华文仿宋" w:hAnsi="华文仿宋" w:eastAsia="华文仿宋" w:cs="华文仿宋"/>
          <w:color w:val="auto"/>
          <w:kern w:val="0"/>
          <w:sz w:val="32"/>
          <w:szCs w:val="32"/>
        </w:rPr>
        <w:t>分，绩效等级为“优”。</w:t>
      </w:r>
    </w:p>
    <w:p w14:paraId="066A64C9">
      <w:pPr>
        <w:ind w:firstLine="640" w:firstLineChars="200"/>
        <w:rPr>
          <w:rFonts w:hint="eastAsia" w:ascii="华文仿宋" w:hAnsi="华文仿宋" w:eastAsia="华文仿宋" w:cs="华文仿宋"/>
          <w:color w:val="auto"/>
          <w:sz w:val="32"/>
          <w:szCs w:val="32"/>
        </w:rPr>
      </w:pPr>
      <w:r>
        <w:rPr>
          <w:rFonts w:hint="eastAsia" w:ascii="华文仿宋" w:hAnsi="华文仿宋" w:eastAsia="华文仿宋" w:cs="华文仿宋"/>
          <w:color w:val="auto"/>
          <w:kern w:val="0"/>
          <w:sz w:val="32"/>
          <w:szCs w:val="32"/>
          <w:lang w:val="en-US" w:eastAsia="zh-CN"/>
        </w:rPr>
        <w:t>2.中央政法转移支付资金项目</w:t>
      </w:r>
      <w:r>
        <w:rPr>
          <w:rFonts w:hint="eastAsia" w:ascii="华文仿宋" w:hAnsi="华文仿宋" w:eastAsia="华文仿宋" w:cs="华文仿宋"/>
          <w:color w:val="auto"/>
          <w:kern w:val="0"/>
          <w:sz w:val="32"/>
          <w:szCs w:val="32"/>
          <w:lang w:val="en-US"/>
        </w:rPr>
        <w:t>绩效自评情况：</w:t>
      </w:r>
      <w:r>
        <w:rPr>
          <w:rFonts w:hint="eastAsia" w:ascii="仿宋_GB2312" w:hAnsi="仿宋_GB2312" w:eastAsia="仿宋_GB2312" w:cs="仿宋_GB2312"/>
          <w:color w:val="auto"/>
          <w:sz w:val="32"/>
          <w:szCs w:val="32"/>
          <w:lang w:val="en-US" w:eastAsia="zh-CN"/>
        </w:rPr>
        <w:t>中央政法转移支付为涉密项目不予公开，具体绩效情况不予说明。</w:t>
      </w:r>
    </w:p>
    <w:p w14:paraId="7F00FE4D">
      <w:pPr>
        <w:pStyle w:val="2"/>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3.全省法院“两庭建设”资金</w:t>
      </w:r>
    </w:p>
    <w:p w14:paraId="2C5F21EE">
      <w:pPr>
        <w:numPr>
          <w:ilvl w:val="0"/>
          <w:numId w:val="0"/>
        </w:numPr>
        <w:ind w:firstLine="640" w:firstLineChars="200"/>
        <w:rPr>
          <w:rFonts w:hint="eastAsia" w:ascii="华文仿宋" w:hAnsi="华文仿宋" w:eastAsia="华文仿宋" w:cs="华文仿宋"/>
          <w:color w:val="000000"/>
          <w:kern w:val="0"/>
          <w:sz w:val="32"/>
          <w:szCs w:val="32"/>
          <w:highlight w:val="none"/>
          <w:lang w:val="en-US"/>
        </w:rPr>
      </w:pPr>
      <w:r>
        <w:rPr>
          <w:rFonts w:hint="eastAsia" w:ascii="华文仿宋" w:hAnsi="华文仿宋" w:eastAsia="华文仿宋" w:cs="华文仿宋"/>
          <w:sz w:val="32"/>
          <w:szCs w:val="32"/>
          <w:lang w:val="en-US" w:eastAsia="zh-CN"/>
        </w:rPr>
        <w:t>2023年度我院全省法院“</w:t>
      </w:r>
      <w:r>
        <w:rPr>
          <w:rFonts w:hint="eastAsia" w:ascii="华文仿宋" w:hAnsi="华文仿宋" w:eastAsia="华文仿宋" w:cs="华文仿宋"/>
          <w:sz w:val="32"/>
          <w:szCs w:val="32"/>
          <w:lang w:val="en-US"/>
        </w:rPr>
        <w:t>两庭建设</w:t>
      </w:r>
      <w:r>
        <w:rPr>
          <w:rFonts w:hint="eastAsia" w:ascii="华文仿宋" w:hAnsi="华文仿宋" w:eastAsia="华文仿宋" w:cs="华文仿宋"/>
          <w:sz w:val="32"/>
          <w:szCs w:val="32"/>
          <w:lang w:val="en-US" w:eastAsia="zh-CN"/>
        </w:rPr>
        <w:t>”</w:t>
      </w:r>
      <w:r>
        <w:rPr>
          <w:rFonts w:hint="eastAsia" w:ascii="华文仿宋" w:hAnsi="华文仿宋" w:eastAsia="华文仿宋" w:cs="华文仿宋"/>
          <w:sz w:val="32"/>
          <w:szCs w:val="32"/>
          <w:lang w:val="en-US"/>
        </w:rPr>
        <w:t>资金系旧楼处置返还收益，2023年旧审判楼未处置，故实际225万元两庭建设资金未下达</w:t>
      </w:r>
      <w:r>
        <w:rPr>
          <w:rFonts w:hint="eastAsia" w:ascii="华文仿宋" w:hAnsi="华文仿宋" w:eastAsia="华文仿宋" w:cs="华文仿宋"/>
          <w:sz w:val="32"/>
          <w:szCs w:val="32"/>
          <w:lang w:val="en-US" w:eastAsia="zh-CN"/>
        </w:rPr>
        <w:t>，故本次未进行全省法院“</w:t>
      </w:r>
      <w:r>
        <w:rPr>
          <w:rFonts w:hint="eastAsia" w:ascii="华文仿宋" w:hAnsi="华文仿宋" w:eastAsia="华文仿宋" w:cs="华文仿宋"/>
          <w:sz w:val="32"/>
          <w:szCs w:val="32"/>
          <w:lang w:val="en-US"/>
        </w:rPr>
        <w:t>两庭建设</w:t>
      </w:r>
      <w:r>
        <w:rPr>
          <w:rFonts w:hint="eastAsia" w:ascii="华文仿宋" w:hAnsi="华文仿宋" w:eastAsia="华文仿宋" w:cs="华文仿宋"/>
          <w:sz w:val="32"/>
          <w:szCs w:val="32"/>
          <w:lang w:val="en-US" w:eastAsia="zh-CN"/>
        </w:rPr>
        <w:t>”</w:t>
      </w:r>
      <w:r>
        <w:rPr>
          <w:rFonts w:hint="eastAsia" w:ascii="华文仿宋" w:hAnsi="华文仿宋" w:eastAsia="华文仿宋" w:cs="华文仿宋"/>
          <w:sz w:val="32"/>
          <w:szCs w:val="32"/>
          <w:lang w:val="en-US"/>
        </w:rPr>
        <w:t>资金</w:t>
      </w:r>
      <w:r>
        <w:rPr>
          <w:rFonts w:hint="eastAsia" w:ascii="华文仿宋" w:hAnsi="华文仿宋" w:eastAsia="华文仿宋" w:cs="华文仿宋"/>
          <w:sz w:val="32"/>
          <w:szCs w:val="32"/>
          <w:lang w:val="en-US" w:eastAsia="zh-CN"/>
        </w:rPr>
        <w:t>项目自评。</w:t>
      </w:r>
    </w:p>
    <w:p w14:paraId="3126560A">
      <w:pPr>
        <w:pStyle w:val="2"/>
        <w:rPr>
          <w:rFonts w:hint="eastAsia"/>
          <w:lang w:val="en-US"/>
        </w:rPr>
      </w:pPr>
    </w:p>
    <w:p w14:paraId="0FE368E5">
      <w:pPr>
        <w:spacing w:before="100" w:beforeLines="0" w:after="100" w:afterLines="0"/>
        <w:jc w:val="left"/>
        <w:rPr>
          <w:rFonts w:hint="eastAsia" w:ascii="华文仿宋" w:hAnsi="华文仿宋" w:eastAsia="华文仿宋" w:cs="华文仿宋"/>
          <w:b/>
          <w:bCs/>
          <w:color w:val="auto"/>
          <w:sz w:val="32"/>
          <w:szCs w:val="32"/>
          <w:lang w:val="zh-CN" w:eastAsia="zh-CN"/>
        </w:rPr>
      </w:pPr>
      <w:r>
        <w:rPr>
          <w:rFonts w:hint="eastAsia" w:ascii="华文仿宋" w:hAnsi="华文仿宋" w:eastAsia="华文仿宋" w:cs="华文仿宋"/>
          <w:b/>
          <w:bCs/>
          <w:color w:val="auto"/>
          <w:sz w:val="32"/>
          <w:szCs w:val="32"/>
          <w:lang w:val="zh-CN" w:eastAsia="zh-CN"/>
        </w:rPr>
        <w:t>三、部门绩效评价结果</w:t>
      </w:r>
    </w:p>
    <w:p w14:paraId="3EF3C74B">
      <w:pPr>
        <w:spacing w:before="100" w:beforeLines="0" w:after="100" w:afterLines="0"/>
        <w:ind w:firstLine="320" w:firstLineChars="100"/>
        <w:jc w:val="both"/>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zh-CN"/>
        </w:rPr>
        <w:t>详见附件</w:t>
      </w:r>
      <w:r>
        <w:rPr>
          <w:rFonts w:hint="eastAsia" w:ascii="华文仿宋" w:hAnsi="华文仿宋" w:eastAsia="华文仿宋" w:cs="华文仿宋"/>
          <w:color w:val="auto"/>
          <w:sz w:val="32"/>
          <w:szCs w:val="32"/>
          <w:lang w:val="en-US" w:eastAsia="zh-CN"/>
        </w:rPr>
        <w:t>2（绩效自评报告）</w:t>
      </w:r>
    </w:p>
    <w:p w14:paraId="1DFD0EE8">
      <w:pPr>
        <w:spacing w:before="100" w:beforeLines="0" w:after="100" w:afterLines="0"/>
        <w:ind w:firstLine="320" w:firstLineChars="100"/>
        <w:jc w:val="both"/>
        <w:rPr>
          <w:rFonts w:hint="eastAsia" w:asciiTheme="minorEastAsia" w:hAnsiTheme="minorEastAsia" w:eastAsiaTheme="minorEastAsia" w:cstheme="minorEastAsia"/>
          <w:color w:val="auto"/>
          <w:sz w:val="24"/>
          <w:szCs w:val="24"/>
          <w:lang w:val="zh-CN"/>
        </w:rPr>
      </w:pPr>
      <w:r>
        <w:rPr>
          <w:rFonts w:hint="eastAsia" w:ascii="华文仿宋" w:hAnsi="华文仿宋" w:eastAsia="华文仿宋" w:cs="华文仿宋"/>
          <w:color w:val="auto"/>
          <w:sz w:val="32"/>
          <w:szCs w:val="32"/>
          <w:lang w:val="en-US" w:eastAsia="zh-CN"/>
        </w:rPr>
        <w:t>详见附件3（绩效自评表）</w:t>
      </w:r>
      <w:bookmarkStart w:id="0" w:name="_GoBack"/>
      <w:bookmarkEnd w:id="0"/>
    </w:p>
    <w:p w14:paraId="50B4485D">
      <w:pPr>
        <w:spacing w:before="100" w:beforeLines="0" w:after="100" w:afterLines="0"/>
        <w:jc w:val="center"/>
        <w:rPr>
          <w:rFonts w:hint="eastAsia" w:ascii="华文仿宋" w:hAnsi="华文仿宋" w:eastAsia="华文仿宋" w:cs="华文仿宋"/>
          <w:b/>
          <w:bCs/>
          <w:color w:val="auto"/>
          <w:sz w:val="32"/>
          <w:szCs w:val="32"/>
          <w:lang w:val="zh-CN" w:eastAsia="zh-CN"/>
        </w:rPr>
      </w:pPr>
      <w:r>
        <w:rPr>
          <w:rFonts w:hint="eastAsia" w:ascii="华文仿宋" w:hAnsi="华文仿宋" w:eastAsia="华文仿宋" w:cs="华文仿宋"/>
          <w:b/>
          <w:bCs/>
          <w:color w:val="auto"/>
          <w:sz w:val="32"/>
          <w:szCs w:val="32"/>
          <w:lang w:val="zh-CN" w:eastAsia="zh-CN"/>
        </w:rPr>
        <w:t>第五部分</w:t>
      </w:r>
      <w:r>
        <w:rPr>
          <w:rFonts w:hint="eastAsia" w:ascii="华文仿宋" w:hAnsi="华文仿宋" w:eastAsia="华文仿宋" w:cs="华文仿宋"/>
          <w:b/>
          <w:bCs/>
          <w:color w:val="auto"/>
          <w:sz w:val="32"/>
          <w:szCs w:val="32"/>
          <w:lang w:val="en-US" w:eastAsia="zh-CN"/>
        </w:rPr>
        <w:t xml:space="preserve">  </w:t>
      </w:r>
      <w:r>
        <w:rPr>
          <w:rFonts w:hint="eastAsia" w:ascii="华文仿宋" w:hAnsi="华文仿宋" w:eastAsia="华文仿宋" w:cs="华文仿宋"/>
          <w:b/>
          <w:bCs/>
          <w:color w:val="auto"/>
          <w:sz w:val="32"/>
          <w:szCs w:val="32"/>
          <w:lang w:val="zh-CN" w:eastAsia="zh-CN"/>
        </w:rPr>
        <w:t>名词解释</w:t>
      </w:r>
    </w:p>
    <w:p w14:paraId="02C64305">
      <w:pPr>
        <w:spacing w:before="100" w:beforeLines="0" w:after="100" w:afterLines="0"/>
        <w:jc w:val="both"/>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zh-CN"/>
        </w:rPr>
        <w:t>一、财政拨款收入</w:t>
      </w:r>
      <w:r>
        <w:rPr>
          <w:rFonts w:hint="eastAsia" w:ascii="华文仿宋" w:hAnsi="华文仿宋" w:eastAsia="华文仿宋" w:cs="华文仿宋"/>
          <w:color w:val="auto"/>
          <w:sz w:val="32"/>
          <w:szCs w:val="32"/>
          <w:lang w:val="zh-CN"/>
        </w:rPr>
        <w:t>：指本年度从同级财政部门取得的财政拨款,包括一般公共预算财政拨款、政府性基金预算财政拨款和国有资本经营预算财政拨款。</w:t>
      </w:r>
    </w:p>
    <w:p w14:paraId="4ED47743">
      <w:pPr>
        <w:spacing w:before="100" w:beforeLines="0" w:after="100" w:afterLines="0"/>
        <w:jc w:val="both"/>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zh-CN"/>
        </w:rPr>
        <w:t>二、事业收入</w:t>
      </w:r>
      <w:r>
        <w:rPr>
          <w:rFonts w:hint="eastAsia" w:ascii="华文仿宋" w:hAnsi="华文仿宋" w:eastAsia="华文仿宋" w:cs="华文仿宋"/>
          <w:color w:val="auto"/>
          <w:sz w:val="32"/>
          <w:szCs w:val="32"/>
          <w:lang w:val="zh-CN"/>
        </w:rPr>
        <w:t>：指事业单位开展专业业务活动及其辅助活动取得的收入。</w:t>
      </w:r>
    </w:p>
    <w:p w14:paraId="535AF7C0">
      <w:pPr>
        <w:spacing w:before="100" w:beforeLines="0" w:after="100" w:afterLines="0"/>
        <w:jc w:val="both"/>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zh-CN"/>
        </w:rPr>
        <w:t>三、经营收入</w:t>
      </w:r>
      <w:r>
        <w:rPr>
          <w:rFonts w:hint="eastAsia" w:ascii="华文仿宋" w:hAnsi="华文仿宋" w:eastAsia="华文仿宋" w:cs="华文仿宋"/>
          <w:color w:val="auto"/>
          <w:sz w:val="32"/>
          <w:szCs w:val="32"/>
          <w:lang w:val="zh-CN"/>
        </w:rPr>
        <w:t>：指事业单位在专业业务活动及其辅助活动之外开展非独立核算经营活动取得的收入。</w:t>
      </w:r>
    </w:p>
    <w:p w14:paraId="305A7CCB">
      <w:pPr>
        <w:spacing w:before="100" w:beforeLines="0" w:after="100" w:afterLines="0"/>
        <w:jc w:val="both"/>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zh-CN"/>
        </w:rPr>
        <w:t>四、其他收入</w:t>
      </w:r>
      <w:r>
        <w:rPr>
          <w:rFonts w:hint="eastAsia" w:ascii="华文仿宋" w:hAnsi="华文仿宋" w:eastAsia="华文仿宋" w:cs="华文仿宋"/>
          <w:color w:val="auto"/>
          <w:sz w:val="32"/>
          <w:szCs w:val="32"/>
          <w:lang w:val="zh-CN"/>
        </w:rPr>
        <w:t>：指除上述“财政拨款收入”“事业收入”、“经营收入”以外的收入。</w:t>
      </w:r>
    </w:p>
    <w:p w14:paraId="65DB8023">
      <w:pPr>
        <w:spacing w:before="100" w:beforeLines="0" w:after="100" w:afterLines="0"/>
        <w:jc w:val="both"/>
        <w:rPr>
          <w:rFonts w:hint="eastAsia" w:ascii="华文仿宋" w:hAnsi="华文仿宋" w:eastAsia="华文仿宋" w:cs="华文仿宋"/>
          <w:b w:val="0"/>
          <w:bCs w:val="0"/>
          <w:color w:val="auto"/>
          <w:sz w:val="32"/>
          <w:szCs w:val="32"/>
          <w:lang w:val="zh-CN"/>
        </w:rPr>
      </w:pPr>
      <w:r>
        <w:rPr>
          <w:rFonts w:hint="eastAsia" w:ascii="华文仿宋" w:hAnsi="华文仿宋" w:eastAsia="华文仿宋" w:cs="华文仿宋"/>
          <w:b/>
          <w:bCs/>
          <w:color w:val="auto"/>
          <w:sz w:val="32"/>
          <w:szCs w:val="32"/>
          <w:lang w:val="zh-CN"/>
        </w:rPr>
        <w:t>五、使用非财政拨款结余（含专用结余）：</w:t>
      </w:r>
      <w:r>
        <w:rPr>
          <w:rFonts w:hint="eastAsia" w:ascii="华文仿宋" w:hAnsi="华文仿宋" w:eastAsia="华文仿宋" w:cs="华文仿宋"/>
          <w:b w:val="0"/>
          <w:bCs w:val="0"/>
          <w:color w:val="auto"/>
          <w:sz w:val="32"/>
          <w:szCs w:val="32"/>
          <w:lang w:val="zh-CN"/>
        </w:rPr>
        <w:t>指事业单位按照预算管理要求使用非财政拨款结余弥补收支差额的金额，以及使用专用结余安排支出的金额。</w:t>
      </w:r>
    </w:p>
    <w:p w14:paraId="418048B1">
      <w:pPr>
        <w:spacing w:before="100" w:beforeLines="0" w:after="100" w:afterLines="0"/>
        <w:jc w:val="both"/>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zh-CN"/>
        </w:rPr>
        <w:t>六、年初结转和结余</w:t>
      </w:r>
      <w:r>
        <w:rPr>
          <w:rFonts w:hint="eastAsia" w:ascii="华文仿宋" w:hAnsi="华文仿宋" w:eastAsia="华文仿宋" w:cs="华文仿宋"/>
          <w:color w:val="auto"/>
          <w:sz w:val="32"/>
          <w:szCs w:val="32"/>
          <w:lang w:val="zh-CN"/>
        </w:rPr>
        <w:t>：指单位上年结转至本年使用的基本支出结转、项目支出结转和结余、经营结余。</w:t>
      </w:r>
    </w:p>
    <w:p w14:paraId="391BE5E7">
      <w:pPr>
        <w:spacing w:before="100" w:beforeLines="0" w:after="100" w:afterLines="0"/>
        <w:jc w:val="both"/>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zh-CN"/>
        </w:rPr>
        <w:t>七、结余分配</w:t>
      </w:r>
      <w:r>
        <w:rPr>
          <w:rFonts w:hint="eastAsia" w:ascii="华文仿宋" w:hAnsi="华文仿宋" w:eastAsia="华文仿宋" w:cs="华文仿宋"/>
          <w:color w:val="auto"/>
          <w:sz w:val="32"/>
          <w:szCs w:val="32"/>
          <w:lang w:val="zh-CN"/>
        </w:rPr>
        <w:t>：指单位按照会计制度规定缴纳的所得税、提取的专用结余以及转入非财政拨款结余的金额等。</w:t>
      </w:r>
    </w:p>
    <w:p w14:paraId="74C21333">
      <w:pPr>
        <w:spacing w:before="100" w:beforeLines="0" w:after="100" w:afterLines="0"/>
        <w:jc w:val="both"/>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zh-CN"/>
        </w:rPr>
        <w:t>八、年末结转和结余</w:t>
      </w:r>
      <w:r>
        <w:rPr>
          <w:rFonts w:hint="eastAsia" w:ascii="华文仿宋" w:hAnsi="华文仿宋" w:eastAsia="华文仿宋" w:cs="华文仿宋"/>
          <w:color w:val="auto"/>
          <w:sz w:val="32"/>
          <w:szCs w:val="32"/>
          <w:lang w:val="zh-CN"/>
        </w:rPr>
        <w:t>：指单位按有关规定结转到下年的基本支出结转、项目支出结转和结余、经营结余。</w:t>
      </w:r>
    </w:p>
    <w:p w14:paraId="53E148B1">
      <w:pPr>
        <w:spacing w:before="100" w:beforeLines="0" w:after="100" w:afterLines="0"/>
        <w:jc w:val="both"/>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zh-CN"/>
        </w:rPr>
        <w:t>九、基本支出</w:t>
      </w:r>
      <w:r>
        <w:rPr>
          <w:rFonts w:hint="eastAsia" w:ascii="华文仿宋" w:hAnsi="华文仿宋" w:eastAsia="华文仿宋" w:cs="华文仿宋"/>
          <w:color w:val="auto"/>
          <w:sz w:val="32"/>
          <w:szCs w:val="32"/>
          <w:lang w:val="zh-CN"/>
        </w:rPr>
        <w:t>：指为保障机构正常运转、完成日常工作任务而发生的人员经费和公用经费。</w:t>
      </w:r>
    </w:p>
    <w:p w14:paraId="5A141A31">
      <w:pPr>
        <w:spacing w:before="100" w:beforeLines="0" w:after="100" w:afterLines="0"/>
        <w:jc w:val="both"/>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zh-CN"/>
        </w:rPr>
        <w:t>十、项目支出</w:t>
      </w:r>
      <w:r>
        <w:rPr>
          <w:rFonts w:hint="eastAsia" w:ascii="华文仿宋" w:hAnsi="华文仿宋" w:eastAsia="华文仿宋" w:cs="华文仿宋"/>
          <w:color w:val="auto"/>
          <w:sz w:val="32"/>
          <w:szCs w:val="32"/>
          <w:lang w:val="zh-CN"/>
        </w:rPr>
        <w:t>：指在基本支出之外为完成特定行政任务或事业发展目标所发生的支出。</w:t>
      </w:r>
    </w:p>
    <w:p w14:paraId="6E0D3016">
      <w:pPr>
        <w:spacing w:before="100" w:beforeLines="0" w:after="100" w:afterLines="0"/>
        <w:jc w:val="both"/>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zh-CN"/>
        </w:rPr>
        <w:t>十一、经营支出</w:t>
      </w:r>
      <w:r>
        <w:rPr>
          <w:rFonts w:hint="eastAsia" w:ascii="华文仿宋" w:hAnsi="华文仿宋" w:eastAsia="华文仿宋" w:cs="华文仿宋"/>
          <w:color w:val="auto"/>
          <w:sz w:val="32"/>
          <w:szCs w:val="32"/>
          <w:lang w:val="zh-CN"/>
        </w:rPr>
        <w:t>：指事业单位在专业业务活动及其辅助活动之外开展非独立核算经营活动发生的支出。</w:t>
      </w:r>
    </w:p>
    <w:p w14:paraId="5BEA5AE4">
      <w:pPr>
        <w:spacing w:before="100" w:beforeLines="0" w:after="100" w:afterLines="0"/>
        <w:jc w:val="both"/>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zh-CN"/>
        </w:rPr>
        <w:t>十二、“三公”经费</w:t>
      </w:r>
      <w:r>
        <w:rPr>
          <w:rFonts w:hint="eastAsia" w:ascii="华文仿宋" w:hAnsi="华文仿宋" w:eastAsia="华文仿宋" w:cs="华文仿宋"/>
          <w:color w:val="auto"/>
          <w:sz w:val="32"/>
          <w:szCs w:val="32"/>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40F0793">
      <w:pPr>
        <w:spacing w:before="100" w:beforeLines="0" w:after="100" w:afterLines="0"/>
        <w:jc w:val="both"/>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zh-CN"/>
        </w:rPr>
        <w:t>十三、机关运行经费</w:t>
      </w:r>
      <w:r>
        <w:rPr>
          <w:rFonts w:hint="eastAsia" w:ascii="华文仿宋" w:hAnsi="华文仿宋" w:eastAsia="华文仿宋" w:cs="华文仿宋"/>
          <w:color w:val="auto"/>
          <w:sz w:val="32"/>
          <w:szCs w:val="32"/>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CE9EE97">
      <w:pPr>
        <w:spacing w:before="100" w:beforeLines="0" w:after="100" w:afterLines="0"/>
        <w:jc w:val="both"/>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zh-CN"/>
        </w:rPr>
        <w:t>十四、社会保障和就业支出（类）行政事业单位养老支出（款）机关事业单位基本养老保险缴费支出（项）：</w:t>
      </w:r>
      <w:r>
        <w:rPr>
          <w:rFonts w:hint="eastAsia" w:ascii="华文仿宋" w:hAnsi="华文仿宋" w:eastAsia="华文仿宋" w:cs="华文仿宋"/>
          <w:color w:val="auto"/>
          <w:sz w:val="32"/>
          <w:szCs w:val="32"/>
          <w:lang w:val="zh-CN"/>
        </w:rPr>
        <w:t>反映机关事业单位实施养老保险制度由单位缴纳的基本养老保险支出。</w:t>
      </w:r>
    </w:p>
    <w:p w14:paraId="5422A9A8">
      <w:pPr>
        <w:pStyle w:val="2"/>
        <w:rPr>
          <w:rFonts w:hint="eastAsia"/>
          <w:lang w:val="zh-CN"/>
        </w:rPr>
      </w:pPr>
    </w:p>
    <w:p w14:paraId="0CE8614B">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600" w:lineRule="atLeast"/>
        <w:ind w:left="0" w:right="0" w:firstLine="516"/>
        <w:rPr>
          <w:rFonts w:hint="eastAsia" w:ascii="华文仿宋" w:hAnsi="华文仿宋" w:eastAsia="华文仿宋" w:cs="华文仿宋"/>
          <w:color w:val="auto"/>
          <w:kern w:val="2"/>
          <w:sz w:val="32"/>
          <w:szCs w:val="32"/>
          <w:lang w:val="zh-CN"/>
        </w:rPr>
      </w:pPr>
      <w:r>
        <w:rPr>
          <w:rFonts w:hint="eastAsia" w:ascii="华文仿宋" w:hAnsi="华文仿宋" w:eastAsia="华文仿宋" w:cs="华文仿宋"/>
          <w:color w:val="auto"/>
          <w:kern w:val="2"/>
          <w:sz w:val="32"/>
          <w:szCs w:val="32"/>
          <w:lang w:val="zh-CN"/>
        </w:rPr>
        <w:t>附件：1.合作市人民法院2023年决算公开表</w:t>
      </w:r>
    </w:p>
    <w:p w14:paraId="7234D20E">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600" w:lineRule="atLeast"/>
        <w:ind w:left="0" w:right="0" w:firstLine="516"/>
        <w:rPr>
          <w:rFonts w:hint="eastAsia" w:ascii="华文仿宋" w:hAnsi="华文仿宋" w:eastAsia="华文仿宋" w:cs="华文仿宋"/>
          <w:color w:val="auto"/>
          <w:kern w:val="2"/>
          <w:sz w:val="32"/>
          <w:szCs w:val="32"/>
          <w:lang w:val="en-US" w:eastAsia="zh-CN"/>
        </w:rPr>
      </w:pPr>
      <w:r>
        <w:rPr>
          <w:rFonts w:hint="eastAsia" w:ascii="华文仿宋" w:hAnsi="华文仿宋" w:eastAsia="华文仿宋" w:cs="华文仿宋"/>
          <w:color w:val="auto"/>
          <w:kern w:val="2"/>
          <w:sz w:val="32"/>
          <w:szCs w:val="32"/>
          <w:lang w:val="zh-CN"/>
        </w:rPr>
        <w:t xml:space="preserve">      </w:t>
      </w:r>
      <w:r>
        <w:rPr>
          <w:rFonts w:hint="eastAsia" w:ascii="华文仿宋" w:hAnsi="华文仿宋" w:eastAsia="华文仿宋" w:cs="华文仿宋"/>
          <w:color w:val="auto"/>
          <w:kern w:val="2"/>
          <w:sz w:val="32"/>
          <w:szCs w:val="32"/>
          <w:lang w:val="en-US" w:eastAsia="zh-CN"/>
        </w:rPr>
        <w:t>2.2023年度合作市人民法院预算执行情况绩效自评报告</w:t>
      </w:r>
    </w:p>
    <w:p w14:paraId="2F6151DC">
      <w:pPr>
        <w:pStyle w:val="2"/>
        <w:ind w:firstLine="1280" w:firstLineChars="400"/>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kern w:val="2"/>
          <w:sz w:val="32"/>
          <w:szCs w:val="32"/>
          <w:lang w:val="en-US" w:eastAsia="zh-CN"/>
        </w:rPr>
        <w:t>3.2023年度合作市人民法院省级预算执行情况绩效自评报表</w:t>
      </w:r>
    </w:p>
    <w:p w14:paraId="38D852BE">
      <w:pPr>
        <w:pStyle w:val="8"/>
        <w:keepNext w:val="0"/>
        <w:keepLines w:val="0"/>
        <w:widowControl/>
        <w:suppressLineNumbers w:val="0"/>
        <w:autoSpaceDE w:val="0"/>
        <w:autoSpaceDN/>
        <w:spacing w:before="0" w:beforeAutospacing="0" w:line="600" w:lineRule="atLeast"/>
        <w:ind w:left="0"/>
        <w:jc w:val="left"/>
        <w:rPr>
          <w:rFonts w:hint="eastAsia" w:ascii="华文仿宋" w:hAnsi="华文仿宋" w:eastAsia="华文仿宋" w:cs="华文仿宋"/>
          <w:color w:val="auto"/>
          <w:kern w:val="2"/>
          <w:sz w:val="32"/>
          <w:szCs w:val="32"/>
          <w:lang w:val="zh-CN"/>
        </w:rPr>
      </w:pPr>
      <w:r>
        <w:rPr>
          <w:rFonts w:hint="eastAsia" w:ascii="华文仿宋" w:hAnsi="华文仿宋" w:eastAsia="华文仿宋" w:cs="华文仿宋"/>
          <w:color w:val="auto"/>
          <w:kern w:val="2"/>
          <w:sz w:val="32"/>
          <w:szCs w:val="32"/>
          <w:lang w:val="en-US" w:eastAsia="zh-CN"/>
        </w:rPr>
        <w:t xml:space="preserve">                                       合作市</w:t>
      </w:r>
      <w:r>
        <w:rPr>
          <w:rFonts w:hint="eastAsia" w:ascii="华文仿宋" w:hAnsi="华文仿宋" w:eastAsia="华文仿宋" w:cs="华文仿宋"/>
          <w:color w:val="auto"/>
          <w:kern w:val="2"/>
          <w:sz w:val="32"/>
          <w:szCs w:val="32"/>
          <w:lang w:val="zh-CN"/>
        </w:rPr>
        <w:t>人民法院</w:t>
      </w:r>
    </w:p>
    <w:p w14:paraId="72512F77">
      <w:pPr>
        <w:pStyle w:val="8"/>
        <w:keepNext w:val="0"/>
        <w:keepLines w:val="0"/>
        <w:widowControl/>
        <w:suppressLineNumbers w:val="0"/>
        <w:autoSpaceDE w:val="0"/>
        <w:autoSpaceDN/>
        <w:spacing w:before="0" w:beforeAutospacing="0" w:line="600" w:lineRule="atLeast"/>
        <w:jc w:val="left"/>
        <w:rPr>
          <w:rFonts w:hint="eastAsia" w:ascii="仿宋_GB2312" w:hAnsi="仿宋_GB2312" w:eastAsia="仿宋_GB2312" w:cs="仿宋_GB2312"/>
          <w:color w:val="auto"/>
          <w:sz w:val="32"/>
          <w:szCs w:val="32"/>
          <w:lang w:val="zh-CN"/>
        </w:rPr>
      </w:pPr>
      <w:r>
        <w:rPr>
          <w:rFonts w:hint="eastAsia" w:ascii="华文仿宋" w:hAnsi="华文仿宋" w:eastAsia="华文仿宋" w:cs="华文仿宋"/>
          <w:color w:val="auto"/>
          <w:kern w:val="2"/>
          <w:sz w:val="32"/>
          <w:szCs w:val="32"/>
          <w:lang w:val="zh-CN"/>
        </w:rPr>
        <w:t xml:space="preserve">        </w:t>
      </w:r>
      <w:r>
        <w:rPr>
          <w:rFonts w:hint="eastAsia" w:ascii="华文仿宋" w:hAnsi="华文仿宋" w:eastAsia="华文仿宋" w:cs="华文仿宋"/>
          <w:color w:val="auto"/>
          <w:kern w:val="2"/>
          <w:sz w:val="32"/>
          <w:szCs w:val="32"/>
          <w:lang w:val="en-US" w:eastAsia="zh-CN"/>
        </w:rPr>
        <w:t xml:space="preserve">                               </w:t>
      </w:r>
      <w:r>
        <w:rPr>
          <w:rFonts w:hint="eastAsia" w:ascii="华文仿宋" w:hAnsi="华文仿宋" w:eastAsia="华文仿宋" w:cs="华文仿宋"/>
          <w:color w:val="auto"/>
          <w:kern w:val="2"/>
          <w:sz w:val="32"/>
          <w:szCs w:val="32"/>
          <w:lang w:val="zh-CN"/>
        </w:rPr>
        <w:t>202</w:t>
      </w:r>
      <w:r>
        <w:rPr>
          <w:rFonts w:hint="eastAsia" w:ascii="华文仿宋" w:hAnsi="华文仿宋" w:eastAsia="华文仿宋" w:cs="华文仿宋"/>
          <w:color w:val="auto"/>
          <w:kern w:val="2"/>
          <w:sz w:val="32"/>
          <w:szCs w:val="32"/>
          <w:lang w:val="en-US" w:eastAsia="zh-CN"/>
        </w:rPr>
        <w:t>4</w:t>
      </w:r>
      <w:r>
        <w:rPr>
          <w:rFonts w:hint="eastAsia" w:ascii="华文仿宋" w:hAnsi="华文仿宋" w:eastAsia="华文仿宋" w:cs="华文仿宋"/>
          <w:color w:val="auto"/>
          <w:kern w:val="2"/>
          <w:sz w:val="32"/>
          <w:szCs w:val="32"/>
          <w:lang w:val="zh-CN"/>
        </w:rPr>
        <w:t>年8月</w:t>
      </w:r>
      <w:r>
        <w:rPr>
          <w:rFonts w:hint="eastAsia" w:ascii="华文仿宋" w:hAnsi="华文仿宋" w:eastAsia="华文仿宋" w:cs="华文仿宋"/>
          <w:color w:val="auto"/>
          <w:kern w:val="2"/>
          <w:sz w:val="32"/>
          <w:szCs w:val="32"/>
          <w:lang w:val="en-US" w:eastAsia="zh-CN"/>
        </w:rPr>
        <w:t>19</w:t>
      </w:r>
      <w:r>
        <w:rPr>
          <w:rFonts w:hint="eastAsia" w:ascii="华文仿宋" w:hAnsi="华文仿宋" w:eastAsia="华文仿宋" w:cs="华文仿宋"/>
          <w:color w:val="auto"/>
          <w:kern w:val="2"/>
          <w:sz w:val="32"/>
          <w:szCs w:val="32"/>
          <w:lang w:val="zh-CN"/>
        </w:rPr>
        <w:t>日</w:t>
      </w: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2"/>
      <w:numFmt w:val="chineseCounting"/>
      <w:lvlText w:val="(%1)"/>
      <w:lvlJc w:val="left"/>
      <w:pPr>
        <w:tabs>
          <w:tab w:val="left" w:pos="312"/>
        </w:tabs>
      </w:pPr>
      <w:rPr>
        <w:rFonts w:hint="eastAsia"/>
      </w:rPr>
    </w:lvl>
  </w:abstractNum>
  <w:abstractNum w:abstractNumId="1">
    <w:nsid w:val="E4F731B4"/>
    <w:multiLevelType w:val="singleLevel"/>
    <w:tmpl w:val="E4F731B4"/>
    <w:lvl w:ilvl="0" w:tentative="0">
      <w:start w:val="1"/>
      <w:numFmt w:val="decimal"/>
      <w:suff w:val="nothing"/>
      <w:lvlText w:val="%1．"/>
      <w:lvlJc w:val="left"/>
      <w:rPr>
        <w:rFonts w:hint="default"/>
        <w:color w:val="auto"/>
      </w:rPr>
    </w:lvl>
  </w:abstractNum>
  <w:abstractNum w:abstractNumId="2">
    <w:nsid w:val="0053208E"/>
    <w:multiLevelType w:val="singleLevel"/>
    <w:tmpl w:val="0053208E"/>
    <w:lvl w:ilvl="0" w:tentative="0">
      <w:start w:val="2"/>
      <w:numFmt w:val="chineseCounting"/>
      <w:suff w:val="nothing"/>
      <w:lvlText w:val="（%1）"/>
      <w:lvlJc w:val="left"/>
      <w:rPr>
        <w:rFonts w:hint="eastAsia"/>
      </w:rPr>
    </w:lvl>
  </w:abstractNum>
  <w:abstractNum w:abstractNumId="3">
    <w:nsid w:val="15D4066B"/>
    <w:multiLevelType w:val="singleLevel"/>
    <w:tmpl w:val="15D4066B"/>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ODkxMDMwODkxZmQyYTQyOTI1NzAyN2RjOGY5ZDkifQ=="/>
    <w:docVar w:name="KSO_WPS_MARK_KEY" w:val="fecc592a-9b57-417a-92c6-1beb9c13b18b"/>
  </w:docVars>
  <w:rsids>
    <w:rsidRoot w:val="00000000"/>
    <w:rsid w:val="00CA613C"/>
    <w:rsid w:val="03703425"/>
    <w:rsid w:val="03E868D9"/>
    <w:rsid w:val="03FE341B"/>
    <w:rsid w:val="082F0F7A"/>
    <w:rsid w:val="084C763D"/>
    <w:rsid w:val="08AD7B6E"/>
    <w:rsid w:val="0B071D3B"/>
    <w:rsid w:val="0D2E75FC"/>
    <w:rsid w:val="0D4F1CD8"/>
    <w:rsid w:val="0F403A6D"/>
    <w:rsid w:val="100E0A5E"/>
    <w:rsid w:val="11160299"/>
    <w:rsid w:val="111725AC"/>
    <w:rsid w:val="1356385F"/>
    <w:rsid w:val="139A7BF0"/>
    <w:rsid w:val="13E9022F"/>
    <w:rsid w:val="14F50E56"/>
    <w:rsid w:val="16041350"/>
    <w:rsid w:val="16467BBB"/>
    <w:rsid w:val="17B1438A"/>
    <w:rsid w:val="19232435"/>
    <w:rsid w:val="19BA0876"/>
    <w:rsid w:val="1B034015"/>
    <w:rsid w:val="1B9F38C9"/>
    <w:rsid w:val="1DB96935"/>
    <w:rsid w:val="200C3C23"/>
    <w:rsid w:val="21354AB4"/>
    <w:rsid w:val="213B0899"/>
    <w:rsid w:val="25034EC9"/>
    <w:rsid w:val="257007B0"/>
    <w:rsid w:val="25D16D75"/>
    <w:rsid w:val="272F6449"/>
    <w:rsid w:val="28D538B1"/>
    <w:rsid w:val="2A632BD5"/>
    <w:rsid w:val="2ADF2553"/>
    <w:rsid w:val="2B4E123F"/>
    <w:rsid w:val="2BDB26FC"/>
    <w:rsid w:val="2E894691"/>
    <w:rsid w:val="2FCE6581"/>
    <w:rsid w:val="2FCF7C3A"/>
    <w:rsid w:val="31457DBA"/>
    <w:rsid w:val="324D4F00"/>
    <w:rsid w:val="32E53E60"/>
    <w:rsid w:val="338D54F3"/>
    <w:rsid w:val="345E3ECA"/>
    <w:rsid w:val="377C6374"/>
    <w:rsid w:val="381579AD"/>
    <w:rsid w:val="38AD71CE"/>
    <w:rsid w:val="39253208"/>
    <w:rsid w:val="3E66054B"/>
    <w:rsid w:val="420F2CA7"/>
    <w:rsid w:val="43310978"/>
    <w:rsid w:val="445D7CFA"/>
    <w:rsid w:val="44A771C7"/>
    <w:rsid w:val="44D53D34"/>
    <w:rsid w:val="481903DC"/>
    <w:rsid w:val="49496A9F"/>
    <w:rsid w:val="49690EEF"/>
    <w:rsid w:val="49E35145"/>
    <w:rsid w:val="49F70276"/>
    <w:rsid w:val="4B5160DF"/>
    <w:rsid w:val="4B537B27"/>
    <w:rsid w:val="4BD101BD"/>
    <w:rsid w:val="4BF54CBC"/>
    <w:rsid w:val="4CC176FC"/>
    <w:rsid w:val="4D6D36A4"/>
    <w:rsid w:val="517F7502"/>
    <w:rsid w:val="528648C0"/>
    <w:rsid w:val="533B7DA0"/>
    <w:rsid w:val="53807561"/>
    <w:rsid w:val="552F7491"/>
    <w:rsid w:val="55BB0D24"/>
    <w:rsid w:val="5950653D"/>
    <w:rsid w:val="59583222"/>
    <w:rsid w:val="5B062A42"/>
    <w:rsid w:val="5CDA6528"/>
    <w:rsid w:val="5D276C9F"/>
    <w:rsid w:val="5D731EE5"/>
    <w:rsid w:val="5E167440"/>
    <w:rsid w:val="5E88297C"/>
    <w:rsid w:val="5FE85FD0"/>
    <w:rsid w:val="6058316A"/>
    <w:rsid w:val="608F34D9"/>
    <w:rsid w:val="60932FCA"/>
    <w:rsid w:val="61BB5801"/>
    <w:rsid w:val="62662018"/>
    <w:rsid w:val="62A52B40"/>
    <w:rsid w:val="64EA091A"/>
    <w:rsid w:val="65E120E1"/>
    <w:rsid w:val="66C57C55"/>
    <w:rsid w:val="67864B0F"/>
    <w:rsid w:val="67B45E99"/>
    <w:rsid w:val="68774F7F"/>
    <w:rsid w:val="68ED5241"/>
    <w:rsid w:val="69D733AD"/>
    <w:rsid w:val="6A6C43E4"/>
    <w:rsid w:val="6AA45DD3"/>
    <w:rsid w:val="6B031FD6"/>
    <w:rsid w:val="6B8F25DF"/>
    <w:rsid w:val="6D047B27"/>
    <w:rsid w:val="6DCA2A60"/>
    <w:rsid w:val="6E2E60E0"/>
    <w:rsid w:val="6FF11ABB"/>
    <w:rsid w:val="70A703CB"/>
    <w:rsid w:val="70B522FA"/>
    <w:rsid w:val="71125845"/>
    <w:rsid w:val="71DE606F"/>
    <w:rsid w:val="721970A7"/>
    <w:rsid w:val="72C963D7"/>
    <w:rsid w:val="744D3038"/>
    <w:rsid w:val="76BD6253"/>
    <w:rsid w:val="77004391"/>
    <w:rsid w:val="77B13503"/>
    <w:rsid w:val="79450C0B"/>
    <w:rsid w:val="799C2A97"/>
    <w:rsid w:val="79C3743E"/>
    <w:rsid w:val="7A821D96"/>
    <w:rsid w:val="7C1F52BA"/>
    <w:rsid w:val="7CD442F6"/>
    <w:rsid w:val="7CE502B1"/>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eastAsia="宋体" w:asciiTheme="minorHAnsi" w:hAnsiTheme="minorHAnsi" w:cstheme="minorBidi"/>
      <w:kern w:val="2"/>
      <w:sz w:val="21"/>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 w:type="paragraph" w:styleId="3">
    <w:name w:val="index 6"/>
    <w:basedOn w:val="1"/>
    <w:next w:val="1"/>
    <w:semiHidden/>
    <w:qFormat/>
    <w:uiPriority w:val="0"/>
    <w:pPr>
      <w:ind w:firstLine="640" w:firstLineChars="200"/>
    </w:pPr>
    <w:rPr>
      <w:rFonts w:ascii="仿宋_GB2312" w:hAnsi="仿宋_GB2312" w:eastAsia="仿宋_GB2312" w:cs="仿宋_GB2312"/>
      <w:color w:val="0000FF"/>
      <w:sz w:val="32"/>
      <w:szCs w:val="32"/>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普通(网站) Char"/>
    <w:basedOn w:val="1"/>
    <w:qFormat/>
    <w:uiPriority w:val="0"/>
    <w:pPr>
      <w:widowControl w:val="0"/>
      <w:spacing w:before="100" w:beforeAutospacing="1" w:after="100" w:afterAutospacing="1"/>
    </w:pPr>
    <w:rPr>
      <w:rFonts w:eastAsiaTheme="minorEastAsia"/>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Template>Normal.dotm</Template>
  <TotalTime>0</TotalTime>
  <Pages>13</Pages>
  <Words>6363</Words>
  <Characters>16240</Characters>
  <Application>WPS Office_11.1.0.12980_F1E327BC-269C-435d-A152-05C5408002CA</Application>
  <DocSecurity>0</DocSecurity>
  <Lines>0</Lines>
  <Paragraphs>0</Paragraphs>
  <CharactersWithSpaces>16240</CharactersWithSpaces>
  <AppVersion>14.0000</AppVersion>
</Properties>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E06D266F13EA4024808CEEADBAD91186_11</vt:lpwstr>
  </proper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2024-08-07T09:26:33Z</dcterms:modified>
  <cp:revision>1</cp:revision>
</cp:coreProperties>
</file>

<file path=customXml/item4.xml><?xml version="1.0" encoding="utf-8"?>
<Properties xmlns="http://schemas.openxmlformats.org/officeDocument/2006/extended-properties" xmlns:vt="http://schemas.openxmlformats.org/officeDocument/2006/docPropsVTypes">
  <Template>Normal.dotm</Template>
  <Pages>13</Pages>
  <Words>6363</Words>
  <Characters>16240</Characters>
  <Lines>0</Lines>
  <Paragraphs>0</Paragraphs>
  <TotalTime>0</TotalTime>
  <ScaleCrop>false</ScaleCrop>
  <LinksUpToDate>false</LinksUpToDate>
  <CharactersWithSpaces>16240</CharactersWithSpaces>
  <Application>WPS Office_11.1.0.12980_F1E327BC-269C-435d-A152-05C5408002CA</Application>
  <DocSecurity>0</DocSecurity>
</Properties>
</file>

<file path=customXml/item5.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2024-08-07T09:26:33Z</dcterms:modified>
  <cp:revision>1</cp:revision>
</cp:coreProperties>
</file>

<file path=customXml/item7.xml><?xml version="1.0" encoding="utf-8"?>
<Properties xmlns="http://schemas.openxmlformats.org/officeDocument/2006/extended-properties" xmlns:vt="http://schemas.openxmlformats.org/officeDocument/2006/docPropsVTypes">
  <Template>Normal.dotm</Template>
  <Pages>13</Pages>
  <Words>6363</Words>
  <Characters>16240</Characters>
  <Lines>0</Lines>
  <Paragraphs>0</Paragraphs>
  <TotalTime>0</TotalTime>
  <ScaleCrop>false</ScaleCrop>
  <LinksUpToDate>false</LinksUpToDate>
  <CharactersWithSpaces>16240</CharactersWithSpaces>
  <Application>WPS Office_11.1.0.12980_F1E327BC-269C-435d-A152-05C5408002CA</Application>
  <DocSecurity>0</DocSecurity>
</Properties>
</file>

<file path=customXml/item8.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admin</cp:lastModifiedBy>
  <cp:revision>1</cp:revision>
  <dcterms:created xsi:type="dcterms:W3CDTF">2023-07-20T03:33:00Z</dcterms:created>
  <dcterms:modified xsi:type="dcterms:W3CDTF">2024-08-07T09:26:33Z</dcterms:modified>
</cp:coreProperties>
</file>

<file path=customXml/itemProps1.xml><?xml version="1.0" encoding="utf-8"?>
<ds:datastoreItem xmlns:ds="http://schemas.openxmlformats.org/officeDocument/2006/customXml" ds:itemID="{91204c6d-6c44-468b-8a42-1038ffd0a961}">
  <ds:schemaRefs/>
</ds:datastoreItem>
</file>

<file path=customXml/itemProps2.xml><?xml version="1.0" encoding="utf-8"?>
<ds:datastoreItem xmlns:ds="http://schemas.openxmlformats.org/officeDocument/2006/customXml" ds:itemID="{6e77c990-355d-44d6-bdc5-f88c3f7d78eb}">
  <ds:schemaRefs/>
</ds:datastoreItem>
</file>

<file path=customXml/itemProps3.xml><?xml version="1.0" encoding="utf-8"?>
<ds:datastoreItem xmlns:ds="http://schemas.openxmlformats.org/officeDocument/2006/customXml" ds:itemID="{b327379f-c69e-46a1-93eb-68322f5c355e}">
  <ds:schemaRefs/>
</ds:datastoreItem>
</file>

<file path=customXml/itemProps4.xml><?xml version="1.0" encoding="utf-8"?>
<ds:datastoreItem xmlns:ds="http://schemas.openxmlformats.org/officeDocument/2006/customXml" ds:itemID="{556635cb-2663-490d-862f-91a517a821e7}">
  <ds:schemaRefs/>
</ds:datastoreItem>
</file>

<file path=customXml/itemProps5.xml><?xml version="1.0" encoding="utf-8"?>
<ds:datastoreItem xmlns:ds="http://schemas.openxmlformats.org/officeDocument/2006/customXml" ds:itemID="{a3d713f8-17a2-4069-bcd8-9d76f84e59af}">
  <ds:schemaRefs/>
</ds:datastoreItem>
</file>

<file path=customXml/itemProps6.xml><?xml version="1.0" encoding="utf-8"?>
<ds:datastoreItem xmlns:ds="http://schemas.openxmlformats.org/officeDocument/2006/customXml" ds:itemID="{10640ca3-0b19-4b9f-8672-ef337e374949}">
  <ds:schemaRefs/>
</ds:datastoreItem>
</file>

<file path=customXml/itemProps7.xml><?xml version="1.0" encoding="utf-8"?>
<ds:datastoreItem xmlns:ds="http://schemas.openxmlformats.org/officeDocument/2006/customXml" ds:itemID="{83cadf53-e8cc-47bc-a6c7-ea980dfc8696}">
  <ds:schemaRefs/>
</ds:datastoreItem>
</file>

<file path=customXml/itemProps8.xml><?xml version="1.0" encoding="utf-8"?>
<ds:datastoreItem xmlns:ds="http://schemas.openxmlformats.org/officeDocument/2006/customXml" ds:itemID="{63d07d19-77a5-45bd-846f-fbb8d240bc06}">
  <ds:schemaRefs/>
</ds:datastoreItem>
</file>

<file path=customXml/itemProps9.xml><?xml version="1.0" encoding="utf-8"?>
<ds:datastoreItem xmlns:ds="http://schemas.openxmlformats.org/officeDocument/2006/customXml" ds:itemID="{1f2f1b82-a0de-4d13-ae35-978302e9f7d3}">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5418</Words>
  <Characters>6027</Characters>
  <Lines>0</Lines>
  <Paragraphs>0</Paragraphs>
  <TotalTime>4</TotalTime>
  <ScaleCrop>false</ScaleCrop>
  <LinksUpToDate>false</LinksUpToDate>
  <CharactersWithSpaces>6115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Administrator</cp:lastModifiedBy>
  <dcterms:modified xsi:type="dcterms:W3CDTF">2024-08-22T02:20:27Z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E06D266F13EA4024808CEEADBAD91186_11</vt:lpwstr>
  </property>
</Properties>
</file>