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甘肃省临潭县人民法院部门决算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七、</w:t>
      </w:r>
      <w:r>
        <w:rPr>
          <w:rFonts w:hint="eastAsia" w:ascii="宋体" w:hAnsi="宋体"/>
          <w:sz w:val="24"/>
          <w:szCs w:val="24"/>
          <w:lang w:val="zh-CN"/>
        </w:rPr>
        <w:t>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八、</w:t>
      </w:r>
      <w:r>
        <w:rPr>
          <w:rFonts w:hint="eastAsia" w:ascii="宋体" w:hAnsi="宋体"/>
          <w:sz w:val="24"/>
          <w:szCs w:val="24"/>
          <w:lang w:val="zh-CN"/>
        </w:rPr>
        <w:t>国有资本经营预算财政拨款支出情况说明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en-US" w:eastAsia="zh-CN"/>
        </w:rPr>
        <w:t>九、</w:t>
      </w:r>
      <w:r>
        <w:rPr>
          <w:rFonts w:hint="eastAsia" w:ascii="宋体" w:hAnsi="宋体"/>
          <w:sz w:val="24"/>
          <w:szCs w:val="24"/>
          <w:lang w:val="zh-CN"/>
        </w:rPr>
        <w:t>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十、</w:t>
      </w:r>
      <w:r>
        <w:rPr>
          <w:rFonts w:hint="eastAsia" w:ascii="宋体" w:hAnsi="宋体"/>
          <w:sz w:val="24"/>
          <w:szCs w:val="24"/>
          <w:lang w:val="zh-CN"/>
        </w:rPr>
        <w:t>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十一</w:t>
      </w:r>
      <w:r>
        <w:rPr>
          <w:rFonts w:hint="eastAsia" w:ascii="宋体" w:hAnsi="宋体"/>
          <w:sz w:val="24"/>
          <w:szCs w:val="24"/>
          <w:lang w:val="zh-CN"/>
        </w:rPr>
        <w:t>、政府采购支出情况说明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十二</w:t>
      </w:r>
      <w:r>
        <w:rPr>
          <w:rFonts w:hint="eastAsia" w:ascii="宋体" w:hAnsi="宋体"/>
          <w:sz w:val="24"/>
          <w:szCs w:val="24"/>
          <w:lang w:val="zh-CN"/>
        </w:rPr>
        <w:t>、国有资产占用情况说明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十</w:t>
      </w:r>
      <w:r>
        <w:rPr>
          <w:rFonts w:hint="eastAsia" w:ascii="宋体" w:hAnsi="宋体"/>
          <w:sz w:val="24"/>
          <w:szCs w:val="24"/>
          <w:lang w:val="en-US" w:eastAsia="zh-CN"/>
        </w:rPr>
        <w:t>三</w:t>
      </w:r>
      <w:r>
        <w:rPr>
          <w:rFonts w:hint="eastAsia" w:ascii="宋体" w:hAnsi="宋体"/>
          <w:sz w:val="24"/>
          <w:szCs w:val="24"/>
          <w:lang w:val="zh-CN"/>
        </w:rPr>
        <w:t>、</w:t>
      </w:r>
      <w:r>
        <w:rPr>
          <w:rFonts w:hint="eastAsia" w:ascii="宋体" w:hAnsi="宋体"/>
          <w:sz w:val="24"/>
          <w:szCs w:val="24"/>
          <w:lang w:val="en-US" w:eastAsia="zh-CN"/>
        </w:rPr>
        <w:t>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eastAsia="zh-CN"/>
        </w:rPr>
        <w:t>临潭县</w:t>
      </w:r>
      <w:r>
        <w:rPr>
          <w:rFonts w:hint="eastAsia" w:ascii="宋体" w:hAnsi="宋体"/>
          <w:sz w:val="24"/>
          <w:szCs w:val="24"/>
          <w:lang w:val="zh-CN"/>
        </w:rPr>
        <w:t>人民法院是国家审判机关，依法独立行使审判权，对省人民代表大会及其常务委员会负责并报告工作，接受区人民代表大会及其常务委员会的监督。其主要职责是：</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1、审判法律规定由临潭县人民法院管辖和其认为应当由自己审判的</w:t>
      </w:r>
      <w:r>
        <w:rPr>
          <w:rFonts w:hint="default" w:ascii="宋体" w:hAnsi="宋体"/>
          <w:sz w:val="24"/>
          <w:szCs w:val="24"/>
          <w:lang w:val="en-US" w:eastAsia="zh-CN"/>
        </w:rPr>
        <w:t xml:space="preserve">案件。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2、按照法律规定执行的案件。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3、审理民事、刑事、行政等案件。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4、审判</w:t>
      </w:r>
      <w:r>
        <w:rPr>
          <w:rFonts w:hint="eastAsia" w:ascii="宋体" w:hAnsi="宋体"/>
          <w:sz w:val="24"/>
          <w:szCs w:val="24"/>
          <w:lang w:val="en-US" w:eastAsia="zh-CN"/>
        </w:rPr>
        <w:t>上级</w:t>
      </w:r>
      <w:r>
        <w:rPr>
          <w:rFonts w:hint="default" w:ascii="宋体" w:hAnsi="宋体"/>
          <w:sz w:val="24"/>
          <w:szCs w:val="24"/>
          <w:lang w:val="en-US" w:eastAsia="zh-CN"/>
        </w:rPr>
        <w:t xml:space="preserve">法院交由临潭县人民法院审判的刑事、民事、行政案件。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5、依法审判由人民检察院按照审判监督程序提出的抗诉案件。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6、依法对人民法庭行使指定管辖权。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7、监督人民法庭的审判工作。 </w:t>
      </w:r>
    </w:p>
    <w:p>
      <w:pPr>
        <w:spacing w:before="100" w:beforeLines="0" w:after="100" w:afterLines="0"/>
        <w:jc w:val="left"/>
        <w:rPr>
          <w:rFonts w:hint="eastAsia" w:ascii="宋体" w:hAnsi="宋体"/>
          <w:sz w:val="24"/>
          <w:szCs w:val="24"/>
          <w:lang w:val="zh-CN"/>
        </w:rPr>
      </w:pPr>
      <w:r>
        <w:rPr>
          <w:rFonts w:hint="default" w:ascii="宋体" w:hAnsi="宋体"/>
          <w:sz w:val="24"/>
          <w:szCs w:val="24"/>
          <w:lang w:val="en-US" w:eastAsia="zh-CN"/>
        </w:rPr>
        <w:t xml:space="preserve">8、调查研究审判工作中的法律政策及疑难问题，总结审判工作经验。 </w:t>
      </w:r>
    </w:p>
    <w:p>
      <w:pPr>
        <w:spacing w:before="100" w:beforeLines="0" w:after="100" w:afterLines="0"/>
        <w:jc w:val="left"/>
        <w:rPr>
          <w:rFonts w:hint="eastAsia" w:ascii="宋体" w:hAnsi="宋体"/>
          <w:sz w:val="24"/>
          <w:szCs w:val="24"/>
          <w:lang w:val="zh-CN" w:eastAsia="zh-CN"/>
        </w:rPr>
      </w:pPr>
      <w:r>
        <w:rPr>
          <w:rFonts w:hint="default" w:ascii="宋体" w:hAnsi="宋体"/>
          <w:sz w:val="24"/>
          <w:szCs w:val="24"/>
          <w:lang w:val="en-US" w:eastAsia="zh-CN"/>
        </w:rPr>
        <w:t xml:space="preserve">9、对临潭县人民法院的法官和其他工作人员进行思想政治教育、组织专业培训；按照权限管理、培训法官和其他工作人员。 </w:t>
      </w:r>
    </w:p>
    <w:p>
      <w:pPr>
        <w:numPr>
          <w:ilvl w:val="0"/>
          <w:numId w:val="1"/>
        </w:numPr>
        <w:spacing w:before="100" w:beforeLines="0" w:after="100" w:afterLines="0"/>
        <w:jc w:val="left"/>
        <w:rPr>
          <w:rFonts w:hint="eastAsia" w:ascii="宋体" w:hAnsi="宋体"/>
          <w:color w:val="auto"/>
          <w:sz w:val="24"/>
          <w:szCs w:val="24"/>
          <w:lang w:val="zh-CN"/>
        </w:rPr>
      </w:pPr>
      <w:r>
        <w:rPr>
          <w:rFonts w:hint="default" w:ascii="宋体" w:hAnsi="宋体"/>
          <w:sz w:val="24"/>
          <w:szCs w:val="24"/>
          <w:lang w:val="en-US" w:eastAsia="zh-CN"/>
        </w:rPr>
        <w:t>负责本院的监察工作。</w:t>
      </w:r>
    </w:p>
    <w:p>
      <w:pPr>
        <w:spacing w:before="100" w:beforeLines="0" w:after="100" w:afterLines="0"/>
        <w:jc w:val="left"/>
        <w:rPr>
          <w:rFonts w:hint="eastAsia" w:ascii="宋体" w:hAnsi="宋体"/>
          <w:sz w:val="24"/>
          <w:szCs w:val="24"/>
          <w:lang w:val="en-US" w:eastAsia="zh-CN"/>
        </w:rPr>
      </w:pPr>
      <w:r>
        <w:rPr>
          <w:rFonts w:hint="default" w:ascii="宋体" w:hAnsi="宋体"/>
          <w:sz w:val="24"/>
          <w:szCs w:val="24"/>
          <w:lang w:val="en-US" w:eastAsia="zh-CN"/>
        </w:rPr>
        <w:t xml:space="preserve">11、管理本法院的财务经费和物资装备配置。 </w:t>
      </w:r>
    </w:p>
    <w:p>
      <w:pPr>
        <w:spacing w:before="100" w:beforeLines="0" w:after="100" w:afterLines="0"/>
        <w:jc w:val="left"/>
        <w:rPr>
          <w:rFonts w:hint="eastAsia" w:ascii="宋体" w:hAnsi="宋体"/>
          <w:sz w:val="24"/>
          <w:szCs w:val="24"/>
          <w:lang w:val="en-US" w:eastAsia="zh-CN"/>
        </w:rPr>
      </w:pPr>
      <w:r>
        <w:rPr>
          <w:rFonts w:hint="default" w:ascii="宋体" w:hAnsi="宋体"/>
          <w:sz w:val="24"/>
          <w:szCs w:val="24"/>
          <w:lang w:val="en-US" w:eastAsia="zh-CN"/>
        </w:rPr>
        <w:t xml:space="preserve">12、在审判工作中宣传法制、教育公民自觉地遵守宪法、法律和社会公德。 </w:t>
      </w:r>
    </w:p>
    <w:p>
      <w:pPr>
        <w:spacing w:before="100" w:beforeLines="0" w:after="100" w:afterLines="0"/>
        <w:jc w:val="left"/>
        <w:rPr>
          <w:rFonts w:hint="eastAsia" w:ascii="宋体" w:hAnsi="宋体"/>
          <w:sz w:val="24"/>
          <w:szCs w:val="24"/>
          <w:lang w:val="en-US" w:eastAsia="zh-CN"/>
        </w:rPr>
      </w:pPr>
      <w:r>
        <w:rPr>
          <w:rFonts w:hint="default" w:ascii="宋体" w:hAnsi="宋体"/>
          <w:sz w:val="24"/>
          <w:szCs w:val="24"/>
          <w:lang w:val="en-US" w:eastAsia="zh-CN"/>
        </w:rPr>
        <w:t xml:space="preserve">13、领导本院司法警察警务工作。 </w:t>
      </w:r>
    </w:p>
    <w:p>
      <w:pPr>
        <w:spacing w:before="100" w:beforeLines="0" w:after="100" w:afterLines="0"/>
        <w:jc w:val="left"/>
        <w:rPr>
          <w:rFonts w:hint="eastAsia" w:ascii="宋体" w:hAnsi="宋体"/>
          <w:sz w:val="24"/>
          <w:szCs w:val="24"/>
          <w:lang w:val="en-US" w:eastAsia="zh-CN"/>
        </w:rPr>
      </w:pPr>
      <w:r>
        <w:rPr>
          <w:rFonts w:hint="default" w:ascii="宋体" w:hAnsi="宋体"/>
          <w:sz w:val="24"/>
          <w:szCs w:val="24"/>
          <w:lang w:val="en-US" w:eastAsia="zh-CN"/>
        </w:rPr>
        <w:t xml:space="preserve">14、负责本院涉诉信访工作。 </w:t>
      </w:r>
    </w:p>
    <w:p>
      <w:pPr>
        <w:spacing w:before="100" w:beforeLines="0" w:after="100" w:afterLines="0"/>
        <w:jc w:val="left"/>
        <w:rPr>
          <w:rFonts w:hint="default"/>
          <w:sz w:val="32"/>
          <w:szCs w:val="32"/>
          <w:lang w:val="en-US" w:eastAsia="zh-CN"/>
        </w:rPr>
      </w:pPr>
      <w:r>
        <w:rPr>
          <w:rFonts w:hint="default" w:ascii="宋体" w:hAnsi="宋体"/>
          <w:sz w:val="24"/>
          <w:szCs w:val="24"/>
          <w:lang w:val="en-US" w:eastAsia="zh-CN"/>
        </w:rPr>
        <w:t>15、为本院审判工作提供司法技术服务。</w:t>
      </w:r>
    </w:p>
    <w:p>
      <w:pPr>
        <w:numPr>
          <w:ilvl w:val="0"/>
          <w:numId w:val="0"/>
        </w:numPr>
        <w:spacing w:before="100" w:beforeLines="0" w:after="100" w:afterLines="0"/>
        <w:jc w:val="left"/>
        <w:rPr>
          <w:rFonts w:hint="eastAsia" w:ascii="宋体" w:hAnsi="宋体"/>
          <w:color w:val="auto"/>
          <w:sz w:val="24"/>
          <w:szCs w:val="24"/>
          <w:lang w:val="zh-CN"/>
        </w:rPr>
      </w:pPr>
      <w:r>
        <w:rPr>
          <w:rFonts w:hint="default"/>
          <w:sz w:val="32"/>
          <w:szCs w:val="32"/>
          <w:lang w:val="en-US" w:eastAsia="zh-CN"/>
        </w:rPr>
        <w:t xml:space="preserve"> </w:t>
      </w:r>
      <w:r>
        <w:rPr>
          <w:rFonts w:hint="eastAsia" w:ascii="宋体" w:hAnsi="宋体"/>
          <w:color w:val="auto"/>
          <w:sz w:val="24"/>
          <w:szCs w:val="24"/>
          <w:lang w:val="zh-CN"/>
        </w:rPr>
        <w:t>二、机构设置</w:t>
      </w:r>
    </w:p>
    <w:p>
      <w:pPr>
        <w:numPr>
          <w:ilvl w:val="0"/>
          <w:numId w:val="0"/>
        </w:numPr>
        <w:spacing w:before="100" w:beforeLines="0" w:after="100" w:afterLines="0"/>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我院内部机构设置为机关内设机构 8 个，包括：立案庭（诉讼服务中心）、</w:t>
      </w:r>
      <w:r>
        <w:rPr>
          <w:rFonts w:hint="default" w:ascii="宋体" w:hAnsi="宋体"/>
          <w:sz w:val="24"/>
          <w:szCs w:val="24"/>
          <w:lang w:val="en-US" w:eastAsia="zh-CN"/>
        </w:rPr>
        <w:t>刑事审判庭、民事审判庭、行政审判庭（综合审判庭）、执行庭、审判管理办公室、综合办公室（司法警察大队）、政治部（机关党委）。</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详见附件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lang w:val="en-US" w:eastAsia="zh-CN"/>
        </w:rPr>
        <w:t>本部门2023年度无政府性基金财政拨款收入，无国有资本经营预算财政拨款支出，故表七、表八无数据。</w:t>
      </w:r>
      <w:r>
        <w:rPr>
          <w:rFonts w:hint="eastAsia" w:ascii="宋体" w:hAnsi="宋体"/>
          <w:color w:val="auto"/>
          <w:sz w:val="24"/>
          <w:szCs w:val="24"/>
          <w:lang w:val="zh-CN"/>
        </w:rPr>
        <w:t>）</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3363.06万元。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增加485.82万元,增长16.88%,主要原因是</w:t>
      </w:r>
      <w:r>
        <w:rPr>
          <w:rFonts w:hint="eastAsia" w:ascii="宋体" w:hAnsi="宋体"/>
          <w:color w:val="auto"/>
          <w:sz w:val="24"/>
          <w:szCs w:val="24"/>
          <w:lang w:val="en-US" w:eastAsia="zh-CN"/>
        </w:rPr>
        <w:t>案件数量增多，相关业务经费也对应增加。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2023年度收入合计2664.81万元,其中：财政拨款收入2397.21万元,占89.96%；</w:t>
      </w:r>
      <w:r>
        <w:rPr>
          <w:rFonts w:hint="eastAsia" w:ascii="宋体" w:hAnsi="宋体"/>
          <w:color w:val="auto"/>
          <w:sz w:val="24"/>
          <w:szCs w:val="24"/>
          <w:lang w:val="en-US"/>
        </w:rPr>
        <w:t>其他</w:t>
      </w:r>
      <w:r>
        <w:rPr>
          <w:rFonts w:hint="eastAsia" w:ascii="宋体" w:hAnsi="宋体"/>
          <w:color w:val="auto"/>
          <w:sz w:val="24"/>
          <w:szCs w:val="24"/>
          <w:lang w:val="zh-CN"/>
        </w:rPr>
        <w:t>收入267.60万元,占10.04%；</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2023年度支出合计2871.50万元,其中：基本支出1471.62万元,占51.25%；项目支出1399.88万元,占48.75%；</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3094.53万元。与</w:t>
      </w:r>
      <w:r>
        <w:rPr>
          <w:rFonts w:hint="eastAsia" w:ascii="宋体" w:hAnsi="宋体"/>
          <w:color w:val="auto"/>
          <w:sz w:val="24"/>
          <w:szCs w:val="24"/>
          <w:lang w:val="en-US"/>
        </w:rPr>
        <w:t>上</w:t>
      </w:r>
      <w:r>
        <w:rPr>
          <w:rFonts w:hint="eastAsia" w:ascii="宋体" w:hAnsi="宋体"/>
          <w:color w:val="auto"/>
          <w:sz w:val="24"/>
          <w:szCs w:val="24"/>
          <w:lang w:val="zh-CN"/>
        </w:rPr>
        <w:t>年相比,各增加525.68万元,增长20.46%。主要原因</w:t>
      </w:r>
      <w:r>
        <w:rPr>
          <w:rFonts w:hint="eastAsia" w:ascii="宋体" w:hAnsi="宋体"/>
          <w:color w:val="auto"/>
          <w:sz w:val="24"/>
          <w:szCs w:val="24"/>
          <w:lang w:val="en-US" w:eastAsia="zh-CN"/>
        </w:rPr>
        <w:t>是案件数量增加，我院各乡镇地处偏远，办案难度高，业务经费相应增加，另进行了智慧法院项目建设，对应经费支出也增加。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2023年度一般公共预算财政拨款支出2615.87万元,较上年决算数增加962.32万元,增长58.2%。主要原因是</w:t>
      </w:r>
      <w:r>
        <w:rPr>
          <w:rFonts w:hint="eastAsia" w:ascii="宋体" w:hAnsi="宋体"/>
          <w:color w:val="auto"/>
          <w:sz w:val="24"/>
          <w:szCs w:val="24"/>
          <w:lang w:val="en-US" w:eastAsia="zh-CN"/>
        </w:rPr>
        <w:t>本年度支出上年度结转资金以及智慧法院、两庭建设专项项目经费。</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2615.87万元，主要用于以下方面：公共安全支出2417.53万元,占92.42%；社会保障和就业支出67.29万元,占2.57%；卫生健康支出40.23万元,占1.54%；住房保障支出90.82万元,占3.47%；</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2134.29万元,支出决算为2615.87万元,完成年初预算的122.56%。其中：</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年初预算数为1866.10万元,支出决算为2417.53万元,完成年初预算的129.55%,决算数大于预算数的主要原因是</w:t>
      </w:r>
      <w:r>
        <w:rPr>
          <w:rFonts w:hint="eastAsia" w:ascii="宋体" w:hAnsi="宋体"/>
          <w:color w:val="auto"/>
          <w:sz w:val="24"/>
          <w:szCs w:val="24"/>
          <w:lang w:val="en-US" w:eastAsia="zh-CN"/>
        </w:rPr>
        <w:t xml:space="preserve">本年度支出上年度结转资金。   </w:t>
      </w:r>
    </w:p>
    <w:p>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年初预算数为101.90万元,支出决算为67.29万元,完成年初预算的66.03%,决算数小于预算数的</w:t>
      </w:r>
      <w:r>
        <w:rPr>
          <w:rFonts w:hint="eastAsia" w:ascii="宋体" w:hAnsi="宋体"/>
          <w:color w:val="auto"/>
          <w:sz w:val="24"/>
          <w:szCs w:val="24"/>
          <w:lang w:val="en-US" w:eastAsia="zh-CN"/>
        </w:rPr>
        <w:t xml:space="preserve">主要原因是本年度有行政人员退休，相关费用减少。   </w:t>
      </w:r>
    </w:p>
    <w:p>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eastAsia="zh-CN"/>
        </w:rPr>
        <w:t>．</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年初预算数为68.18万元,支出决算为40.23万元,完成年初预算的59.01%,决算数小于预算数的</w:t>
      </w:r>
      <w:r>
        <w:rPr>
          <w:rFonts w:hint="eastAsia" w:ascii="宋体" w:hAnsi="宋体"/>
          <w:color w:val="auto"/>
          <w:sz w:val="24"/>
          <w:szCs w:val="24"/>
          <w:lang w:val="en-US" w:eastAsia="zh-CN"/>
        </w:rPr>
        <w:t xml:space="preserve">主要原因是本年度有行政人员退休，相关费用减少。   </w:t>
      </w:r>
    </w:p>
    <w:p>
      <w:p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年初预算数为98.11万元,支出决算为90.82万元,完成年初预算的92.57%,决算数小于预算数的</w:t>
      </w:r>
      <w:r>
        <w:rPr>
          <w:rFonts w:hint="eastAsia" w:ascii="宋体" w:hAnsi="宋体"/>
          <w:color w:val="auto"/>
          <w:sz w:val="24"/>
          <w:szCs w:val="24"/>
          <w:lang w:val="en-US" w:eastAsia="zh-CN"/>
        </w:rPr>
        <w:t xml:space="preserve">主要原因是本年度有行政人员退休，相关费用减少。   </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2023年度一般公共预算财政拨款基本支出1215.99万元。其中：</w:t>
      </w:r>
    </w:p>
    <w:p>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1036.77万元,较上年决算数增加80.22万元,增长8.39%,</w:t>
      </w:r>
      <w:r>
        <w:rPr>
          <w:rFonts w:hint="eastAsia" w:ascii="宋体" w:hAnsi="宋体"/>
          <w:color w:val="auto"/>
          <w:sz w:val="24"/>
          <w:szCs w:val="24"/>
          <w:lang w:val="en-US" w:eastAsia="zh-CN"/>
        </w:rPr>
        <w:t>主要原因是人员工资增加，社会保障缴费增加。</w:t>
      </w:r>
      <w:r>
        <w:rPr>
          <w:rFonts w:hint="eastAsia" w:ascii="宋体" w:hAnsi="宋体"/>
          <w:color w:val="auto"/>
          <w:sz w:val="24"/>
          <w:szCs w:val="24"/>
          <w:lang w:val="zh-CN"/>
        </w:rPr>
        <w:t>人员经费用途主要包括基本工资、津贴补贴、奖金、</w:t>
      </w:r>
      <w:r>
        <w:rPr>
          <w:rFonts w:hint="eastAsia" w:ascii="宋体" w:hAnsi="宋体"/>
          <w:color w:val="auto"/>
          <w:sz w:val="24"/>
          <w:szCs w:val="24"/>
          <w:lang w:val="en-US" w:eastAsia="zh-CN"/>
        </w:rPr>
        <w:t>基本养老保险缴费、基本医疗保险缴费、公务员医疗补助缴费、其他社会保障缴费、住房公积金、对个人和家庭的补助、其他工作福利支出等项目。</w:t>
      </w:r>
    </w:p>
    <w:p>
      <w:pPr>
        <w:spacing w:before="100" w:beforeLines="0" w:after="100" w:afterLines="0"/>
        <w:jc w:val="left"/>
        <w:rPr>
          <w:rFonts w:hint="default" w:ascii="宋体" w:hAnsi="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179.21万元,较上年决算数增加42.04万元,增长30.65%,主要原因是</w:t>
      </w:r>
      <w:r>
        <w:rPr>
          <w:rFonts w:hint="eastAsia" w:ascii="宋体" w:hAnsi="宋体"/>
          <w:color w:val="auto"/>
          <w:sz w:val="24"/>
          <w:szCs w:val="24"/>
          <w:lang w:val="en-US" w:eastAsia="zh-CN"/>
        </w:rPr>
        <w:t>经费保障的标准提高。</w:t>
      </w:r>
      <w:r>
        <w:rPr>
          <w:rFonts w:hint="eastAsia" w:ascii="宋体" w:hAnsi="宋体"/>
          <w:color w:val="auto"/>
          <w:sz w:val="24"/>
          <w:szCs w:val="24"/>
          <w:lang w:val="zh-CN"/>
        </w:rPr>
        <w:t>公用经费用途主要包括</w:t>
      </w:r>
      <w:r>
        <w:rPr>
          <w:rFonts w:hint="eastAsia" w:ascii="宋体" w:hAnsi="宋体"/>
          <w:color w:val="auto"/>
          <w:sz w:val="24"/>
          <w:szCs w:val="24"/>
          <w:lang w:val="en-US" w:eastAsia="zh-CN"/>
        </w:rPr>
        <w:t>办公费、手续费、水费、电费、邮电费、取暖费、物业管理费、差旅费、劳务费、工会经费、福利费、公务用车运行维护费租赁费、培训费等项目。</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eastAsia="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预算数为43.80万元,支出决算为42.58万元,决算数小于预算数的</w:t>
      </w:r>
      <w:r>
        <w:rPr>
          <w:rFonts w:hint="eastAsia" w:ascii="宋体" w:hAnsi="宋体"/>
          <w:color w:val="auto"/>
          <w:sz w:val="24"/>
          <w:szCs w:val="24"/>
          <w:lang w:val="en-US" w:eastAsia="zh-CN"/>
        </w:rPr>
        <w:t>公务接待费减少支出，公务用车购置有部分优惠。</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增加0.12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增长0.28</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由于我院辖区乡镇地处偏远，又因为大多都是山路，车辆磨损大，相应的维修费、燃油费支出增大。</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default"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预算数为43.20万元,支出决算为42.58万元,决算数小于预算数的</w:t>
      </w:r>
      <w:r>
        <w:rPr>
          <w:rFonts w:hint="eastAsia" w:ascii="宋体" w:hAnsi="宋体"/>
          <w:color w:val="auto"/>
          <w:sz w:val="24"/>
          <w:szCs w:val="24"/>
          <w:lang w:val="en-US" w:eastAsia="zh-CN"/>
        </w:rPr>
        <w:t>主要原因是本年度购车有购车优惠。较上年决算</w:t>
      </w:r>
      <w:r>
        <w:rPr>
          <w:rFonts w:hint="eastAsia" w:ascii="宋体" w:hAnsi="宋体"/>
          <w:color w:val="auto"/>
          <w:sz w:val="24"/>
          <w:szCs w:val="24"/>
          <w:lang w:val="en-US"/>
        </w:rPr>
        <w:t>数</w:t>
      </w:r>
      <w:r>
        <w:rPr>
          <w:rFonts w:hint="eastAsia" w:ascii="宋体" w:hAnsi="宋体"/>
          <w:color w:val="auto"/>
          <w:sz w:val="24"/>
          <w:szCs w:val="24"/>
          <w:lang w:val="en-US" w:eastAsia="zh-CN"/>
        </w:rPr>
        <w:t>增加0.28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增长0.66</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由于我院辖区乡镇地处偏远，又因为大多都是山路，车辆磨损大，相应的维修费、燃油费支出增大。</w:t>
      </w:r>
    </w:p>
    <w:p>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预算数为18.00万元,支出决算为17.38万元,决算数小于预算数的</w:t>
      </w:r>
      <w:r>
        <w:rPr>
          <w:rFonts w:hint="eastAsia" w:ascii="宋体" w:hAnsi="宋体"/>
          <w:color w:val="auto"/>
          <w:sz w:val="24"/>
          <w:szCs w:val="24"/>
          <w:lang w:val="en-US" w:eastAsia="zh-CN"/>
        </w:rPr>
        <w:t>主要原因是严格将购置费控制在预算范围内。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减少0.12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下降0.69</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eastAsia="zh-CN"/>
        </w:rPr>
        <w:t>主要原因是本年度购车有购车优惠。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预算数为25.20万元,支出决算为25.20万元,决算数</w:t>
      </w:r>
      <w:r>
        <w:rPr>
          <w:rFonts w:hint="eastAsia" w:ascii="宋体" w:hAnsi="宋体"/>
          <w:color w:val="auto"/>
          <w:sz w:val="24"/>
          <w:szCs w:val="24"/>
          <w:lang w:val="en-US" w:eastAsia="zh-CN"/>
        </w:rPr>
        <w:t>完成年初预算的100%。</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增加0.4</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增长1.61</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由于我院辖区乡镇地处偏远，又因为大多都是山路，车辆磨损大，相应的维修费、燃油费支出增大。</w:t>
      </w:r>
    </w:p>
    <w:p>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年预算数为0.60万元,支出决算为0.00万元,决算数小于预算数的</w:t>
      </w:r>
      <w:r>
        <w:rPr>
          <w:rFonts w:hint="eastAsia" w:ascii="宋体" w:hAnsi="宋体"/>
          <w:color w:val="auto"/>
          <w:sz w:val="24"/>
          <w:szCs w:val="24"/>
          <w:lang w:val="en-US" w:eastAsia="zh-CN"/>
        </w:rPr>
        <w:t>本着不接待，少接待的原则，严格控制在预算范围内。较上年决算数减少0.16</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,下降100.0</w:t>
      </w:r>
      <w:r>
        <w:rPr>
          <w:rFonts w:hint="eastAsia" w:ascii="宋体" w:hAnsi="宋体"/>
          <w:color w:val="auto"/>
          <w:sz w:val="24"/>
          <w:szCs w:val="24"/>
          <w:lang w:val="zh-CN" w:eastAsia="zh-CN"/>
        </w:rPr>
        <w:t>%</w:t>
      </w:r>
      <w:r>
        <w:rPr>
          <w:rFonts w:hint="eastAsia" w:ascii="宋体" w:hAnsi="宋体"/>
          <w:color w:val="auto"/>
          <w:sz w:val="24"/>
          <w:szCs w:val="24"/>
          <w:lang w:val="en-US" w:eastAsia="zh-CN"/>
        </w:rPr>
        <w:t>,减少公务接待，压减相关经费。</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1辆,</w:t>
      </w:r>
      <w:r>
        <w:rPr>
          <w:rFonts w:hint="eastAsia" w:ascii="宋体" w:hAnsi="宋体"/>
          <w:b/>
          <w:color w:val="auto"/>
          <w:sz w:val="24"/>
          <w:szCs w:val="24"/>
          <w:lang w:val="zh-CN"/>
        </w:rPr>
        <w:t>公务用车保有量</w:t>
      </w:r>
      <w:r>
        <w:rPr>
          <w:rFonts w:hint="eastAsia" w:ascii="宋体" w:hAnsi="宋体"/>
          <w:color w:val="auto"/>
          <w:sz w:val="24"/>
          <w:szCs w:val="24"/>
          <w:lang w:val="zh-CN"/>
        </w:rPr>
        <w:t>为6辆；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2023年度本部门机关运行经费支出179.21万元,机关运行经费主要用于开支</w:t>
      </w:r>
      <w:r>
        <w:rPr>
          <w:rFonts w:hint="eastAsia" w:ascii="宋体" w:hAnsi="宋体"/>
          <w:color w:val="auto"/>
          <w:sz w:val="24"/>
          <w:szCs w:val="24"/>
          <w:lang w:val="en-US" w:eastAsia="zh-CN"/>
        </w:rPr>
        <w:t>办公费、手续费、水费、电费、邮电费、取暖费、物业管理费、差旅费、劳务费、工会经费、福利费、公务用车运行维护费租赁费、培训费等项目。</w:t>
      </w:r>
      <w:r>
        <w:rPr>
          <w:rFonts w:hint="eastAsia" w:ascii="宋体" w:hAnsi="宋体"/>
          <w:color w:val="auto"/>
          <w:sz w:val="24"/>
          <w:szCs w:val="24"/>
          <w:lang w:val="zh-CN"/>
        </w:rPr>
        <w:t>机关运行经费较上年决算数增加42.05万元,增长30.66%,主要原因是</w:t>
      </w:r>
      <w:r>
        <w:rPr>
          <w:rFonts w:hint="eastAsia" w:ascii="宋体" w:hAnsi="宋体"/>
          <w:color w:val="auto"/>
          <w:sz w:val="24"/>
          <w:szCs w:val="24"/>
          <w:lang w:val="en-US" w:eastAsia="zh-CN"/>
        </w:rPr>
        <w:t>近年来我院案件数量递增，我院各乡镇地处偏远，办案难度高，运行经费相应增加，</w:t>
      </w:r>
      <w:r>
        <w:rPr>
          <w:rFonts w:hint="eastAsia" w:ascii="宋体" w:hAnsi="宋体"/>
          <w:color w:val="auto"/>
          <w:sz w:val="24"/>
          <w:szCs w:val="24"/>
          <w:lang w:val="zh-CN"/>
        </w:rPr>
        <w:t>本年度会议费支出0.00万元,较上年决算数减少0.0万元。本年度培训费支出6.43万元,较上年决算数增加6.28万元,增长3925.0%,</w:t>
      </w:r>
      <w:r>
        <w:rPr>
          <w:rFonts w:hint="eastAsia" w:ascii="宋体" w:hAnsi="宋体"/>
          <w:color w:val="auto"/>
          <w:sz w:val="24"/>
          <w:szCs w:val="24"/>
          <w:lang w:val="en-US" w:eastAsia="zh-CN"/>
        </w:rPr>
        <w:t>主要原因是严格按照相关文件精神，增加必要的业务知识培训。</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626.29万元,其中：政府采购货物支出56.03万元、政府采购工程支出20.19万元、政府采购服务支出550.07万元。授予中小企业合同金额626.29万元,占政府采购支出总额的100.00%,其中：授予小微企业合同金额626.29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6辆,其中,副部(省)级及以上领导用车0辆、主要领导干部用车0辆、机要通信用车0辆、应急保障用车0辆、执法执勤用车6辆,特种专业技术用车0辆,离退休干部用车0辆,其他用车0辆,单价100万元(含)以上设备1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default" w:ascii="宋体" w:hAnsi="宋体"/>
          <w:color w:val="auto"/>
          <w:sz w:val="24"/>
          <w:szCs w:val="24"/>
          <w:lang w:val="en-US" w:eastAsia="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w:t>
      </w:r>
      <w:r>
        <w:rPr>
          <w:rFonts w:hint="eastAsia" w:ascii="宋体" w:hAnsi="宋体"/>
          <w:color w:val="auto"/>
          <w:sz w:val="24"/>
          <w:szCs w:val="24"/>
          <w:lang w:val="en-US"/>
        </w:rPr>
        <w:t>级项目</w:t>
      </w:r>
      <w:r>
        <w:rPr>
          <w:rFonts w:hint="eastAsia" w:ascii="宋体" w:hAnsi="宋体"/>
          <w:color w:val="auto"/>
          <w:sz w:val="24"/>
          <w:szCs w:val="24"/>
          <w:lang w:val="en-US" w:eastAsia="zh-CN"/>
        </w:rPr>
        <w:t>3</w:t>
      </w:r>
      <w:r>
        <w:rPr>
          <w:rFonts w:hint="eastAsia" w:ascii="宋体" w:hAnsi="宋体"/>
          <w:color w:val="auto"/>
          <w:sz w:val="24"/>
          <w:szCs w:val="24"/>
          <w:lang w:val="en-US"/>
        </w:rPr>
        <w:t>个,共涉及资金</w:t>
      </w:r>
      <w:r>
        <w:rPr>
          <w:rFonts w:hint="eastAsia" w:ascii="宋体" w:hAnsi="宋体"/>
          <w:color w:val="auto"/>
          <w:sz w:val="24"/>
          <w:szCs w:val="24"/>
          <w:lang w:val="en-US" w:eastAsia="zh-CN"/>
        </w:rPr>
        <w:t>562.14万元</w:t>
      </w:r>
      <w:r>
        <w:rPr>
          <w:rFonts w:hint="eastAsia" w:ascii="宋体" w:hAnsi="宋体"/>
          <w:color w:val="auto"/>
          <w:sz w:val="24"/>
          <w:szCs w:val="24"/>
          <w:lang w:val="en-US"/>
        </w:rPr>
        <w:t>,占一般公共预算项目支出总额的</w:t>
      </w:r>
      <w:r>
        <w:rPr>
          <w:rFonts w:hint="eastAsia" w:ascii="宋体" w:hAnsi="宋体"/>
          <w:color w:val="auto"/>
          <w:sz w:val="24"/>
          <w:szCs w:val="24"/>
          <w:lang w:val="en-US" w:eastAsia="zh-CN"/>
        </w:rPr>
        <w:t>40.16</w:t>
      </w:r>
      <w:r>
        <w:rPr>
          <w:rFonts w:hint="eastAsia" w:ascii="宋体" w:hAnsi="宋体"/>
          <w:color w:val="auto"/>
          <w:sz w:val="24"/>
          <w:szCs w:val="24"/>
          <w:lang w:val="en-US"/>
        </w:rPr>
        <w:t>%。组织对“</w:t>
      </w:r>
      <w:r>
        <w:rPr>
          <w:rFonts w:hint="eastAsia" w:ascii="宋体" w:hAnsi="宋体"/>
          <w:color w:val="auto"/>
          <w:sz w:val="24"/>
          <w:szCs w:val="24"/>
          <w:lang w:val="en-US" w:eastAsia="zh-CN"/>
        </w:rPr>
        <w:t>全省法院业务费</w:t>
      </w:r>
      <w:r>
        <w:rPr>
          <w:rFonts w:hint="eastAsia" w:ascii="宋体" w:hAnsi="宋体"/>
          <w:color w:val="auto"/>
          <w:sz w:val="24"/>
          <w:szCs w:val="24"/>
          <w:lang w:val="en-US"/>
        </w:rPr>
        <w:t>”“</w:t>
      </w:r>
      <w:r>
        <w:rPr>
          <w:rFonts w:hint="eastAsia" w:ascii="宋体" w:hAnsi="宋体"/>
          <w:color w:val="auto"/>
          <w:sz w:val="24"/>
          <w:szCs w:val="24"/>
          <w:lang w:val="en-US" w:eastAsia="zh-CN"/>
        </w:rPr>
        <w:t>法庭运维费</w:t>
      </w:r>
      <w:r>
        <w:rPr>
          <w:rFonts w:hint="eastAsia" w:ascii="宋体" w:hAnsi="宋体"/>
          <w:color w:val="auto"/>
          <w:sz w:val="24"/>
          <w:szCs w:val="24"/>
          <w:lang w:val="en-US"/>
        </w:rPr>
        <w:t>”等</w:t>
      </w:r>
      <w:r>
        <w:rPr>
          <w:rFonts w:hint="eastAsia" w:ascii="宋体" w:hAnsi="宋体"/>
          <w:color w:val="auto"/>
          <w:sz w:val="24"/>
          <w:szCs w:val="24"/>
          <w:lang w:val="en-US" w:eastAsia="zh-CN"/>
        </w:rPr>
        <w:t>3</w:t>
      </w:r>
      <w:r>
        <w:rPr>
          <w:rFonts w:hint="eastAsia" w:ascii="宋体" w:hAnsi="宋体"/>
          <w:color w:val="auto"/>
          <w:sz w:val="24"/>
          <w:szCs w:val="24"/>
          <w:lang w:val="en-US"/>
        </w:rPr>
        <w:t>个项目开展了部门评价,涉及一般公共预算支出</w:t>
      </w:r>
      <w:r>
        <w:rPr>
          <w:rFonts w:hint="eastAsia" w:ascii="宋体" w:hAnsi="宋体"/>
          <w:color w:val="auto"/>
          <w:sz w:val="24"/>
          <w:szCs w:val="24"/>
          <w:lang w:val="en-US" w:eastAsia="zh-CN"/>
        </w:rPr>
        <w:t>562.14万元</w:t>
      </w:r>
      <w:r>
        <w:rPr>
          <w:rFonts w:hint="eastAsia" w:ascii="宋体" w:hAnsi="宋体"/>
          <w:color w:val="auto"/>
          <w:sz w:val="24"/>
          <w:szCs w:val="24"/>
          <w:lang w:val="en-US"/>
        </w:rPr>
        <w:t>,从评价情况来看,</w:t>
      </w:r>
      <w:r>
        <w:rPr>
          <w:rFonts w:hint="eastAsia" w:ascii="宋体" w:hAnsi="宋体"/>
          <w:color w:val="auto"/>
          <w:sz w:val="24"/>
          <w:szCs w:val="24"/>
          <w:lang w:val="en-US" w:eastAsia="zh-CN"/>
        </w:rPr>
        <w:t>自评结果均为“优”。</w:t>
      </w:r>
      <w:r>
        <w:rPr>
          <w:rFonts w:hint="eastAsia" w:ascii="宋体" w:hAnsi="宋体" w:cs="宋体"/>
          <w:color w:val="000000"/>
          <w:kern w:val="0"/>
          <w:sz w:val="24"/>
          <w:szCs w:val="24"/>
          <w:highlight w:val="none"/>
          <w:lang w:val="en-US" w:eastAsia="zh-CN"/>
        </w:rPr>
        <w:t>其中中央政法支付为涉密项目不予公开，具体绩效情况不予说明。</w:t>
      </w:r>
    </w:p>
    <w:p>
      <w:pPr>
        <w:numPr>
          <w:ilvl w:val="0"/>
          <w:numId w:val="4"/>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绩效自评结果</w:t>
      </w:r>
    </w:p>
    <w:p>
      <w:pPr>
        <w:keepNext/>
        <w:keepLines/>
        <w:suppressLineNumbers/>
        <w:spacing w:beforeLines="0" w:afterLines="0"/>
        <w:ind w:firstLine="480" w:firstLineChars="200"/>
        <w:jc w:val="both"/>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000000"/>
          <w:kern w:val="0"/>
          <w:sz w:val="24"/>
          <w:szCs w:val="24"/>
          <w:highlight w:val="none"/>
          <w:lang w:val="en-US" w:eastAsia="zh-CN"/>
        </w:rPr>
        <w:t>全省法院业务费、法庭运维费</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rPr>
        <w:t>个项目绩效自评结果。</w:t>
      </w:r>
      <w:r>
        <w:rPr>
          <w:rFonts w:hint="eastAsia" w:ascii="宋体" w:hAnsi="宋体" w:cs="宋体"/>
          <w:color w:val="000000"/>
          <w:kern w:val="0"/>
          <w:sz w:val="24"/>
          <w:szCs w:val="24"/>
          <w:highlight w:val="none"/>
          <w:lang w:val="en-US" w:eastAsia="zh-CN"/>
        </w:rPr>
        <w:t>其中中央政法支付为涉密项目不予公开，具体绩效情况不予说明。</w:t>
      </w:r>
    </w:p>
    <w:p>
      <w:pPr>
        <w:numPr>
          <w:ilvl w:val="0"/>
          <w:numId w:val="0"/>
        </w:numPr>
        <w:spacing w:before="100" w:beforeLines="0" w:after="100" w:afterLines="0"/>
        <w:ind w:firstLine="480" w:firstLineChars="200"/>
        <w:jc w:val="left"/>
        <w:rPr>
          <w:rFonts w:hint="eastAsia" w:ascii="宋体" w:hAnsi="宋体" w:eastAsia="宋体" w:cs="宋体"/>
          <w:color w:val="000000"/>
          <w:kern w:val="0"/>
          <w:sz w:val="24"/>
          <w:szCs w:val="24"/>
          <w:highlight w:val="none"/>
          <w:lang w:val="en-US"/>
        </w:rPr>
      </w:pP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全省法院业务费</w:t>
      </w: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lang w:val="en-US"/>
        </w:rPr>
        <w:t>绩效自评情况：根据年初设定的绩效目标,项目绩效自评得分为</w:t>
      </w:r>
      <w:r>
        <w:rPr>
          <w:rFonts w:hint="eastAsia" w:ascii="宋体" w:hAnsi="宋体" w:cs="宋体"/>
          <w:color w:val="000000"/>
          <w:kern w:val="0"/>
          <w:sz w:val="24"/>
          <w:szCs w:val="24"/>
          <w:highlight w:val="none"/>
          <w:lang w:val="en-US" w:eastAsia="zh-CN"/>
        </w:rPr>
        <w:t>90.53</w:t>
      </w:r>
      <w:r>
        <w:rPr>
          <w:rFonts w:hint="eastAsia" w:ascii="宋体" w:hAnsi="宋体" w:eastAsia="宋体" w:cs="宋体"/>
          <w:color w:val="000000"/>
          <w:kern w:val="0"/>
          <w:sz w:val="24"/>
          <w:szCs w:val="24"/>
          <w:highlight w:val="none"/>
          <w:lang w:val="en-US"/>
        </w:rPr>
        <w:t>分。项目全年预算数为</w:t>
      </w:r>
      <w:r>
        <w:rPr>
          <w:rFonts w:hint="eastAsia" w:ascii="宋体" w:hAnsi="宋体" w:cs="宋体"/>
          <w:color w:val="000000"/>
          <w:kern w:val="0"/>
          <w:sz w:val="24"/>
          <w:szCs w:val="24"/>
          <w:highlight w:val="none"/>
          <w:lang w:val="en-US" w:eastAsia="zh-CN"/>
        </w:rPr>
        <w:t>112.07</w:t>
      </w:r>
      <w:r>
        <w:rPr>
          <w:rFonts w:hint="eastAsia" w:ascii="宋体" w:hAnsi="宋体" w:eastAsia="宋体" w:cs="宋体"/>
          <w:color w:val="000000"/>
          <w:kern w:val="0"/>
          <w:sz w:val="24"/>
          <w:szCs w:val="24"/>
          <w:highlight w:val="none"/>
          <w:lang w:val="en-US" w:eastAsia="zh-CN"/>
        </w:rPr>
        <w:t>万元</w:t>
      </w:r>
      <w:r>
        <w:rPr>
          <w:rFonts w:hint="eastAsia" w:ascii="宋体" w:hAnsi="宋体" w:eastAsia="宋体" w:cs="宋体"/>
          <w:color w:val="000000"/>
          <w:kern w:val="0"/>
          <w:sz w:val="24"/>
          <w:szCs w:val="24"/>
          <w:highlight w:val="none"/>
          <w:lang w:val="en-US"/>
        </w:rPr>
        <w:t>,执行数为</w:t>
      </w:r>
      <w:r>
        <w:rPr>
          <w:rFonts w:hint="eastAsia" w:ascii="宋体" w:hAnsi="宋体" w:cs="宋体"/>
          <w:color w:val="000000"/>
          <w:kern w:val="0"/>
          <w:sz w:val="24"/>
          <w:szCs w:val="24"/>
          <w:highlight w:val="none"/>
          <w:lang w:val="en-US" w:eastAsia="zh-CN"/>
        </w:rPr>
        <w:t>112.07</w:t>
      </w:r>
      <w:r>
        <w:rPr>
          <w:rFonts w:hint="eastAsia" w:ascii="宋体" w:hAnsi="宋体" w:eastAsia="宋体" w:cs="宋体"/>
          <w:color w:val="000000"/>
          <w:kern w:val="0"/>
          <w:sz w:val="24"/>
          <w:szCs w:val="24"/>
          <w:highlight w:val="none"/>
          <w:lang w:val="en-US" w:eastAsia="zh-CN"/>
        </w:rPr>
        <w:t>万元</w:t>
      </w:r>
      <w:r>
        <w:rPr>
          <w:rFonts w:hint="eastAsia" w:ascii="宋体" w:hAnsi="宋体" w:eastAsia="宋体" w:cs="宋体"/>
          <w:color w:val="000000"/>
          <w:kern w:val="0"/>
          <w:sz w:val="24"/>
          <w:szCs w:val="24"/>
          <w:highlight w:val="none"/>
          <w:lang w:val="en-US"/>
        </w:rPr>
        <w:t>,完成预算的</w:t>
      </w:r>
      <w:r>
        <w:rPr>
          <w:rFonts w:hint="eastAsia" w:ascii="宋体" w:hAnsi="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lang w:val="en-US"/>
        </w:rPr>
        <w:t>%。项目绩效目标完成情况：确保了我院各类资金高效使用，进一步提高了财政资金使用效率，保障我院审判执行工作顺利开展，对加强队伍建设，教育培训，准备保障等方面起到了保障作用。发现的主要问题及原因：一是受理各项案件</w:t>
      </w:r>
      <w:r>
        <w:rPr>
          <w:rFonts w:hint="eastAsia" w:ascii="宋体" w:hAnsi="宋体" w:cs="宋体"/>
          <w:color w:val="000000"/>
          <w:kern w:val="0"/>
          <w:sz w:val="24"/>
          <w:szCs w:val="24"/>
          <w:highlight w:val="none"/>
          <w:lang w:val="en-US" w:eastAsia="zh-CN"/>
        </w:rPr>
        <w:t>偏离目标。</w:t>
      </w:r>
      <w:r>
        <w:rPr>
          <w:rFonts w:hint="eastAsia" w:ascii="宋体" w:hAnsi="宋体" w:eastAsia="宋体" w:cs="宋体"/>
          <w:color w:val="000000"/>
          <w:kern w:val="0"/>
          <w:sz w:val="24"/>
          <w:szCs w:val="24"/>
          <w:highlight w:val="none"/>
          <w:lang w:val="en-US"/>
        </w:rPr>
        <w:t>因实际完成值远大于年度指标值，造成反向扣分。下一步改进措施</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rPr>
        <w:t>下年度根据历年受理案件情况，结合辖区经济发展、治安情况、人口变动等因素合理预计指标值。；二是维修维护项目</w:t>
      </w:r>
      <w:r>
        <w:rPr>
          <w:rFonts w:hint="eastAsia" w:ascii="宋体" w:hAnsi="宋体" w:cs="宋体"/>
          <w:color w:val="000000"/>
          <w:kern w:val="0"/>
          <w:sz w:val="24"/>
          <w:szCs w:val="24"/>
          <w:highlight w:val="none"/>
          <w:lang w:val="en-US" w:eastAsia="zh-CN"/>
        </w:rPr>
        <w:t>偏离目标，</w:t>
      </w:r>
      <w:r>
        <w:rPr>
          <w:rFonts w:hint="eastAsia" w:ascii="宋体" w:hAnsi="宋体" w:eastAsia="宋体" w:cs="宋体"/>
          <w:color w:val="000000"/>
          <w:kern w:val="0"/>
          <w:sz w:val="24"/>
          <w:szCs w:val="24"/>
          <w:highlight w:val="none"/>
          <w:lang w:val="en-US"/>
        </w:rPr>
        <w:t>因实际完成值远大于年度指标值，造成反向扣分</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rPr>
        <w:t>下一步改进措施：下年度结合本院软、硬件设施的新旧程度，运行强度等指标合理预计指标值。</w:t>
      </w:r>
      <w:r>
        <w:rPr>
          <w:rFonts w:hint="eastAsia" w:ascii="宋体" w:hAnsi="宋体" w:cs="宋体"/>
          <w:color w:val="000000"/>
          <w:kern w:val="0"/>
          <w:sz w:val="24"/>
          <w:szCs w:val="24"/>
          <w:highlight w:val="none"/>
          <w:lang w:val="en-US" w:eastAsia="zh-CN"/>
        </w:rPr>
        <w:t>全省法院业务费</w:t>
      </w:r>
      <w:r>
        <w:rPr>
          <w:rFonts w:hint="eastAsia" w:ascii="宋体" w:hAnsi="宋体" w:eastAsia="宋体" w:cs="宋体"/>
          <w:color w:val="000000"/>
          <w:kern w:val="0"/>
          <w:sz w:val="24"/>
          <w:szCs w:val="24"/>
          <w:highlight w:val="none"/>
          <w:lang w:val="en-US"/>
        </w:rPr>
        <w:t>项目绩效自评情况：综合评定2023年全省法院业务费项目支出绩效得分为90.53分，绩效等级为“优”。</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法庭运维费</w:t>
      </w: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lang w:val="en-US"/>
        </w:rPr>
        <w:t>绩效自评情况：根据年初设定的绩效目标,项目绩效自评得分为</w:t>
      </w:r>
      <w:r>
        <w:rPr>
          <w:rFonts w:hint="eastAsia" w:ascii="宋体" w:hAnsi="宋体" w:cs="宋体"/>
          <w:color w:val="000000"/>
          <w:kern w:val="0"/>
          <w:sz w:val="24"/>
          <w:szCs w:val="24"/>
          <w:highlight w:val="none"/>
          <w:lang w:val="en-US" w:eastAsia="zh-CN"/>
        </w:rPr>
        <w:t>95</w:t>
      </w:r>
      <w:r>
        <w:rPr>
          <w:rFonts w:hint="eastAsia" w:ascii="宋体" w:hAnsi="宋体" w:eastAsia="宋体" w:cs="宋体"/>
          <w:color w:val="000000"/>
          <w:kern w:val="0"/>
          <w:sz w:val="24"/>
          <w:szCs w:val="24"/>
          <w:highlight w:val="none"/>
          <w:lang w:val="en-US"/>
        </w:rPr>
        <w:t>分。项目全年预算数为</w:t>
      </w:r>
      <w:r>
        <w:rPr>
          <w:rFonts w:hint="eastAsia" w:ascii="宋体" w:hAnsi="宋体" w:cs="宋体"/>
          <w:color w:val="000000"/>
          <w:kern w:val="0"/>
          <w:sz w:val="24"/>
          <w:szCs w:val="24"/>
          <w:highlight w:val="none"/>
          <w:lang w:val="en-US" w:eastAsia="zh-CN"/>
        </w:rPr>
        <w:t>32</w:t>
      </w:r>
      <w:r>
        <w:rPr>
          <w:rFonts w:hint="eastAsia" w:ascii="宋体" w:hAnsi="宋体" w:eastAsia="宋体" w:cs="宋体"/>
          <w:color w:val="000000"/>
          <w:kern w:val="0"/>
          <w:sz w:val="24"/>
          <w:szCs w:val="24"/>
          <w:highlight w:val="none"/>
          <w:lang w:val="en-US" w:eastAsia="zh-CN"/>
        </w:rPr>
        <w:t>万元</w:t>
      </w:r>
      <w:r>
        <w:rPr>
          <w:rFonts w:hint="eastAsia" w:ascii="宋体" w:hAnsi="宋体" w:eastAsia="宋体" w:cs="宋体"/>
          <w:color w:val="000000"/>
          <w:kern w:val="0"/>
          <w:sz w:val="24"/>
          <w:szCs w:val="24"/>
          <w:highlight w:val="none"/>
          <w:lang w:val="en-US"/>
        </w:rPr>
        <w:t>,执行数为</w:t>
      </w:r>
      <w:r>
        <w:rPr>
          <w:rFonts w:hint="eastAsia" w:ascii="宋体" w:hAnsi="宋体" w:cs="宋体"/>
          <w:color w:val="000000"/>
          <w:kern w:val="0"/>
          <w:sz w:val="24"/>
          <w:szCs w:val="24"/>
          <w:highlight w:val="none"/>
          <w:lang w:val="en-US" w:eastAsia="zh-CN"/>
        </w:rPr>
        <w:t>32</w:t>
      </w:r>
      <w:r>
        <w:rPr>
          <w:rFonts w:hint="eastAsia" w:ascii="宋体" w:hAnsi="宋体" w:eastAsia="宋体" w:cs="宋体"/>
          <w:color w:val="000000"/>
          <w:kern w:val="0"/>
          <w:sz w:val="24"/>
          <w:szCs w:val="24"/>
          <w:highlight w:val="none"/>
          <w:lang w:val="en-US" w:eastAsia="zh-CN"/>
        </w:rPr>
        <w:t>万元</w:t>
      </w:r>
      <w:r>
        <w:rPr>
          <w:rFonts w:hint="eastAsia" w:ascii="宋体" w:hAnsi="宋体" w:eastAsia="宋体" w:cs="宋体"/>
          <w:color w:val="000000"/>
          <w:kern w:val="0"/>
          <w:sz w:val="24"/>
          <w:szCs w:val="24"/>
          <w:highlight w:val="none"/>
          <w:lang w:val="en-US"/>
        </w:rPr>
        <w:t>,完成预算的</w:t>
      </w:r>
      <w:r>
        <w:rPr>
          <w:rFonts w:hint="eastAsia" w:ascii="宋体" w:hAnsi="宋体" w:cs="宋体"/>
          <w:color w:val="000000"/>
          <w:kern w:val="0"/>
          <w:sz w:val="24"/>
          <w:szCs w:val="24"/>
          <w:highlight w:val="none"/>
          <w:lang w:val="en-US" w:eastAsia="zh-CN"/>
        </w:rPr>
        <w:t>100</w:t>
      </w:r>
      <w:r>
        <w:rPr>
          <w:rFonts w:hint="eastAsia" w:ascii="宋体" w:hAnsi="宋体" w:eastAsia="宋体" w:cs="宋体"/>
          <w:color w:val="000000"/>
          <w:kern w:val="0"/>
          <w:sz w:val="24"/>
          <w:szCs w:val="24"/>
          <w:highlight w:val="none"/>
          <w:lang w:val="en-US"/>
        </w:rPr>
        <w:t>%。项目绩效目标完成情况：确保了我院基层法庭正常运转，进一步提高了财政资金使用效率，保障我院基层法庭审判执行工作顺利开展。对法庭设施设备维护等保障等方面起到了保障作用。发现的主要问题及原因：受理各项案件（基层法庭办案数）</w:t>
      </w:r>
      <w:r>
        <w:rPr>
          <w:rFonts w:hint="eastAsia" w:ascii="宋体" w:hAnsi="宋体" w:cs="宋体"/>
          <w:color w:val="000000"/>
          <w:kern w:val="0"/>
          <w:sz w:val="24"/>
          <w:szCs w:val="24"/>
          <w:highlight w:val="none"/>
          <w:lang w:val="en-US" w:eastAsia="zh-CN"/>
        </w:rPr>
        <w:t>偏离目标，因</w:t>
      </w:r>
      <w:r>
        <w:rPr>
          <w:rFonts w:hint="eastAsia" w:ascii="宋体" w:hAnsi="宋体" w:eastAsia="宋体" w:cs="宋体"/>
          <w:color w:val="000000"/>
          <w:kern w:val="0"/>
          <w:sz w:val="24"/>
          <w:szCs w:val="24"/>
          <w:highlight w:val="none"/>
          <w:lang w:val="en-US"/>
        </w:rPr>
        <w:t>实际完成值远超年度指标值，造成反向扣分。</w:t>
      </w:r>
      <w:r>
        <w:rPr>
          <w:rFonts w:hint="eastAsia" w:ascii="宋体" w:hAnsi="宋体" w:cs="宋体"/>
          <w:color w:val="000000"/>
          <w:kern w:val="0"/>
          <w:sz w:val="24"/>
          <w:szCs w:val="24"/>
          <w:highlight w:val="none"/>
          <w:lang w:val="en-US" w:eastAsia="zh-CN"/>
        </w:rPr>
        <w:t>下一步</w:t>
      </w:r>
      <w:r>
        <w:rPr>
          <w:rFonts w:hint="eastAsia" w:ascii="宋体" w:hAnsi="宋体" w:eastAsia="宋体" w:cs="宋体"/>
          <w:color w:val="000000"/>
          <w:kern w:val="0"/>
          <w:sz w:val="24"/>
          <w:szCs w:val="24"/>
          <w:highlight w:val="none"/>
          <w:lang w:val="en-US"/>
        </w:rPr>
        <w:t>改进措施：下年度依据近年实际情况，合理预计指标值。</w:t>
      </w:r>
      <w:r>
        <w:rPr>
          <w:rFonts w:hint="eastAsia" w:ascii="宋体" w:hAnsi="宋体" w:cs="宋体"/>
          <w:color w:val="000000"/>
          <w:kern w:val="0"/>
          <w:sz w:val="24"/>
          <w:szCs w:val="24"/>
          <w:highlight w:val="none"/>
          <w:lang w:val="en-US" w:eastAsia="zh-CN"/>
        </w:rPr>
        <w:t>全省法院业务费</w:t>
      </w:r>
      <w:r>
        <w:rPr>
          <w:rFonts w:hint="eastAsia" w:ascii="宋体" w:hAnsi="宋体" w:eastAsia="宋体" w:cs="宋体"/>
          <w:color w:val="000000"/>
          <w:kern w:val="0"/>
          <w:sz w:val="24"/>
          <w:szCs w:val="24"/>
          <w:highlight w:val="none"/>
          <w:lang w:val="en-US"/>
        </w:rPr>
        <w:t>项目绩效自评情况：综合评定2023年全省法院法庭运维费项目支出绩效得分为95分，绩效等级为“优”</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p>
    <w:p>
      <w:pPr>
        <w:keepNext/>
        <w:keepLines/>
        <w:suppressLineNumbers/>
        <w:spacing w:beforeLines="0" w:afterLines="0"/>
        <w:jc w:val="both"/>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详见附件。</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宋体" w:hAnsi="宋体" w:eastAsia="宋体" w:cs="宋体"/>
          <w:color w:val="auto"/>
          <w:sz w:val="24"/>
          <w:szCs w:val="2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bookmarkStart w:id="0" w:name="_GoBack"/>
      <w:bookmarkEnd w:id="0"/>
      <w:r>
        <w:rPr>
          <w:rFonts w:hint="eastAsia" w:ascii="宋体" w:hAnsi="宋体" w:eastAsia="宋体" w:cs="宋体"/>
          <w:color w:val="auto"/>
          <w:sz w:val="24"/>
          <w:szCs w:val="24"/>
          <w:lang w:val="en-US" w:eastAsia="zh-CN"/>
        </w:rPr>
        <w:t xml:space="preserve"> 临潭县人民法院</w:t>
      </w:r>
    </w:p>
    <w:p>
      <w:pPr>
        <w:spacing w:before="100" w:beforeLines="0" w:after="100" w:afterLine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47F0A"/>
    <w:multiLevelType w:val="singleLevel"/>
    <w:tmpl w:val="82E47F0A"/>
    <w:lvl w:ilvl="0" w:tentative="0">
      <w:start w:val="10"/>
      <w:numFmt w:val="decimal"/>
      <w:suff w:val="nothing"/>
      <w:lvlText w:val="%1、"/>
      <w:lvlJc w:val="left"/>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056005AB"/>
    <w:multiLevelType w:val="singleLevel"/>
    <w:tmpl w:val="056005A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0F0C4AF4"/>
    <w:rsid w:val="125B36B0"/>
    <w:rsid w:val="22D75AB2"/>
    <w:rsid w:val="49FA111E"/>
    <w:rsid w:val="4A6C2E0D"/>
    <w:rsid w:val="4D5B0175"/>
    <w:rsid w:val="57463455"/>
    <w:rsid w:val="7B7946D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0</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2024-08-07T09:26:33Z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Props1.xml><?xml version="1.0" encoding="utf-8"?>
<ds:datastoreItem xmlns:ds="http://schemas.openxmlformats.org/officeDocument/2006/customXml" ds:itemID="{01973634-b59e-40af-873c-e3d1cbb35a40}">
  <ds:schemaRefs/>
</ds:datastoreItem>
</file>

<file path=customXml/itemProps2.xml><?xml version="1.0" encoding="utf-8"?>
<ds:datastoreItem xmlns:ds="http://schemas.openxmlformats.org/officeDocument/2006/customXml" ds:itemID="{1d005929-005d-4328-a3f6-fdd8b540bd00}">
  <ds:schemaRefs/>
</ds:datastoreItem>
</file>

<file path=customXml/itemProps3.xml><?xml version="1.0" encoding="utf-8"?>
<ds:datastoreItem xmlns:ds="http://schemas.openxmlformats.org/officeDocument/2006/customXml" ds:itemID="{735b9ed5-fc3d-4fd6-bbd1-e89438c472fe}">
  <ds:schemaRefs/>
</ds:datastoreItem>
</file>

<file path=customXml/itemProps4.xml><?xml version="1.0" encoding="utf-8"?>
<ds:datastoreItem xmlns:ds="http://schemas.openxmlformats.org/officeDocument/2006/customXml" ds:itemID="{ba6bc0a6-ecb3-49da-9eb9-72733a8a080a}">
  <ds:schemaRefs/>
</ds:datastoreItem>
</file>

<file path=customXml/itemProps5.xml><?xml version="1.0" encoding="utf-8"?>
<ds:datastoreItem xmlns:ds="http://schemas.openxmlformats.org/officeDocument/2006/customXml" ds:itemID="{effbecf2-cd72-4355-9fca-1f5f810c9d85}">
  <ds:schemaRefs/>
</ds:datastoreItem>
</file>

<file path=customXml/itemProps6.xml><?xml version="1.0" encoding="utf-8"?>
<ds:datastoreItem xmlns:ds="http://schemas.openxmlformats.org/officeDocument/2006/customXml" ds:itemID="{964a412a-d6e6-431b-a4da-feaae5b5e42d}">
  <ds:schemaRefs/>
</ds:datastoreItem>
</file>

<file path=customXml/itemProps7.xml><?xml version="1.0" encoding="utf-8"?>
<ds:datastoreItem xmlns:ds="http://schemas.openxmlformats.org/officeDocument/2006/customXml" ds:itemID="{0627858b-a67f-42ae-a810-d00884b3b61d}">
  <ds:schemaRefs/>
</ds:datastoreItem>
</file>

<file path=customXml/itemProps8.xml><?xml version="1.0" encoding="utf-8"?>
<ds:datastoreItem xmlns:ds="http://schemas.openxmlformats.org/officeDocument/2006/customXml" ds:itemID="{7cf5fbb5-5fbf-4728-a8f5-208e96a10223}">
  <ds:schemaRefs/>
</ds:datastoreItem>
</file>

<file path=customXml/itemProps9.xml><?xml version="1.0" encoding="utf-8"?>
<ds:datastoreItem xmlns:ds="http://schemas.openxmlformats.org/officeDocument/2006/customXml" ds:itemID="{22d58e35-6b9d-4805-8a61-ba9c8bbf8a4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4</TotalTime>
  <ScaleCrop>false</ScaleCrop>
  <LinksUpToDate>false</LinksUpToDate>
  <CharactersWithSpaces>16240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Lenovo</cp:lastModifiedBy>
  <cp:lastPrinted>2024-08-12T03:58:12Z</cp:lastPrinted>
  <dcterms:modified xsi:type="dcterms:W3CDTF">2024-08-12T03:58:16Z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E06D266F13EA4024808CEEADBAD91186_11</vt:lpwstr>
  </property>
</Properties>
</file>