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bookmarkStart w:id="78" w:name="_GoBack"/>
      <w:bookmarkEnd w:id="78"/>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年度玛曲县人民法院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玛曲县人民法院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4"/>
            <w:tabs>
              <w:tab w:val="right" w:leader="dot" w:pos="8306"/>
            </w:tabs>
            <w:spacing w:line="360" w:lineRule="auto"/>
            <w:ind w:firstLine="560" w:firstLineChars="0"/>
            <w:jc w:val="center"/>
            <w:rPr>
              <w:rFonts w:asciiTheme="majorHAnsi" w:hAnsiTheme="majorHAnsi" w:eastAsiaTheme="majorEastAsia" w:cstheme="majorBidi"/>
              <w:b w:val="0"/>
              <w:bCs w:val="0"/>
              <w:color w:val="2F5597" w:themeColor="accent1" w:themeShade="BF"/>
              <w:kern w:val="0"/>
              <w:sz w:val="32"/>
              <w:szCs w:val="3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_Toc17121 </w:instrText>
          </w:r>
          <w:r>
            <w:fldChar w:fldCharType="separate"/>
          </w:r>
          <w:r>
            <w:rPr>
              <w:rFonts w:hint="eastAsia"/>
              <w:lang w:val="en-US" w:eastAsia="zh-CN"/>
            </w:rPr>
            <w:t>一、</w:t>
          </w:r>
          <w:r>
            <w:rPr>
              <w:rFonts w:hint="eastAsia"/>
            </w:rPr>
            <w:t>基本情况</w:t>
          </w:r>
          <w:r>
            <w:tab/>
          </w:r>
          <w:r>
            <w:fldChar w:fldCharType="begin"/>
          </w:r>
          <w:r>
            <w:instrText xml:space="preserve"> PAGEREF _Toc17121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_Toc30841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_Toc30841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_Toc32397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_Toc32397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_Toc12523 </w:instrText>
          </w:r>
          <w:r>
            <w:fldChar w:fldCharType="separate"/>
          </w:r>
          <w:r>
            <w:rPr>
              <w:rFonts w:hint="eastAsia"/>
              <w:highlight w:val="none"/>
              <w:lang w:val="en-US" w:eastAsia="zh-CN"/>
            </w:rPr>
            <w:t>1.内设机构</w:t>
          </w:r>
          <w:r>
            <w:tab/>
          </w:r>
          <w:r>
            <w:fldChar w:fldCharType="begin"/>
          </w:r>
          <w:r>
            <w:instrText xml:space="preserve"> PAGEREF _Toc12523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_Toc24691 </w:instrText>
          </w:r>
          <w:r>
            <w:fldChar w:fldCharType="separate"/>
          </w:r>
          <w:r>
            <w:rPr>
              <w:rFonts w:hint="eastAsia"/>
              <w:highlight w:val="none"/>
              <w:lang w:val="en-US" w:eastAsia="zh-CN"/>
            </w:rPr>
            <w:t>2.人员基本情况</w:t>
          </w:r>
          <w:r>
            <w:tab/>
          </w:r>
          <w:r>
            <w:fldChar w:fldCharType="begin"/>
          </w:r>
          <w:r>
            <w:instrText xml:space="preserve"> PAGEREF _Toc24691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_Toc167 </w:instrText>
          </w:r>
          <w:r>
            <w:fldChar w:fldCharType="separate"/>
          </w:r>
          <w:r>
            <w:rPr>
              <w:rFonts w:hint="eastAsia"/>
              <w:lang w:val="en-US" w:eastAsia="zh-CN"/>
            </w:rPr>
            <w:t>二、绩效自评工作组织开展情况</w:t>
          </w:r>
          <w:r>
            <w:tab/>
          </w:r>
          <w:r>
            <w:fldChar w:fldCharType="begin"/>
          </w:r>
          <w:r>
            <w:instrText xml:space="preserve"> PAGEREF _Toc167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_Toc19348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_Toc19348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_Toc100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_Toc100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_Toc6301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_Toc6301 \h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_Toc1441 </w:instrText>
          </w:r>
          <w:r>
            <w:fldChar w:fldCharType="separate"/>
          </w:r>
          <w:r>
            <w:rPr>
              <w:rFonts w:hint="eastAsia"/>
            </w:rPr>
            <w:t>三、部门整体支出绩效自评情况分析</w:t>
          </w:r>
          <w:r>
            <w:tab/>
          </w:r>
          <w:r>
            <w:fldChar w:fldCharType="begin"/>
          </w:r>
          <w:r>
            <w:instrText xml:space="preserve"> PAGEREF _Toc1441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_Toc20597 </w:instrText>
          </w:r>
          <w:r>
            <w:fldChar w:fldCharType="separate"/>
          </w:r>
          <w:r>
            <w:rPr>
              <w:rFonts w:hint="eastAsia"/>
            </w:rPr>
            <w:t>（一）部门决算情况</w:t>
          </w:r>
          <w:r>
            <w:tab/>
          </w:r>
          <w:r>
            <w:fldChar w:fldCharType="begin"/>
          </w:r>
          <w:r>
            <w:instrText xml:space="preserve"> PAGEREF _Toc20597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_Toc24969 </w:instrText>
          </w:r>
          <w:r>
            <w:fldChar w:fldCharType="separate"/>
          </w:r>
          <w:r>
            <w:rPr>
              <w:rFonts w:hint="eastAsia"/>
            </w:rPr>
            <w:t>（二）总体绩效目标完成情况分析</w:t>
          </w:r>
          <w:r>
            <w:tab/>
          </w:r>
          <w:r>
            <w:fldChar w:fldCharType="begin"/>
          </w:r>
          <w:r>
            <w:instrText xml:space="preserve"> PAGEREF _Toc24969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_Toc9230 </w:instrText>
          </w:r>
          <w:r>
            <w:fldChar w:fldCharType="separate"/>
          </w:r>
          <w:r>
            <w:rPr>
              <w:rFonts w:hint="eastAsia"/>
            </w:rPr>
            <w:t>（三）各项指标完成情况分析</w:t>
          </w:r>
          <w:r>
            <w:tab/>
          </w:r>
          <w:r>
            <w:fldChar w:fldCharType="begin"/>
          </w:r>
          <w:r>
            <w:instrText xml:space="preserve"> PAGEREF _Toc9230 \h </w:instrText>
          </w:r>
          <w:r>
            <w:fldChar w:fldCharType="separate"/>
          </w:r>
          <w:r>
            <w:t>7</w:t>
          </w:r>
          <w:r>
            <w:fldChar w:fldCharType="end"/>
          </w:r>
          <w:r>
            <w:fldChar w:fldCharType="end"/>
          </w:r>
        </w:p>
        <w:p>
          <w:pPr>
            <w:pStyle w:val="18"/>
            <w:tabs>
              <w:tab w:val="right" w:leader="dot" w:pos="8306"/>
              <w:tab w:val="clear" w:pos="8296"/>
            </w:tabs>
          </w:pPr>
          <w:r>
            <w:fldChar w:fldCharType="begin"/>
          </w:r>
          <w:r>
            <w:instrText xml:space="preserve"> HYPERLINK \l _Toc23534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_Toc23534 \h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_Toc21492 </w:instrText>
          </w:r>
          <w:r>
            <w:fldChar w:fldCharType="separate"/>
          </w:r>
          <w:r>
            <w:rPr>
              <w:rFonts w:hint="eastAsia"/>
              <w:lang w:val="en-US" w:eastAsia="zh-CN"/>
            </w:rPr>
            <w:t>四、部门预算项目支出绩效自评情况分析</w:t>
          </w:r>
          <w:r>
            <w:tab/>
          </w:r>
          <w:r>
            <w:fldChar w:fldCharType="begin"/>
          </w:r>
          <w:r>
            <w:instrText xml:space="preserve"> PAGEREF _Toc21492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_Toc29477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_Toc29477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_Toc3380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_Toc3380 \h </w:instrText>
          </w:r>
          <w:r>
            <w:fldChar w:fldCharType="separate"/>
          </w:r>
          <w:r>
            <w:t>19</w:t>
          </w:r>
          <w:r>
            <w:fldChar w:fldCharType="end"/>
          </w:r>
          <w:r>
            <w:fldChar w:fldCharType="end"/>
          </w:r>
        </w:p>
        <w:p>
          <w:pPr>
            <w:pStyle w:val="17"/>
            <w:tabs>
              <w:tab w:val="right" w:leader="dot" w:pos="8306"/>
              <w:tab w:val="clear" w:pos="8296"/>
            </w:tabs>
          </w:pPr>
          <w:r>
            <w:fldChar w:fldCharType="begin"/>
          </w:r>
          <w:r>
            <w:instrText xml:space="preserve"> HYPERLINK \l _Toc28626 </w:instrText>
          </w:r>
          <w:r>
            <w:fldChar w:fldCharType="separate"/>
          </w:r>
          <w:r>
            <w:rPr>
              <w:rFonts w:hint="eastAsia"/>
              <w:lang w:val="en-US" w:eastAsia="zh-CN"/>
            </w:rPr>
            <w:t>五、绩效自评结果拟应用和公开情况</w:t>
          </w:r>
          <w:r>
            <w:tab/>
          </w:r>
          <w:r>
            <w:fldChar w:fldCharType="begin"/>
          </w:r>
          <w:r>
            <w:instrText xml:space="preserve"> PAGEREF _Toc28626 \h </w:instrText>
          </w:r>
          <w:r>
            <w:fldChar w:fldCharType="separate"/>
          </w:r>
          <w:r>
            <w:t>24</w:t>
          </w:r>
          <w:r>
            <w:fldChar w:fldCharType="end"/>
          </w:r>
          <w:r>
            <w:fldChar w:fldCharType="end"/>
          </w:r>
        </w:p>
        <w:p>
          <w:pPr>
            <w:pStyle w:val="17"/>
            <w:tabs>
              <w:tab w:val="right" w:leader="dot" w:pos="8306"/>
              <w:tab w:val="clear" w:pos="8296"/>
            </w:tabs>
          </w:pPr>
          <w:r>
            <w:fldChar w:fldCharType="begin"/>
          </w:r>
          <w:r>
            <w:instrText xml:space="preserve"> HYPERLINK \l _Toc11914 </w:instrText>
          </w:r>
          <w:r>
            <w:fldChar w:fldCharType="separate"/>
          </w:r>
          <w:r>
            <w:rPr>
              <w:rFonts w:hint="eastAsia"/>
              <w:lang w:val="en-US" w:eastAsia="zh-CN"/>
            </w:rPr>
            <w:t>六、其他需要说明的问题</w:t>
          </w:r>
          <w:r>
            <w:tab/>
          </w:r>
          <w:r>
            <w:fldChar w:fldCharType="begin"/>
          </w:r>
          <w:r>
            <w:instrText xml:space="preserve"> PAGEREF _Toc11914 \h </w:instrText>
          </w:r>
          <w:r>
            <w:fldChar w:fldCharType="separate"/>
          </w:r>
          <w:r>
            <w:t>24</w:t>
          </w:r>
          <w:r>
            <w:fldChar w:fldCharType="end"/>
          </w:r>
          <w:r>
            <w:fldChar w:fldCharType="end"/>
          </w:r>
        </w:p>
        <w:p>
          <w:pPr>
            <w:pStyle w:val="17"/>
            <w:tabs>
              <w:tab w:val="right" w:leader="dot" w:pos="8306"/>
              <w:tab w:val="clear" w:pos="8296"/>
            </w:tabs>
            <w:spacing w:line="360" w:lineRule="auto"/>
            <w:ind w:firstLine="560" w:firstLineChars="0"/>
            <w:jc w:val="center"/>
          </w:pPr>
          <w:r>
            <w:fldChar w:fldCharType="end"/>
          </w:r>
        </w:p>
      </w:sdtContent>
    </w:sdt>
    <w:p>
      <w:pPr>
        <w:widowControl/>
        <w:spacing w:line="240" w:lineRule="auto"/>
        <w:ind w:firstLine="0" w:firstLineChars="0"/>
        <w:jc w:val="center"/>
        <w:rPr>
          <w:rFonts w:hint="eastAsia" w:ascii="宋体" w:hAnsi="宋体" w:eastAsia="宋体" w:cs="Arial"/>
          <w:b/>
          <w:bCs/>
          <w:sz w:val="44"/>
          <w:szCs w:val="44"/>
          <w:lang w:eastAsia="zh-CN"/>
        </w:rPr>
      </w:pPr>
      <w:bookmarkStart w:id="0" w:name="_Toc4040"/>
      <w:bookmarkStart w:id="1" w:name="_Toc13158"/>
      <w:bookmarkStart w:id="2" w:name="_Toc18188"/>
      <w:bookmarkStart w:id="3" w:name="_Toc22477"/>
      <w:bookmarkStart w:id="4" w:name="_Toc28671"/>
      <w:r>
        <w:rPr>
          <w:rFonts w:hint="eastAsia" w:ascii="宋体" w:hAnsi="宋体" w:eastAsia="宋体" w:cs="Arial"/>
          <w:b/>
          <w:bCs/>
          <w:sz w:val="44"/>
          <w:szCs w:val="44"/>
          <w:lang w:eastAsia="zh-CN"/>
        </w:rPr>
        <w:t>玛曲县人民法院</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2023年度</w:t>
      </w:r>
      <w:r>
        <w:rPr>
          <w:rFonts w:hint="eastAsia" w:ascii="宋体" w:hAnsi="宋体" w:eastAsia="宋体" w:cs="Arial"/>
          <w:b/>
          <w:bCs/>
          <w:sz w:val="44"/>
          <w:szCs w:val="44"/>
        </w:rPr>
        <w:t>预算执行情况自评报告</w:t>
      </w:r>
      <w:bookmarkEnd w:id="0"/>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7121"/>
      <w:r>
        <w:rPr>
          <w:rFonts w:hint="eastAsia"/>
          <w:lang w:val="en-US" w:eastAsia="zh-CN"/>
        </w:rPr>
        <w:t>一、</w:t>
      </w:r>
      <w:r>
        <w:rPr>
          <w:rFonts w:hint="eastAsia"/>
        </w:rPr>
        <w:t>基本情况</w:t>
      </w:r>
      <w:bookmarkEnd w:id="2"/>
      <w:bookmarkEnd w:id="3"/>
      <w:bookmarkEnd w:id="4"/>
      <w:bookmarkEnd w:id="5"/>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30841"/>
      <w:bookmarkStart w:id="7" w:name="_Toc24636"/>
      <w:bookmarkStart w:id="8" w:name="_Toc819"/>
      <w:bookmarkStart w:id="9" w:name="_Toc18868"/>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0782"/>
      <w:bookmarkStart w:id="11" w:name="_Toc7151"/>
      <w:bookmarkStart w:id="12" w:name="_Toc25335"/>
      <w:r>
        <w:rPr>
          <w:rFonts w:hint="eastAsia"/>
          <w:lang w:val="en-US" w:eastAsia="zh-CN"/>
        </w:rPr>
        <w:t>玛曲县</w:t>
      </w:r>
      <w:r>
        <w:rPr>
          <w:rFonts w:hint="eastAsia"/>
        </w:rPr>
        <w:t>人民法院是国家审判机关，依法独立行使审判权，对</w:t>
      </w:r>
      <w:r>
        <w:rPr>
          <w:rFonts w:hint="eastAsia"/>
          <w:lang w:val="en-US" w:eastAsia="zh-CN"/>
        </w:rPr>
        <w:t>市</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32397"/>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highlight w:val="none"/>
          <w:lang w:val="en-US" w:eastAsia="zh-CN"/>
        </w:rPr>
      </w:pPr>
      <w:bookmarkStart w:id="14" w:name="_Toc28217"/>
      <w:bookmarkStart w:id="15" w:name="_Toc12523"/>
      <w:bookmarkStart w:id="16" w:name="_Toc13794"/>
      <w:bookmarkStart w:id="17" w:name="_Toc4574"/>
      <w:bookmarkStart w:id="18" w:name="_Toc18193"/>
      <w:r>
        <w:rPr>
          <w:rFonts w:hint="eastAsia"/>
          <w:highlight w:val="none"/>
          <w:lang w:val="en-US" w:eastAsia="zh-CN"/>
        </w:rPr>
        <w:t>1.内设机构</w:t>
      </w:r>
      <w:bookmarkEnd w:id="14"/>
      <w:bookmarkEnd w:id="15"/>
    </w:p>
    <w:p>
      <w:pPr>
        <w:spacing w:line="220" w:lineRule="auto"/>
        <w:rPr>
          <w:rFonts w:ascii="仿宋" w:hAnsi="仿宋" w:eastAsia="仿宋" w:cs="仿宋"/>
          <w:sz w:val="31"/>
          <w:szCs w:val="31"/>
        </w:rPr>
      </w:pPr>
      <w:r>
        <w:rPr>
          <w:rFonts w:hint="eastAsia"/>
        </w:rPr>
        <w:t>玛曲县人民法院下设综合审判庭、综合办公室、执行局、立案庭、政治部、阿万仓人民法庭等5个内设机构和1个派出法庭。</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highlight w:val="none"/>
          <w:lang w:val="en-US" w:eastAsia="zh-CN"/>
        </w:rPr>
      </w:pPr>
      <w:bookmarkStart w:id="19" w:name="_Toc24691"/>
      <w:r>
        <w:rPr>
          <w:rFonts w:hint="eastAsia"/>
          <w:highlight w:val="none"/>
          <w:lang w:val="en-US" w:eastAsia="zh-CN"/>
        </w:rPr>
        <w:t>2.人员基本情况</w:t>
      </w:r>
      <w:bookmarkEnd w:id="1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theme="minorBidi"/>
          <w:b w:val="0"/>
          <w:bCs w:val="0"/>
          <w:kern w:val="2"/>
          <w:sz w:val="28"/>
          <w:szCs w:val="22"/>
          <w:lang w:val="en-US" w:eastAsia="zh-CN" w:bidi="ar-SA"/>
        </w:rPr>
      </w:pPr>
      <w:r>
        <w:rPr>
          <w:rFonts w:hint="eastAsia"/>
        </w:rPr>
        <w:t>截止202</w:t>
      </w:r>
      <w:r>
        <w:rPr>
          <w:rFonts w:hint="eastAsia"/>
          <w:lang w:val="en-US" w:eastAsia="zh-CN"/>
        </w:rPr>
        <w:t>3</w:t>
      </w:r>
      <w:r>
        <w:rPr>
          <w:rFonts w:hint="eastAsia"/>
        </w:rPr>
        <w:t>年12月年末人数：在职人员本年</w:t>
      </w:r>
      <w:r>
        <w:rPr>
          <w:rFonts w:hint="eastAsia"/>
          <w:lang w:val="en-US" w:eastAsia="zh-CN"/>
        </w:rPr>
        <w:t>28</w:t>
      </w:r>
      <w:r>
        <w:rPr>
          <w:rFonts w:hint="eastAsia"/>
        </w:rPr>
        <w:t>人，退休人员本年11人。遗属人员本年2人。聘用制书记员本年</w:t>
      </w:r>
      <w:r>
        <w:rPr>
          <w:rFonts w:hint="eastAsia"/>
          <w:lang w:val="en-US" w:eastAsia="zh-CN"/>
        </w:rPr>
        <w:t>11</w:t>
      </w:r>
      <w:r>
        <w:rPr>
          <w:rFonts w:hint="eastAsia"/>
        </w:rPr>
        <w:t>人</w:t>
      </w:r>
      <w:r>
        <w:rPr>
          <w:rFonts w:hint="eastAsia" w:ascii="仿宋_GB2312" w:hAnsi="仿宋_GB2312" w:eastAsia="仿宋_GB2312" w:cstheme="minorBidi"/>
          <w:b w:val="0"/>
          <w:bCs w:val="0"/>
          <w:kern w:val="2"/>
          <w:sz w:val="28"/>
          <w:szCs w:val="22"/>
          <w:lang w:val="en-US" w:eastAsia="zh-CN" w:bidi="ar-SA"/>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3" w:firstLineChars="200"/>
        <w:jc w:val="both"/>
        <w:textAlignment w:val="auto"/>
        <w:rPr>
          <w:rFonts w:hint="eastAsia"/>
          <w:lang w:val="en-US" w:eastAsia="zh-CN"/>
        </w:rPr>
      </w:pPr>
      <w:bookmarkStart w:id="20" w:name="_Toc167"/>
      <w:r>
        <w:rPr>
          <w:rFonts w:hint="eastAsia"/>
          <w:lang w:val="en-US" w:eastAsia="zh-CN"/>
        </w:rPr>
        <w:t>二、绩效自评工作组织开展情况</w:t>
      </w:r>
      <w:bookmarkEnd w:id="16"/>
      <w:bookmarkEnd w:id="17"/>
      <w:bookmarkEnd w:id="18"/>
      <w:bookmarkEnd w:id="20"/>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1" w:name="_Toc19348"/>
      <w:bookmarkStart w:id="22" w:name="_Toc11147"/>
      <w:bookmarkStart w:id="23" w:name="_Toc31965"/>
      <w:bookmarkStart w:id="24" w:name="_Toc4177"/>
      <w:r>
        <w:rPr>
          <w:rFonts w:hint="eastAsia"/>
          <w:lang w:eastAsia="zh-CN"/>
        </w:rPr>
        <w:t>（</w:t>
      </w:r>
      <w:r>
        <w:rPr>
          <w:rFonts w:hint="eastAsia"/>
          <w:lang w:val="en-US" w:eastAsia="zh-CN"/>
        </w:rPr>
        <w:t>一</w:t>
      </w:r>
      <w:r>
        <w:rPr>
          <w:rFonts w:hint="eastAsia"/>
          <w:lang w:eastAsia="zh-CN"/>
        </w:rPr>
        <w:t>）自评工作组织管理情况</w:t>
      </w:r>
      <w:bookmarkEnd w:id="21"/>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w:t>
      </w:r>
      <w:r>
        <w:t>2018〕32号）</w:t>
      </w:r>
      <w:r>
        <w:rPr>
          <w:rFonts w:hint="eastAsia"/>
        </w:rPr>
        <w:t>、</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t>等文件的要求，联合各相关</w:t>
      </w:r>
      <w:r>
        <w:rPr>
          <w:rFonts w:hint="eastAsia"/>
        </w:rPr>
        <w:t>业务部门</w:t>
      </w:r>
      <w:r>
        <w:t>共同完成此次自评</w:t>
      </w:r>
      <w:r>
        <w:rPr>
          <w:rFonts w:hint="eastAsia"/>
        </w:rPr>
        <w:t>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5" w:name="_Toc29448"/>
      <w:bookmarkStart w:id="26" w:name="_Toc26980"/>
      <w:bookmarkStart w:id="27" w:name="_Toc13356"/>
      <w:bookmarkStart w:id="28" w:name="_Toc28216"/>
      <w:bookmarkStart w:id="29" w:name="_Toc100"/>
      <w:r>
        <w:rPr>
          <w:rFonts w:hint="eastAsia"/>
          <w:lang w:eastAsia="zh-CN"/>
        </w:rPr>
        <w:t>（</w:t>
      </w:r>
      <w:r>
        <w:rPr>
          <w:rFonts w:hint="eastAsia"/>
          <w:lang w:val="en-US" w:eastAsia="zh-CN"/>
        </w:rPr>
        <w:t>二</w:t>
      </w:r>
      <w:r>
        <w:rPr>
          <w:rFonts w:hint="eastAsia"/>
          <w:lang w:eastAsia="zh-CN"/>
        </w:rPr>
        <w:t>）自评对象和范围</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30" w:name="_Toc18694"/>
      <w:bookmarkStart w:id="31" w:name="_Toc22785"/>
      <w:bookmarkStart w:id="32" w:name="_Toc25203"/>
      <w:bookmarkStart w:id="33" w:name="_Toc25429"/>
      <w:bookmarkStart w:id="34" w:name="_Toc6301"/>
      <w:r>
        <w:rPr>
          <w:rFonts w:hint="eastAsia"/>
          <w:lang w:eastAsia="zh-CN"/>
        </w:rPr>
        <w:t>（</w:t>
      </w:r>
      <w:r>
        <w:rPr>
          <w:rFonts w:hint="eastAsia"/>
          <w:lang w:val="en-US" w:eastAsia="zh-CN"/>
        </w:rPr>
        <w:t>三</w:t>
      </w:r>
      <w:r>
        <w:rPr>
          <w:rFonts w:hint="eastAsia"/>
          <w:lang w:eastAsia="zh-CN"/>
        </w:rPr>
        <w:t>）自评工作程序</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2"/>
    <w:bookmarkEnd w:id="23"/>
    <w:bookmarkEnd w:id="24"/>
    <w:p>
      <w:pPr>
        <w:pStyle w:val="2"/>
        <w:keepNext/>
        <w:keepLines/>
        <w:pageBreakBefore w:val="0"/>
        <w:widowControl w:val="0"/>
        <w:kinsoku/>
        <w:wordWrap/>
        <w:overflowPunct/>
        <w:topLinePunct w:val="0"/>
        <w:autoSpaceDE/>
        <w:autoSpaceDN/>
        <w:bidi w:val="0"/>
        <w:adjustRightInd/>
        <w:snapToGrid/>
        <w:spacing w:before="0" w:after="0"/>
        <w:textAlignment w:val="auto"/>
      </w:pPr>
      <w:bookmarkStart w:id="35" w:name="_Toc26000"/>
      <w:bookmarkStart w:id="36" w:name="_Toc31556"/>
      <w:bookmarkStart w:id="37" w:name="_Toc17042"/>
      <w:bookmarkStart w:id="38" w:name="_Toc1441"/>
      <w:r>
        <w:rPr>
          <w:rFonts w:hint="eastAsia"/>
        </w:rPr>
        <w:t>三、部门整体支出绩效自评情况分析</w:t>
      </w:r>
      <w:bookmarkEnd w:id="35"/>
      <w:bookmarkEnd w:id="36"/>
      <w:bookmarkEnd w:id="37"/>
      <w:bookmarkEnd w:id="38"/>
      <w:r>
        <w:tab/>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9" w:name="_Toc32623"/>
      <w:bookmarkStart w:id="40" w:name="_Toc3483"/>
      <w:bookmarkStart w:id="41" w:name="_Toc8171"/>
      <w:bookmarkStart w:id="42" w:name="_Toc20597"/>
      <w:r>
        <w:rPr>
          <w:rFonts w:hint="eastAsia"/>
        </w:rPr>
        <w:t>（一）部门决算情况</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2023年度玛曲县人民法院年初预算1096.19万元</w:t>
      </w:r>
      <w:r>
        <w:rPr>
          <w:rFonts w:hint="eastAsia"/>
          <w:lang w:eastAsia="zh-CN"/>
        </w:rPr>
        <w:t>，</w:t>
      </w:r>
      <w:r>
        <w:rPr>
          <w:rFonts w:hint="eastAsia"/>
        </w:rPr>
        <w:t>全年预算</w:t>
      </w:r>
      <w:r>
        <w:rPr>
          <w:rFonts w:hint="eastAsia"/>
          <w:lang w:eastAsia="zh-CN"/>
        </w:rPr>
        <w:t>数</w:t>
      </w:r>
      <w:r>
        <w:rPr>
          <w:rFonts w:hint="eastAsia"/>
          <w:lang w:val="en-US" w:eastAsia="zh-CN"/>
        </w:rPr>
        <w:t>1585.27万元，实际支出数1307.68万元，</w:t>
      </w:r>
      <w:r>
        <w:rPr>
          <w:rFonts w:hint="eastAsia"/>
        </w:rPr>
        <w:t>部门整体支出预算执行率为</w:t>
      </w:r>
      <w:r>
        <w:rPr>
          <w:rFonts w:hint="eastAsia"/>
          <w:lang w:val="en-US" w:eastAsia="zh-CN"/>
        </w:rPr>
        <w:t>82.49%。</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3" w:name="_Toc22782"/>
      <w:bookmarkStart w:id="44" w:name="_Toc10769"/>
      <w:bookmarkStart w:id="45" w:name="_Toc21423"/>
      <w:bookmarkStart w:id="46" w:name="_Toc24969"/>
      <w:r>
        <w:rPr>
          <w:rFonts w:hint="eastAsia"/>
        </w:rPr>
        <w:t>（二）总体绩效目标完成情况分析</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经综合评价与分析，玛曲县人民法院2023年度部门整体支出绩效评价最终得分为96.69分，评价结果为“优”。最终评分结果如下表所示：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96.05%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59.23</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98.71%</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96.69</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96.69%</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）提高审判办案质效，使案件结案率达到</w:t>
      </w:r>
      <w:r>
        <w:rPr>
          <w:rFonts w:hint="eastAsia"/>
          <w:b w:val="0"/>
          <w:bCs w:val="0"/>
          <w:lang w:val="en-US" w:eastAsia="zh-CN"/>
        </w:rPr>
        <w:t>96.2</w:t>
      </w:r>
      <w:r>
        <w:rPr>
          <w:rFonts w:hint="eastAsia"/>
          <w:b w:val="0"/>
          <w:bCs w:val="0"/>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lang w:val="en-US" w:eastAsia="zh-CN"/>
        </w:rPr>
        <w:t>结案率96.2%。</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7" w:name="_Toc9230"/>
      <w:bookmarkStart w:id="48" w:name="_Toc7799"/>
      <w:bookmarkStart w:id="49" w:name="_Toc17819"/>
      <w:bookmarkStart w:id="50" w:name="_Toc18553"/>
      <w:r>
        <w:rPr>
          <w:rFonts w:hint="eastAsia"/>
        </w:rPr>
        <w:t>（三）各项指标完成情况分析</w:t>
      </w:r>
      <w:bookmarkEnd w:id="47"/>
      <w:bookmarkEnd w:id="48"/>
      <w:bookmarkEnd w:id="49"/>
      <w:bookmarkEnd w:id="50"/>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根据《玛曲县人民法院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年初预算1096.19万元</w:t>
      </w:r>
      <w:r>
        <w:rPr>
          <w:rFonts w:hint="eastAsia"/>
          <w:lang w:eastAsia="zh-CN"/>
        </w:rPr>
        <w:t>，</w:t>
      </w:r>
      <w:r>
        <w:rPr>
          <w:rFonts w:hint="eastAsia"/>
        </w:rPr>
        <w:t>全年预算</w:t>
      </w:r>
      <w:r>
        <w:rPr>
          <w:rFonts w:hint="eastAsia"/>
          <w:lang w:eastAsia="zh-CN"/>
        </w:rPr>
        <w:t>数</w:t>
      </w:r>
      <w:r>
        <w:rPr>
          <w:rFonts w:hint="eastAsia"/>
          <w:lang w:val="en-US" w:eastAsia="zh-CN"/>
        </w:rPr>
        <w:t>1585.27万元，实际支出数1307.68万元，</w:t>
      </w:r>
      <w:r>
        <w:rPr>
          <w:rFonts w:hint="eastAsia"/>
        </w:rPr>
        <w:t>部门整体支出预算执行率为</w:t>
      </w:r>
      <w:r>
        <w:rPr>
          <w:rFonts w:hint="eastAsia"/>
          <w:lang w:val="en-US" w:eastAsia="zh-CN"/>
        </w:rPr>
        <w:t>82.49%。</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8.25</w:t>
      </w:r>
      <w:r>
        <w:rPr>
          <w:rFonts w:hint="eastAsia"/>
          <w:color w:val="000000" w:themeColor="text1"/>
          <w:szCs w:val="28"/>
          <w14:textFill>
            <w14:solidFill>
              <w14:schemeClr w14:val="tx1"/>
            </w14:solidFill>
          </w14:textFill>
        </w:rPr>
        <w:t>分，得分率为</w:t>
      </w:r>
      <w:r>
        <w:rPr>
          <w:rFonts w:hint="eastAsia"/>
          <w:lang w:val="en-US" w:eastAsia="zh-CN"/>
        </w:rPr>
        <w:t>82.49%</w:t>
      </w:r>
      <w:r>
        <w:rPr>
          <w:rFonts w:hint="eastAsia"/>
          <w:color w:val="000000" w:themeColor="text1"/>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19.21</w:t>
      </w:r>
      <w:r>
        <w:rPr>
          <w:rFonts w:hint="eastAsia"/>
          <w:highlight w:val="none"/>
        </w:rPr>
        <w:t>分，得分率</w:t>
      </w:r>
      <w:r>
        <w:rPr>
          <w:rFonts w:hint="eastAsia"/>
          <w:highlight w:val="none"/>
          <w:lang w:val="en-US" w:eastAsia="zh-CN"/>
        </w:rPr>
        <w:t>96.05</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62.52%</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1.56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78.00%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-39.63%</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82.35%</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82.50%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19.21</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96.05%</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均为831.44</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项目支出预算执行率为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1.56分，得</w:t>
      </w:r>
      <w:r>
        <w:rPr>
          <w:rFonts w:hint="eastAsia" w:hAnsi="宋体"/>
          <w:szCs w:val="28"/>
          <w:highlight w:val="none"/>
        </w:rPr>
        <w:t>分率为</w:t>
      </w:r>
      <w:r>
        <w:rPr>
          <w:rFonts w:hint="eastAsia" w:hAnsi="宋体"/>
          <w:szCs w:val="28"/>
          <w:highlight w:val="none"/>
          <w:lang w:val="en-US" w:eastAsia="zh-CN"/>
        </w:rPr>
        <w:t>78.00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全年预算数15.98万元，实际支出数15.98万元，</w:t>
      </w:r>
      <w:r>
        <w:rPr>
          <w:rFonts w:hint="eastAsia" w:hAnsi="宋体"/>
          <w:szCs w:val="28"/>
          <w:highlight w:val="none"/>
        </w:rPr>
        <w:t>“三公经费”控制率为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结转结余389.19万元</w:t>
      </w:r>
      <w:r>
        <w:rPr>
          <w:rFonts w:hint="eastAsia" w:hAnsi="宋体"/>
          <w:szCs w:val="28"/>
          <w:lang w:eastAsia="zh-CN"/>
        </w:rPr>
        <w:t>，</w:t>
      </w:r>
      <w:r>
        <w:rPr>
          <w:rFonts w:hint="eastAsia" w:hAnsi="宋体"/>
          <w:szCs w:val="28"/>
          <w:lang w:val="en-US" w:eastAsia="zh-CN"/>
        </w:rPr>
        <w:t>2023年结转结余277.59万元，</w:t>
      </w:r>
      <w:r>
        <w:rPr>
          <w:rFonts w:hint="eastAsia" w:hAnsi="宋体"/>
          <w:szCs w:val="28"/>
        </w:rPr>
        <w:t>结转结余资金变动率为</w:t>
      </w:r>
      <w:r>
        <w:rPr>
          <w:rFonts w:hint="eastAsia" w:hAnsi="宋体"/>
          <w:szCs w:val="28"/>
          <w:lang w:val="en-US" w:eastAsia="zh-CN"/>
        </w:rPr>
        <w:t>-39.63%</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w:t>
      </w:r>
      <w:r>
        <w:rPr>
          <w:rFonts w:hint="eastAsia" w:hAnsi="宋体"/>
          <w:szCs w:val="28"/>
          <w:lang w:val="en-US" w:eastAsia="zh-CN"/>
        </w:rPr>
        <w:t>控制率82.35%，达到目标值。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1.65</w:t>
      </w:r>
      <w:r>
        <w:rPr>
          <w:rFonts w:hint="eastAsia" w:hAnsi="宋体"/>
          <w:szCs w:val="28"/>
        </w:rPr>
        <w:t>分，得分率为</w:t>
      </w:r>
      <w:r>
        <w:rPr>
          <w:rFonts w:hint="eastAsia" w:hAnsi="宋体"/>
          <w:szCs w:val="28"/>
          <w:lang w:val="en-US" w:eastAsia="zh-CN"/>
        </w:rPr>
        <w:t>82.5%</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3.12</w:t>
      </w:r>
      <w:r>
        <w:rPr>
          <w:rFonts w:hint="eastAsia" w:hAnsi="宋体"/>
          <w:szCs w:val="28"/>
        </w:rPr>
        <w:t>分，自评得分</w:t>
      </w:r>
      <w:r>
        <w:rPr>
          <w:rFonts w:hint="eastAsia" w:hAnsi="宋体"/>
          <w:szCs w:val="28"/>
          <w:lang w:val="en-US" w:eastAsia="zh-CN"/>
        </w:rPr>
        <w:t>3.12</w:t>
      </w:r>
      <w:r>
        <w:rPr>
          <w:rFonts w:hint="eastAsia" w:hAnsi="宋体"/>
          <w:szCs w:val="28"/>
        </w:rPr>
        <w:t>分，得分率为100%。</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51" w:name="_Toc40046032"/>
      <w:r>
        <w:rPr>
          <w:rFonts w:hint="eastAsia"/>
          <w:lang w:val="en-US" w:eastAsia="zh-CN"/>
        </w:rPr>
        <w:t>3.</w:t>
      </w:r>
      <w:r>
        <w:rPr>
          <w:rFonts w:hint="eastAsia"/>
        </w:rPr>
        <w:t>履职效果</w:t>
      </w:r>
      <w:bookmarkEnd w:id="51"/>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17</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59.05</w:t>
      </w:r>
      <w:r>
        <w:rPr>
          <w:rFonts w:hint="eastAsia"/>
          <w:highlight w:val="none"/>
        </w:rPr>
        <w:t>分，</w:t>
      </w:r>
      <w:r>
        <w:rPr>
          <w:highlight w:val="none"/>
        </w:rPr>
        <w:t>得分率</w:t>
      </w:r>
      <w:r>
        <w:rPr>
          <w:rFonts w:hint="eastAsia"/>
          <w:highlight w:val="none"/>
          <w:lang w:val="en-US" w:eastAsia="zh-CN"/>
        </w:rPr>
        <w:t>98.41</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受理各项案件</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&gt;=300件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542件</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4.83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86.25%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案件法定期间办案率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96.2%</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部门效果目标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经济效益-执行案件结案率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95.95%</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社会效益-营商环境改变</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良好</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良好</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外部群众满意度</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59.05</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98.41%</w:t>
            </w:r>
          </w:p>
        </w:tc>
      </w:tr>
    </w:tbl>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受理各项案件</w:t>
      </w:r>
      <w:r>
        <w:rPr>
          <w:rFonts w:hint="eastAsia"/>
          <w:b/>
          <w:bCs/>
        </w:rPr>
        <w:t>：</w:t>
      </w:r>
      <w:r>
        <w:rPr>
          <w:rFonts w:hint="eastAsia"/>
        </w:rPr>
        <w:t>我院本年度受理</w:t>
      </w:r>
      <w:r>
        <w:rPr>
          <w:rFonts w:hint="eastAsia"/>
          <w:lang w:eastAsia="zh-CN"/>
        </w:rPr>
        <w:t>各项</w:t>
      </w:r>
      <w:r>
        <w:rPr>
          <w:rFonts w:hint="eastAsia"/>
        </w:rPr>
        <w:t>案件</w:t>
      </w:r>
      <w:r>
        <w:rPr>
          <w:rFonts w:hint="eastAsia"/>
          <w:lang w:val="en-US" w:eastAsia="zh-CN"/>
        </w:rPr>
        <w:t>542件</w:t>
      </w:r>
      <w:r>
        <w:t>，有效保障了审判服务</w:t>
      </w:r>
      <w:r>
        <w:rPr>
          <w:rFonts w:hint="eastAsia"/>
          <w:lang w:eastAsia="zh-CN"/>
        </w:rPr>
        <w:t>，</w:t>
      </w:r>
      <w:r>
        <w:rPr>
          <w:rFonts w:hint="eastAsia"/>
          <w:lang w:val="en-US" w:eastAsia="zh-CN"/>
        </w:rPr>
        <w:t>达到目标值</w:t>
      </w:r>
      <w:r>
        <w:t>。</w:t>
      </w:r>
      <w:r>
        <w:rPr>
          <w:rFonts w:hint="eastAsia"/>
        </w:rPr>
        <w:t>该指标分值</w:t>
      </w:r>
      <w:r>
        <w:rPr>
          <w:rFonts w:hint="eastAsia"/>
          <w:highlight w:val="none"/>
          <w:lang w:val="en-US" w:eastAsia="zh-CN"/>
        </w:rPr>
        <w:t>5.6</w:t>
      </w:r>
      <w:r>
        <w:rPr>
          <w:rFonts w:hint="eastAsia"/>
        </w:rPr>
        <w:t>分，自评得分</w:t>
      </w:r>
      <w:r>
        <w:rPr>
          <w:rFonts w:hint="eastAsia"/>
          <w:highlight w:val="none"/>
          <w:lang w:val="en-US" w:eastAsia="zh-CN"/>
        </w:rPr>
        <w:t>4.83</w:t>
      </w:r>
      <w:r>
        <w:rPr>
          <w:rFonts w:hint="eastAsia"/>
        </w:rPr>
        <w:t>分，得分率为</w:t>
      </w:r>
      <w:r>
        <w:rPr>
          <w:rFonts w:hint="eastAsia"/>
          <w:lang w:val="en-US" w:eastAsia="zh-CN"/>
        </w:rPr>
        <w:t>86.25</w:t>
      </w:r>
      <w:r>
        <w:t>%</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b/>
          <w:bCs/>
          <w:lang w:val="en-US" w:eastAsia="zh-CN"/>
        </w:rPr>
      </w:pPr>
      <w:r>
        <w:rPr>
          <w:rFonts w:hint="eastAsia"/>
          <w:b/>
          <w:bCs/>
          <w:lang w:val="en-US" w:eastAsia="zh-CN"/>
        </w:rPr>
        <w:t>案件法定期间办结率：</w:t>
      </w:r>
      <w:r>
        <w:rPr>
          <w:rFonts w:hint="eastAsia"/>
          <w:b w:val="0"/>
          <w:bCs w:val="0"/>
          <w:lang w:val="en-US" w:eastAsia="zh-CN"/>
        </w:rPr>
        <w:t>我院2023年</w:t>
      </w:r>
      <w:r>
        <w:rPr>
          <w:rFonts w:hint="eastAsia"/>
          <w:lang w:val="en-US" w:eastAsia="zh-CN"/>
        </w:rPr>
        <w:t>法定</w:t>
      </w:r>
      <w:r>
        <w:rPr>
          <w:rFonts w:hint="eastAsia"/>
          <w:lang w:eastAsia="zh-CN"/>
        </w:rPr>
        <w:t>审限</w:t>
      </w:r>
      <w:r>
        <w:rPr>
          <w:rFonts w:hint="eastAsia"/>
          <w:lang w:val="en-US" w:eastAsia="zh-CN"/>
        </w:rPr>
        <w:t>内案件总数533件，法定</w:t>
      </w:r>
      <w:r>
        <w:rPr>
          <w:rFonts w:hint="eastAsia"/>
          <w:lang w:eastAsia="zh-CN"/>
        </w:rPr>
        <w:t>审限</w:t>
      </w:r>
      <w:r>
        <w:rPr>
          <w:rFonts w:hint="eastAsia"/>
          <w:lang w:val="en-US" w:eastAsia="zh-CN"/>
        </w:rPr>
        <w:t>内结案数533件，</w:t>
      </w:r>
      <w:r>
        <w:rPr>
          <w:rFonts w:hint="eastAsia"/>
          <w:lang w:eastAsia="zh-CN"/>
        </w:rPr>
        <w:t>法定审限内结案率100%。</w:t>
      </w:r>
      <w:r>
        <w:rPr>
          <w:rFonts w:hint="eastAsia"/>
          <w:lang w:val="en-US" w:eastAsia="zh-CN"/>
        </w:rPr>
        <w:t>达到目标值</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结案率：</w:t>
      </w:r>
      <w:r>
        <w:rPr>
          <w:rFonts w:hint="eastAsia"/>
          <w:b w:val="0"/>
          <w:bCs w:val="0"/>
          <w:lang w:val="en-US" w:eastAsia="zh-CN"/>
        </w:rPr>
        <w:t>我院2023年立案529件，结案509件，结案率96.2%，</w:t>
      </w:r>
      <w:r>
        <w:rPr>
          <w:rFonts w:hint="eastAsia"/>
          <w:lang w:val="en-US" w:eastAsia="zh-CN"/>
        </w:rPr>
        <w:t>达到目标值</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年度预算控制率：</w:t>
      </w:r>
      <w:r>
        <w:rPr>
          <w:rFonts w:hint="eastAsia"/>
          <w:b w:val="0"/>
          <w:bCs w:val="0"/>
          <w:lang w:val="en-US" w:eastAsia="zh-CN"/>
        </w:rPr>
        <w:t>我院2023年全年预算数等于实际支出数，预算控制率100%，</w:t>
      </w:r>
      <w:r>
        <w:rPr>
          <w:rFonts w:hint="eastAsia"/>
          <w:lang w:val="en-US" w:eastAsia="zh-CN"/>
        </w:rPr>
        <w:t>达到目标值</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执行案件结案率</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我院持续推进执行攻坚，营造诚实守信的法治环境。创建“1324”执行工作机制、分段执行工作法，规范行政案件执行、执行信访案件化解、网拍辅助机构管理，不断提高执行</w:t>
      </w:r>
      <w:r>
        <w:rPr>
          <w:rFonts w:hint="eastAsia" w:hAnsi="宋体" w:cstheme="minorBidi"/>
          <w:b w:val="0"/>
          <w:bCs w:val="0"/>
          <w:kern w:val="2"/>
          <w:sz w:val="28"/>
          <w:szCs w:val="28"/>
          <w:lang w:val="en-US" w:eastAsia="zh-CN" w:bidi="ar-SA"/>
        </w:rPr>
        <w:t>力。</w:t>
      </w:r>
      <w:r>
        <w:rPr>
          <w:rFonts w:hint="eastAsia" w:ascii="仿宋_GB2312" w:hAnsi="宋体" w:eastAsia="仿宋_GB2312" w:cstheme="minorBidi"/>
          <w:b w:val="0"/>
          <w:bCs w:val="0"/>
          <w:kern w:val="2"/>
          <w:sz w:val="28"/>
          <w:szCs w:val="28"/>
          <w:lang w:val="en-US" w:eastAsia="zh-CN" w:bidi="ar-SA"/>
        </w:rPr>
        <w:t>分值</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较好，到达目标值。</w:t>
      </w:r>
      <w:r>
        <w:rPr>
          <w:rFonts w:hint="eastAsia" w:ascii="仿宋_GB2312" w:hAnsi="宋体" w:eastAsia="仿宋_GB2312" w:cstheme="minorBidi"/>
          <w:b w:val="0"/>
          <w:bCs w:val="0"/>
          <w:kern w:val="2"/>
          <w:sz w:val="28"/>
          <w:szCs w:val="28"/>
          <w:lang w:val="en-US" w:eastAsia="zh-CN" w:bidi="ar-SA"/>
        </w:rPr>
        <w:t>该指标分值</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生态效益指标</w:t>
      </w:r>
      <w:r>
        <w:rPr>
          <w:rFonts w:hint="eastAsia" w:hAnsi="宋体" w:cstheme="minorBidi"/>
          <w:b/>
          <w:bCs/>
          <w:kern w:val="2"/>
          <w:sz w:val="28"/>
          <w:szCs w:val="28"/>
          <w:lang w:val="en-US" w:eastAsia="zh-CN" w:bidi="ar-SA"/>
        </w:rPr>
        <w:t>：</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w:t>
      </w:r>
      <w:r>
        <w:rPr>
          <w:rFonts w:hint="eastAsia"/>
          <w:sz w:val="28"/>
          <w:shd w:val="clear" w:color="auto" w:fill="FFFFFF"/>
          <w:lang w:val="en-US" w:eastAsia="zh-CN"/>
        </w:rPr>
        <w:t>生态指标值完成良好</w:t>
      </w:r>
      <w:r>
        <w:rPr>
          <w:rFonts w:hint="eastAsia" w:ascii="仿宋_GB2312" w:hAnsi="仿宋_GB2312" w:eastAsia="仿宋_GB2312"/>
          <w:sz w:val="28"/>
          <w:shd w:val="clear" w:color="auto" w:fill="FFFFFF"/>
        </w:rPr>
        <w:t>，</w:t>
      </w:r>
      <w:r>
        <w:rPr>
          <w:rFonts w:hint="eastAsia" w:ascii="仿宋_GB2312" w:hAnsi="仿宋_GB2312" w:eastAsia="仿宋_GB2312" w:cs="仿宋_GB2312"/>
          <w:szCs w:val="28"/>
        </w:rPr>
        <w:t>该指标分值</w:t>
      </w:r>
      <w:r>
        <w:rPr>
          <w:rFonts w:hint="eastAsia" w:cs="仿宋_GB2312"/>
          <w:szCs w:val="28"/>
          <w:lang w:val="en-US" w:eastAsia="zh-CN"/>
        </w:rPr>
        <w:t>5.55</w:t>
      </w:r>
      <w:r>
        <w:rPr>
          <w:rFonts w:hint="eastAsia" w:ascii="仿宋_GB2312" w:hAnsi="仿宋_GB2312" w:eastAsia="仿宋_GB2312" w:cs="仿宋_GB2312"/>
          <w:szCs w:val="28"/>
        </w:rPr>
        <w:t>分，自评得分</w:t>
      </w:r>
      <w:r>
        <w:rPr>
          <w:rFonts w:hint="eastAsia" w:cs="仿宋_GB2312"/>
          <w:szCs w:val="28"/>
          <w:lang w:val="en-US" w:eastAsia="zh-CN"/>
        </w:rPr>
        <w:t>5.55</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内外干警</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cs="仿宋_GB2312"/>
          <w:color w:val="auto"/>
          <w:kern w:val="2"/>
          <w:sz w:val="28"/>
          <w:szCs w:val="28"/>
          <w:lang w:val="en-US" w:eastAsia="zh-CN" w:bidi="ar-SA"/>
        </w:rPr>
        <w:t>干警满意度98.00%，达到目标值。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cs="仿宋_GB2312"/>
          <w:b/>
          <w:bCs/>
          <w:sz w:val="28"/>
          <w:szCs w:val="28"/>
          <w:lang w:val="en-US" w:eastAsia="zh-CN"/>
        </w:rPr>
        <w:t>外部群众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外部群众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96.00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1项</w:t>
      </w:r>
      <w:r>
        <w:rPr>
          <w:rFonts w:hint="eastAsia" w:ascii="仿宋_GB2312" w:hAnsi="仿宋_GB2312" w:eastAsia="仿宋_GB2312"/>
          <w:sz w:val="28"/>
          <w:shd w:val="clear" w:color="auto" w:fill="FFFFFF"/>
        </w:rPr>
        <w:t>，</w:t>
      </w:r>
      <w:r>
        <w:rPr>
          <w:rFonts w:hint="eastAsia" w:ascii="仿宋_GB2312" w:hAnsi="仿宋_GB2312" w:eastAsia="仿宋_GB2312" w:cs="仿宋_GB2312"/>
          <w:szCs w:val="28"/>
        </w:rPr>
        <w:t>该指标分值</w:t>
      </w:r>
      <w:r>
        <w:rPr>
          <w:rFonts w:hint="eastAsia" w:cs="仿宋_GB2312"/>
          <w:szCs w:val="28"/>
          <w:lang w:val="en-US" w:eastAsia="zh-CN"/>
        </w:rPr>
        <w:t>5.55</w:t>
      </w:r>
      <w:r>
        <w:rPr>
          <w:rFonts w:hint="eastAsia" w:ascii="仿宋_GB2312" w:hAnsi="仿宋_GB2312" w:eastAsia="仿宋_GB2312" w:cs="仿宋_GB2312"/>
          <w:szCs w:val="28"/>
        </w:rPr>
        <w:t>分，自评得分</w:t>
      </w:r>
      <w:r>
        <w:rPr>
          <w:rFonts w:hint="eastAsia" w:cs="仿宋_GB2312"/>
          <w:szCs w:val="28"/>
          <w:lang w:val="en-US" w:eastAsia="zh-CN"/>
        </w:rPr>
        <w:t>5.55</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pPr>
        <w:keepNext/>
        <w:keepLines/>
        <w:pageBreakBefore w:val="0"/>
        <w:widowControl w:val="0"/>
        <w:kinsoku/>
        <w:wordWrap/>
        <w:overflowPunct/>
        <w:topLinePunct w:val="0"/>
        <w:autoSpaceDE/>
        <w:autoSpaceDN/>
        <w:bidi w:val="0"/>
        <w:adjustRightInd/>
        <w:snapToGrid/>
        <w:spacing w:before="0" w:after="0" w:line="360" w:lineRule="auto"/>
        <w:ind w:firstLine="562" w:firstLineChars="200"/>
        <w:jc w:val="both"/>
        <w:textAlignment w:val="auto"/>
        <w:outlineLvl w:val="9"/>
        <w:rPr>
          <w:sz w:val="28"/>
          <w:szCs w:val="28"/>
        </w:rPr>
      </w:pPr>
      <w:r>
        <w:rPr>
          <w:rFonts w:hint="eastAsia" w:ascii="仿宋_GB2312" w:hAnsi="宋体" w:eastAsia="仿宋_GB2312" w:cstheme="minorBidi"/>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的情况。该指标分值</w:t>
      </w:r>
      <w:r>
        <w:rPr>
          <w:rFonts w:hint="eastAsia" w:cs="仿宋_GB2312"/>
          <w:szCs w:val="28"/>
          <w:lang w:val="en-US" w:eastAsia="zh-CN"/>
        </w:rPr>
        <w:t>5.55</w:t>
      </w:r>
      <w:r>
        <w:rPr>
          <w:rFonts w:hint="eastAsia" w:ascii="仿宋_GB2312" w:hAnsi="仿宋_GB2312" w:eastAsia="仿宋_GB2312" w:cs="仿宋_GB2312"/>
          <w:szCs w:val="28"/>
        </w:rPr>
        <w:t>分，</w:t>
      </w:r>
      <w:r>
        <w:rPr>
          <w:rFonts w:hint="eastAsia" w:cs="仿宋_GB2312"/>
          <w:szCs w:val="28"/>
          <w:lang w:val="en-US" w:eastAsia="zh-CN"/>
        </w:rPr>
        <w:t>自评</w:t>
      </w:r>
      <w:r>
        <w:rPr>
          <w:rFonts w:hint="eastAsia" w:ascii="仿宋_GB2312" w:hAnsi="仿宋_GB2312" w:eastAsia="仿宋_GB2312" w:cs="仿宋_GB2312"/>
          <w:szCs w:val="28"/>
        </w:rPr>
        <w:t>得分</w:t>
      </w:r>
      <w:r>
        <w:rPr>
          <w:rFonts w:hint="eastAsia" w:cs="仿宋_GB2312"/>
          <w:szCs w:val="28"/>
          <w:lang w:val="en-US" w:eastAsia="zh-CN"/>
        </w:rPr>
        <w:t>5.55</w:t>
      </w:r>
      <w:r>
        <w:rPr>
          <w:rFonts w:hint="eastAsia" w:ascii="仿宋_GB2312" w:hAnsi="仿宋_GB2312" w:eastAsia="仿宋_GB2312" w:cs="仿宋_GB2312"/>
          <w:szCs w:val="28"/>
        </w:rPr>
        <w:t>分，得分率</w:t>
      </w:r>
      <w:r>
        <w:rPr>
          <w:rFonts w:hint="eastAsia" w:cs="仿宋_GB2312"/>
          <w:szCs w:val="28"/>
          <w:lang w:eastAsia="zh-CN"/>
        </w:rPr>
        <w:t>100.00%</w:t>
      </w:r>
      <w:r>
        <w:rPr>
          <w:rFonts w:hint="eastAsia" w:ascii="仿宋_GB2312" w:hAnsi="仿宋_GB2312" w:eastAsia="仿宋_GB2312" w:cs="仿宋_GB2312"/>
          <w:szCs w:val="28"/>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10</w:t>
      </w:r>
      <w:r>
        <w:t>分，自评得分</w:t>
      </w:r>
      <w:r>
        <w:rPr>
          <w:rFonts w:hint="eastAsia"/>
          <w:lang w:val="en-US" w:eastAsia="zh-CN"/>
        </w:rPr>
        <w:t>10</w:t>
      </w:r>
      <w:r>
        <w:t>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中期规划建设完备情况</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188" w:type="dxa"/>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szCs w:val="28"/>
          <w:lang w:val="en-US" w:eastAsia="zh-CN"/>
        </w:rPr>
        <w:t>我</w:t>
      </w:r>
      <w:r>
        <w:rPr>
          <w:rFonts w:hint="eastAsia"/>
          <w:lang w:val="en-US" w:eastAsia="zh-CN"/>
        </w:rPr>
        <w:t>院重视人员培训工作，积极开展，有计划有组织，工作落实情况强，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bidi w:val="0"/>
        <w:rPr>
          <w:rFonts w:hint="eastAsia" w:ascii="仿宋" w:hAnsi="仿宋" w:eastAsia="仿宋" w:cs="仿宋"/>
          <w:b w:val="0"/>
          <w:bCs w:val="0"/>
          <w:szCs w:val="28"/>
          <w:lang w:eastAsia="zh-CN"/>
        </w:rPr>
      </w:pPr>
      <w:bookmarkStart w:id="52" w:name="_Toc16731"/>
      <w:bookmarkStart w:id="53" w:name="_Toc12558"/>
      <w:bookmarkStart w:id="54" w:name="_Toc40046035"/>
      <w:bookmarkStart w:id="55" w:name="_Toc3174"/>
      <w:bookmarkStart w:id="56" w:name="_Toc16525"/>
      <w:r>
        <w:rPr>
          <w:rFonts w:hint="eastAsia"/>
          <w:b/>
          <w:bCs/>
          <w:lang w:val="en-US" w:eastAsia="zh-CN"/>
        </w:rPr>
        <w:t>档案管理完备性：</w:t>
      </w:r>
      <w:r>
        <w:rPr>
          <w:rFonts w:hint="eastAsia"/>
          <w:lang w:val="en-US" w:eastAsia="zh-CN"/>
        </w:rPr>
        <w:t>我院档案管理机制完备，</w:t>
      </w:r>
      <w:r>
        <w:rPr>
          <w:rFonts w:hint="eastAsia"/>
          <w:lang w:eastAsia="zh-CN"/>
        </w:rPr>
        <w:t>达到年度指标值。该指标分值</w:t>
      </w:r>
      <w:r>
        <w:rPr>
          <w:rFonts w:hint="eastAsia" w:hAnsi="宋体" w:cstheme="minorBidi"/>
          <w:b w:val="0"/>
          <w:bCs w:val="0"/>
          <w:kern w:val="2"/>
          <w:sz w:val="28"/>
          <w:szCs w:val="28"/>
          <w:highlight w:val="none"/>
          <w:lang w:val="en-US" w:eastAsia="zh-CN" w:bidi="ar-SA"/>
        </w:rPr>
        <w:t>3.33</w:t>
      </w:r>
      <w:r>
        <w:rPr>
          <w:rFonts w:hint="eastAsia"/>
          <w:lang w:eastAsia="zh-CN"/>
        </w:rPr>
        <w:t>分，自评得分</w:t>
      </w:r>
      <w:r>
        <w:rPr>
          <w:rFonts w:hint="eastAsia" w:hAnsi="宋体" w:cstheme="minorBidi"/>
          <w:b w:val="0"/>
          <w:bCs w:val="0"/>
          <w:kern w:val="2"/>
          <w:sz w:val="28"/>
          <w:szCs w:val="28"/>
          <w:highlight w:val="none"/>
          <w:lang w:val="en-US" w:eastAsia="zh-CN" w:bidi="ar-SA"/>
        </w:rPr>
        <w:t>3.33</w:t>
      </w:r>
      <w:r>
        <w:rPr>
          <w:rFonts w:hint="eastAsia"/>
          <w:lang w:eastAsia="zh-CN"/>
        </w:rPr>
        <w:t>分，得分率100.00%。</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7" w:name="_Toc23534"/>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2"/>
      <w:bookmarkEnd w:id="53"/>
      <w:bookmarkEnd w:id="54"/>
      <w:bookmarkEnd w:id="55"/>
      <w:bookmarkEnd w:id="56"/>
      <w:bookmarkEnd w:id="57"/>
    </w:p>
    <w:p>
      <w:pPr>
        <w:bidi w:val="0"/>
        <w:rPr>
          <w:rFonts w:hint="eastAsia"/>
          <w:lang w:val="en-US" w:eastAsia="zh-CN"/>
        </w:rPr>
      </w:pPr>
      <w:r>
        <w:rPr>
          <w:rFonts w:hint="eastAsia"/>
          <w:lang w:val="en-US" w:eastAsia="zh-CN"/>
        </w:rPr>
        <w:t>无</w:t>
      </w:r>
    </w:p>
    <w:p>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8" w:name="_Toc21492"/>
      <w:r>
        <w:rPr>
          <w:rFonts w:hint="eastAsia"/>
          <w:lang w:val="en-US" w:eastAsia="zh-CN"/>
        </w:rPr>
        <w:t>四、部门预算项目支出绩效自评情况分析</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9" w:name="_Toc29477"/>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60" w:name="_Toc3777"/>
      <w:bookmarkStart w:id="61" w:name="_Toc18806"/>
      <w:bookmarkStart w:id="62" w:name="_Toc40046064"/>
      <w:bookmarkStart w:id="63" w:name="_Toc22570"/>
      <w:bookmarkStart w:id="64" w:name="_Toc1889"/>
      <w:bookmarkStart w:id="65" w:name="_Toc40046065"/>
      <w:bookmarkStart w:id="66"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95.24</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22</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37.35</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93.37%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95.24</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95.24%</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80</w:t>
      </w:r>
      <w:r>
        <w:rPr>
          <w:rFonts w:hint="eastAsia"/>
          <w:szCs w:val="28"/>
        </w:rPr>
        <w:t>万元，全年预算数为</w:t>
      </w:r>
      <w:r>
        <w:rPr>
          <w:rFonts w:hint="eastAsia"/>
          <w:szCs w:val="28"/>
          <w:lang w:val="en-US" w:eastAsia="zh-CN"/>
        </w:rPr>
        <w:t>113.18</w:t>
      </w:r>
      <w:r>
        <w:rPr>
          <w:rFonts w:hint="eastAsia"/>
          <w:szCs w:val="28"/>
        </w:rPr>
        <w:t>万元，全年执行数为</w:t>
      </w:r>
      <w:r>
        <w:rPr>
          <w:rFonts w:hint="eastAsia"/>
          <w:szCs w:val="28"/>
          <w:lang w:val="en-US" w:eastAsia="zh-CN"/>
        </w:rPr>
        <w:t>89.28</w:t>
      </w:r>
      <w:r>
        <w:rPr>
          <w:rFonts w:hint="eastAsia"/>
          <w:szCs w:val="28"/>
        </w:rPr>
        <w:t>万元，预算执行率</w:t>
      </w:r>
      <w:r>
        <w:rPr>
          <w:rFonts w:hint="eastAsia"/>
          <w:szCs w:val="28"/>
          <w:lang w:val="en-US" w:eastAsia="zh-CN"/>
        </w:rPr>
        <w:t>78.88</w:t>
      </w:r>
      <w:r>
        <w:rPr>
          <w:szCs w:val="28"/>
        </w:rPr>
        <w:t>%</w:t>
      </w:r>
      <w:r>
        <w:rPr>
          <w:rFonts w:hint="eastAsia"/>
          <w:szCs w:val="28"/>
        </w:rPr>
        <w:t>，满分10分，得分</w:t>
      </w:r>
      <w:r>
        <w:rPr>
          <w:rFonts w:hint="eastAsia"/>
          <w:szCs w:val="28"/>
          <w:lang w:val="en-US" w:eastAsia="zh-CN"/>
        </w:rPr>
        <w:t>7.888</w:t>
      </w:r>
      <w:r>
        <w:rPr>
          <w:rFonts w:hint="eastAsia"/>
          <w:szCs w:val="28"/>
        </w:rPr>
        <w:t>分</w:t>
      </w:r>
      <w:r>
        <w:rPr>
          <w:rFonts w:hint="eastAsia"/>
          <w:szCs w:val="28"/>
          <w:lang w:eastAsia="zh-CN"/>
        </w:rPr>
        <w:t>，</w:t>
      </w:r>
      <w:r>
        <w:rPr>
          <w:rFonts w:hint="eastAsia"/>
          <w:szCs w:val="28"/>
          <w:lang w:val="en-US" w:eastAsia="zh-CN"/>
        </w:rPr>
        <w:t>得分率78.88</w:t>
      </w:r>
      <w:r>
        <w:rPr>
          <w:szCs w:val="28"/>
        </w:rPr>
        <w:t>%</w:t>
      </w:r>
      <w:r>
        <w:rPr>
          <w:rFonts w:hint="eastAsia"/>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本年度受理案件工作、审理执行案件工作、审判民商事案件工作、审判刑事案件案件、审判行政案件工作均已完成，完成率均为</w:t>
      </w:r>
      <w:r>
        <w:t>100%，有效保障了审判服务。</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完成执法执勤车辆的运行维护工作，完成率</w:t>
      </w:r>
      <w:r>
        <w:t>100%。</w:t>
      </w:r>
    </w:p>
    <w:p>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差旅费和物业管理到位，服务保障高效。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w:t>
      </w:r>
      <w:r>
        <w:rPr>
          <w:rFonts w:hint="eastAsia" w:cs="仿宋_GB2312"/>
          <w:szCs w:val="28"/>
          <w:lang w:eastAsia="zh-CN"/>
        </w:rPr>
        <w:t>、</w:t>
      </w:r>
      <w:r>
        <w:rPr>
          <w:rFonts w:hint="eastAsia" w:cs="仿宋_GB2312"/>
          <w:szCs w:val="28"/>
          <w:lang w:val="en-US" w:eastAsia="zh-CN"/>
        </w:rPr>
        <w:t>社会、生态环境</w:t>
      </w:r>
      <w:r>
        <w:rPr>
          <w:rFonts w:hint="eastAsia" w:cs="仿宋_GB2312"/>
          <w:szCs w:val="28"/>
        </w:rPr>
        <w:t>成本指标</w:t>
      </w:r>
      <w:r>
        <w:rPr>
          <w:rFonts w:hint="eastAsia" w:cs="仿宋_GB2312"/>
          <w:szCs w:val="28"/>
          <w:lang w:val="en-US" w:eastAsia="zh-CN"/>
        </w:rPr>
        <w:t>3</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firstLine="400" w:firstLineChars="200"/>
              <w:jc w:val="center"/>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pPr>
              <w:keepNext w:val="0"/>
              <w:keepLines w:val="0"/>
              <w:widowControl/>
              <w:suppressLineNumbers w:val="0"/>
              <w:ind w:firstLine="400" w:firstLineChars="20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装备购置及时性</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150" w:type="dxa"/>
            <w:vAlign w:val="center"/>
          </w:tcPr>
          <w:p>
            <w:pPr>
              <w:keepNext w:val="0"/>
              <w:keepLines w:val="0"/>
              <w:widowControl/>
              <w:suppressLineNumbers w:val="0"/>
              <w:ind w:firstLine="40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0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88" w:type="dxa"/>
            <w:vAlign w:val="center"/>
          </w:tcPr>
          <w:p>
            <w:pPr>
              <w:keepNext w:val="0"/>
              <w:keepLines w:val="0"/>
              <w:widowControl/>
              <w:suppressLineNumbers w:val="0"/>
              <w:ind w:firstLine="400" w:firstLineChars="20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150"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公众生态环境保护意识</w:t>
            </w:r>
          </w:p>
        </w:tc>
        <w:tc>
          <w:tcPr>
            <w:tcW w:w="975"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有效提高</w:t>
            </w:r>
          </w:p>
        </w:tc>
        <w:tc>
          <w:tcPr>
            <w:tcW w:w="1150"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0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装备购置及时性：</w:t>
      </w:r>
      <w:r>
        <w:rPr>
          <w:rFonts w:hint="eastAsia" w:hAnsi="宋体"/>
          <w:b w:val="0"/>
          <w:bCs w:val="0"/>
          <w:color w:val="000000" w:themeColor="text1"/>
          <w:szCs w:val="28"/>
          <w:lang w:val="en-US" w:eastAsia="zh-CN"/>
          <w14:textFill>
            <w14:solidFill>
              <w14:schemeClr w14:val="tx1"/>
            </w14:solidFill>
          </w14:textFill>
        </w:rPr>
        <w:t>我院装备购置及时，均在响应时间内进行装备购置工作，达到年度指标值。该指标分值6.68分，自评得分为6.68分，得分率为100.00%。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ascii="仿宋_GB2312" w:hAnsi="宋体" w:eastAsia="仿宋_GB2312" w:cstheme="minorBidi"/>
          <w:b/>
          <w:bCs/>
          <w:color w:val="000000" w:themeColor="text1"/>
          <w:kern w:val="2"/>
          <w:sz w:val="28"/>
          <w:szCs w:val="28"/>
          <w:lang w:val="en-US" w:eastAsia="zh-CN" w:bidi="ar-SA"/>
          <w14:textFill>
            <w14:solidFill>
              <w14:schemeClr w14:val="tx1"/>
            </w14:solidFill>
          </w14:textFill>
        </w:rPr>
        <w:t>信息化运维工作及时性</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val="0"/>
          <w:bCs w:val="0"/>
          <w:szCs w:val="28"/>
          <w:lang w:val="en-US" w:eastAsia="zh-CN"/>
        </w:rPr>
      </w:pPr>
      <w:r>
        <w:rPr>
          <w:rFonts w:hint="eastAsia" w:hAnsi="宋体"/>
          <w:b/>
          <w:bCs/>
          <w:szCs w:val="28"/>
          <w:lang w:val="en-US" w:eastAsia="zh-CN"/>
        </w:rPr>
        <w:t>公众生态环境保护意识：</w:t>
      </w:r>
      <w:r>
        <w:rPr>
          <w:rFonts w:hint="eastAsia" w:hAnsi="宋体"/>
          <w:b w:val="0"/>
          <w:bCs w:val="0"/>
          <w:szCs w:val="28"/>
          <w:lang w:val="en-US" w:eastAsia="zh-CN"/>
        </w:rPr>
        <w:t>我院2023年公众生态环境保护意识有效提高，</w:t>
      </w:r>
      <w:r>
        <w:rPr>
          <w:rFonts w:hint="eastAsia" w:hAnsi="宋体"/>
          <w:b w:val="0"/>
          <w:bCs w:val="0"/>
          <w:color w:val="000000" w:themeColor="text1"/>
          <w:szCs w:val="28"/>
          <w:lang w:val="en-US" w:eastAsia="zh-CN"/>
          <w14:textFill>
            <w14:solidFill>
              <w14:schemeClr w14:val="tx1"/>
            </w14:solidFill>
          </w14:textFill>
        </w:rPr>
        <w:t>该指标分值6.66分，自评得分为6.66分，得分率为100.00%。</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产出指标下设数量、质量、时效3个二级指标。总分值40分，得分37.75分，得分率93.37%。</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采购装备数量</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=5台</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20台</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0"/>
                <w:szCs w:val="20"/>
                <w:u w:val="none"/>
                <w:lang w:val="en-US" w:eastAsia="zh-CN" w:bidi="ar"/>
              </w:rPr>
              <w:t>0.98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27.00%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96.2%</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3.7</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=2项</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2项</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96.65%</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3.63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37.75</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93.37%</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采购装备数量：</w:t>
      </w:r>
      <w:r>
        <w:rPr>
          <w:rFonts w:hint="eastAsia" w:hAnsi="宋体"/>
          <w:b w:val="0"/>
          <w:bCs w:val="0"/>
          <w:szCs w:val="28"/>
          <w:lang w:val="en-US" w:eastAsia="zh-CN"/>
        </w:rPr>
        <w:t>我院2023年采购装备20台，达到年度指标值。该指标分值3.63分，自评得分为0.98分，得分率为27%。</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我院2023年度立案数529件，结案数509件，结案率96.2%，达到年度指标值。该指标分值3.7分，自评得分为3.7分，得分率为100.00%。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我院2023年维修维护项目数2项，达到年度指标值。该指标分值3.63分，自评得分为3.63分，得分率为100.00%。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我院信息化软件运行维护工作执行到位，积极保障法院信息化软件的运行维护工作，信息化软件运行维护工作完成率为100.00%，达到年度指标值。该指标分值3.63分，自评得分为3.63分，得分率100.00%。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购置装备验收合格率：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购置装备</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3.63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3.63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3.63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3.63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我院本年度的信息化软件运行维护工作均达到办公质量要求，通过验收，验收合格率为100.00%，达到年度指标值。该指标分值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我院2023年一审服判息诉率96.65%。各项审判执行质效指标持续保持高位运行，达到年度指标值。该指标分值</w:t>
      </w:r>
      <w:r>
        <w:rPr>
          <w:rFonts w:hint="eastAsia" w:hAnsi="宋体" w:cstheme="minorBidi"/>
          <w:b w:val="0"/>
          <w:bCs w:val="0"/>
          <w:color w:val="auto"/>
          <w:kern w:val="2"/>
          <w:sz w:val="28"/>
          <w:szCs w:val="28"/>
          <w:lang w:val="en-US" w:eastAsia="zh-CN" w:bidi="ar-SA"/>
        </w:rPr>
        <w:t>3.63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3.63</w:t>
      </w:r>
      <w:r>
        <w:rPr>
          <w:rFonts w:hint="eastAsia" w:hAnsi="宋体"/>
          <w:b w:val="0"/>
          <w:bCs w:val="0"/>
          <w:szCs w:val="28"/>
          <w:lang w:val="en-US" w:eastAsia="zh-CN"/>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cstheme="minorBidi"/>
          <w:b/>
          <w:bCs/>
          <w:color w:val="000000" w:themeColor="text1"/>
          <w:kern w:val="2"/>
          <w:sz w:val="28"/>
          <w:szCs w:val="28"/>
          <w:lang w:val="en-US" w:eastAsia="zh-CN" w:bidi="ar-SA"/>
          <w14:textFill>
            <w14:solidFill>
              <w14:schemeClr w14:val="tx1"/>
            </w14:solidFill>
          </w14:textFill>
        </w:rPr>
        <w:t>物业管理合格率：</w:t>
      </w:r>
      <w:r>
        <w:rPr>
          <w:rFonts w:hint="eastAsia" w:hAnsi="宋体"/>
          <w:b w:val="0"/>
          <w:bCs w:val="0"/>
          <w:color w:val="000000" w:themeColor="text1"/>
          <w:szCs w:val="28"/>
          <w:lang w:val="en-US" w:eastAsia="zh-CN"/>
          <w14:textFill>
            <w14:solidFill>
              <w14:schemeClr w14:val="tx1"/>
            </w14:solidFill>
          </w14:textFill>
        </w:rPr>
        <w:t>我院物业管理合格，达到目标值。该指标分值3.33分，自评得分为3.33分，得分率为100.00%。</w:t>
      </w:r>
    </w:p>
    <w:p>
      <w:pPr>
        <w:pStyle w:val="5"/>
        <w:numPr>
          <w:ilvl w:val="0"/>
          <w:numId w:val="1"/>
        </w:numPr>
        <w:bidi w:val="0"/>
        <w:ind w:left="0" w:leftChars="0" w:firstLine="560" w:firstLineChars="200"/>
        <w:rPr>
          <w:rFonts w:hint="eastAsia"/>
          <w:lang w:val="en-US" w:eastAsia="zh-CN"/>
        </w:rPr>
      </w:pPr>
      <w:r>
        <w:rPr>
          <w:rFonts w:hint="eastAsia"/>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cstheme="minorBidi"/>
          <w:b/>
          <w:bCs/>
          <w:kern w:val="2"/>
          <w:sz w:val="28"/>
          <w:szCs w:val="28"/>
          <w:lang w:val="en-US" w:eastAsia="zh-CN" w:bidi="ar-SA"/>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我院2023年度成本均在预算控制范围内，达到目标值。该指标分值3.33分，自评得分为3.33分，得分率为100.00%。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3.35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3.35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color w:val="000000" w:themeColor="text1"/>
          <w:kern w:val="2"/>
          <w:sz w:val="28"/>
          <w:szCs w:val="28"/>
          <w:lang w:val="en-US" w:eastAsia="zh-CN" w:bidi="ar-SA"/>
          <w14:textFill>
            <w14:solidFill>
              <w14:schemeClr w14:val="tx1"/>
            </w14:solidFill>
          </w14:textFill>
        </w:rPr>
        <w:t>业务费总额控制率：</w:t>
      </w:r>
      <w:r>
        <w:rPr>
          <w:rFonts w:hint="eastAsia" w:hAnsi="宋体"/>
          <w:b w:val="0"/>
          <w:bCs w:val="0"/>
          <w:color w:val="000000" w:themeColor="text1"/>
          <w:szCs w:val="28"/>
          <w:lang w:val="en-US" w:eastAsia="zh-CN"/>
          <w14:textFill>
            <w14:solidFill>
              <w14:schemeClr w14:val="tx1"/>
            </w14:solidFill>
          </w14:textFill>
        </w:rPr>
        <w:t>我院2023年度业务费总额均在预算控制范围内，达到目标值。该指标分值3.33分，自评得分为3.33分，得分率为100.00%。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稳定有序的社会环境，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我院积极开展法院审判工作，有效保障审判服务，达到年度指标值。该指标分值3.33分，自评得分为3.33分，得分率为100.00%。</w:t>
      </w:r>
    </w:p>
    <w:p>
      <w:pPr>
        <w:pStyle w:val="10"/>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3.33分，自评得分为3.33分，得分率为100.00%。</w:t>
      </w:r>
    </w:p>
    <w:p>
      <w:pPr>
        <w:pStyle w:val="46"/>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both"/>
        <w:textAlignment w:val="auto"/>
        <w:rPr>
          <w:rStyle w:val="47"/>
          <w:rFonts w:hint="eastAsia"/>
          <w:lang w:val="en-US" w:eastAsia="zh-CN"/>
        </w:rPr>
      </w:pPr>
      <w:r>
        <w:rPr>
          <w:rStyle w:val="47"/>
          <w:rFonts w:hint="eastAsia"/>
          <w:lang w:val="en-US" w:eastAsia="zh-CN"/>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干警满意度、群众满意度。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群众满意程度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94%</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当事人满意度：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案件当事人满意度达到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val="en-US" w:eastAsia="zh-CN"/>
        </w:rPr>
        <w:t>100.00</w:t>
      </w:r>
      <w:r>
        <w:rPr>
          <w:rFonts w:hint="eastAsia"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7" w:name="_Toc3380"/>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7"/>
    </w:p>
    <w:p>
      <w:pPr>
        <w:pStyle w:val="1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次绩效自评综合评定2023年法庭运维费项目支出绩效得分为100.00分，绩效等级为“优”。项目支出绩效评价包括成本、产出、效益、满意度四个一级指标，下设10个二级指标和21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pPr>
        <w:pStyle w:val="4"/>
        <w:bidi w:val="0"/>
      </w:pPr>
      <w:r>
        <w:t>1、项目支出预算执行情况</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我院法庭运维费项目年初预算数8万元、全年预算数8万元，全年执行数8万元，预算执行率100.00%，满分10分，得分10分。</w:t>
      </w:r>
    </w:p>
    <w:p>
      <w:pPr>
        <w:pStyle w:val="4"/>
        <w:bidi w:val="0"/>
      </w:pPr>
      <w:r>
        <w:t>2、总体绩效目标完成情况分析</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法庭运维费项目的有效实施，为我院审判业务提供了保障，不断提升办案效率。2023年度我院积极开展案件审判工作，相关审判人员及时到庭参与案件审理，服务对象满意度达到100.00%。</w:t>
      </w:r>
    </w:p>
    <w:p>
      <w:pPr>
        <w:pStyle w:val="4"/>
        <w:numPr>
          <w:ilvl w:val="0"/>
          <w:numId w:val="2"/>
        </w:numPr>
        <w:bidi w:val="0"/>
      </w:pPr>
      <w:r>
        <w:t>各项指标完成情况分析</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pPr>
        <w:rPr>
          <w:rFonts w:hint="eastAsia" w:hAnsi="宋体"/>
          <w:b w:val="0"/>
          <w:bCs w:val="0"/>
          <w:szCs w:val="28"/>
          <w:lang w:val="en-US" w:eastAsia="zh-CN"/>
        </w:rPr>
      </w:pPr>
      <w:r>
        <w:rPr>
          <w:rFonts w:hint="eastAsia" w:hAnsi="宋体"/>
          <w:b w:val="0"/>
          <w:bCs w:val="0"/>
          <w:szCs w:val="28"/>
          <w:lang w:val="en-US" w:eastAsia="zh-CN"/>
        </w:rPr>
        <w:t>成本指标下设3个二级指标，3个三级指标，指标权重合计20分，自评得分20分，得分率为100.00%。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&gt;=100%</w:t>
            </w:r>
          </w:p>
        </w:tc>
        <w:tc>
          <w:tcPr>
            <w:tcW w:w="13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6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3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68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提高生态环境保护意识</w:t>
            </w:r>
          </w:p>
        </w:tc>
        <w:tc>
          <w:tcPr>
            <w:tcW w:w="16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有效提高</w:t>
            </w:r>
          </w:p>
        </w:tc>
        <w:tc>
          <w:tcPr>
            <w:tcW w:w="13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68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我院法庭运维费全年预算数和实际支出为24万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宋体" w:eastAsia="仿宋_GB2312" w:cstheme="minorBidi"/>
          <w:b/>
          <w:bCs/>
          <w:color w:val="000000" w:themeColor="text1"/>
          <w:kern w:val="2"/>
          <w:sz w:val="28"/>
          <w:szCs w:val="28"/>
          <w:lang w:val="en-US" w:eastAsia="zh-CN" w:bidi="ar-SA"/>
          <w14:textFill>
            <w14:solidFill>
              <w14:schemeClr w14:val="tx1"/>
            </w14:solidFill>
          </w14:textFill>
        </w:rPr>
        <w:t>信息化运维工作及时性</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提高生态环境保护意识：</w:t>
      </w:r>
      <w:r>
        <w:rPr>
          <w:rFonts w:hint="eastAsia" w:hAnsi="宋体"/>
          <w:b w:val="0"/>
          <w:bCs w:val="0"/>
          <w:color w:val="000000" w:themeColor="text1"/>
          <w:szCs w:val="28"/>
          <w:lang w:val="en-US" w:eastAsia="zh-CN"/>
          <w14:textFill>
            <w14:solidFill>
              <w14:schemeClr w14:val="tx1"/>
            </w14:solidFill>
          </w14:textFill>
        </w:rPr>
        <w:t>我院生态环境保护意识提高，达到年度指标值。该指标分值6.66分，自评得分为6.66分，得分率为100.00%。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=1个</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1个</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信息化运维服务完成率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12</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信息化运维服务验收合格率</w:t>
      </w:r>
      <w:r>
        <w:rPr>
          <w:rFonts w:hint="eastAsia" w:ascii="仿宋" w:hAnsi="仿宋" w:eastAsia="仿宋" w:cs="仿宋"/>
          <w:sz w:val="28"/>
          <w:shd w:val="clear" w:color="auto" w:fill="FFFFFF"/>
          <w:lang w:val="en-US" w:eastAsia="zh-CN"/>
        </w:rPr>
        <w:t>4</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16</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16</w:t>
      </w:r>
      <w:r>
        <w:rPr>
          <w:rFonts w:hint="eastAsia" w:ascii="仿宋" w:hAnsi="仿宋" w:eastAsia="仿宋" w:cs="仿宋"/>
          <w:sz w:val="28"/>
          <w:shd w:val="clear" w:color="auto" w:fill="FFFFFF"/>
        </w:rPr>
        <w:t>分，得分率为100%。</w:t>
      </w:r>
    </w:p>
    <w:p>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12</w:t>
      </w:r>
      <w:r>
        <w:rPr>
          <w:rFonts w:hint="eastAsia" w:ascii="仿宋" w:hAnsi="仿宋" w:eastAsia="仿宋" w:cs="仿宋"/>
          <w:sz w:val="28"/>
          <w:shd w:val="clear" w:color="auto" w:fill="FFFFFF"/>
        </w:rPr>
        <w:t>分，得分率为100%。</w:t>
      </w:r>
    </w:p>
    <w:p>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经济、社会、生态</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3</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费用总额控制率</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cstheme="minorBidi"/>
          <w:b/>
          <w:bCs/>
          <w:kern w:val="2"/>
          <w:sz w:val="28"/>
          <w:szCs w:val="28"/>
          <w:lang w:val="en-US" w:eastAsia="zh-CN" w:bidi="ar-SA"/>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我院2023年度成本均在预算控制范围内，达到目标值。该指标分值3.33分，自评得分为3.33分，得分率为100.00%。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_GB2312" w:hAnsi="宋体" w:eastAsia="仿宋_GB2312" w:cstheme="minorBidi"/>
          <w:b/>
          <w:bCs/>
          <w:kern w:val="2"/>
          <w:sz w:val="28"/>
          <w:szCs w:val="28"/>
          <w:lang w:val="en-US" w:eastAsia="zh-CN" w:bidi="ar-SA"/>
        </w:rPr>
      </w:pPr>
      <w:r>
        <w:rPr>
          <w:rFonts w:hint="eastAsia" w:hAnsi="宋体" w:cstheme="minorBidi"/>
          <w:b/>
          <w:bCs/>
          <w:kern w:val="2"/>
          <w:sz w:val="28"/>
          <w:szCs w:val="28"/>
          <w:lang w:val="en-US" w:eastAsia="zh-CN" w:bidi="ar-SA"/>
        </w:rPr>
        <w:t>费用总额控制率</w:t>
      </w:r>
      <w:r>
        <w:rPr>
          <w:rFonts w:hint="eastAsia" w:hAnsi="宋体" w:cstheme="minorBidi"/>
          <w:b/>
          <w:bCs/>
          <w:color w:val="000000" w:themeColor="text1"/>
          <w:kern w:val="2"/>
          <w:sz w:val="28"/>
          <w:szCs w:val="28"/>
          <w:lang w:val="en-US" w:eastAsia="zh-CN" w:bidi="ar-SA"/>
          <w14:textFill>
            <w14:solidFill>
              <w14:schemeClr w14:val="tx1"/>
            </w14:solidFill>
          </w14:textFill>
        </w:rPr>
        <w:t>：</w:t>
      </w:r>
      <w:r>
        <w:rPr>
          <w:rFonts w:hint="eastAsia" w:hAnsi="宋体"/>
          <w:b w:val="0"/>
          <w:bCs w:val="0"/>
          <w:color w:val="000000" w:themeColor="text1"/>
          <w:szCs w:val="28"/>
          <w:lang w:val="en-US" w:eastAsia="zh-CN"/>
          <w14:textFill>
            <w14:solidFill>
              <w14:schemeClr w14:val="tx1"/>
            </w14:solidFill>
          </w14:textFill>
        </w:rPr>
        <w:t>我院2023年度费用总额均在预算控制范围内，达到目标值。该指标分值3.35分，自评得分为3.35分，得分率为100.00%。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bCs/>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b w:val="0"/>
          <w:bCs w:val="0"/>
          <w:color w:val="000000" w:themeColor="text1"/>
          <w:szCs w:val="28"/>
          <w:lang w:val="en-US" w:eastAsia="zh-CN"/>
          <w14:textFill>
            <w14:solidFill>
              <w14:schemeClr w14:val="tx1"/>
            </w14:solidFill>
          </w14:textFill>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color w:val="000000" w:themeColor="text1"/>
          <w:szCs w:val="28"/>
          <w:lang w:val="en-US" w:eastAsia="zh-CN"/>
          <w14:textFill>
            <w14:solidFill>
              <w14:schemeClr w14:val="tx1"/>
            </w14:solidFill>
          </w14:textFill>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我院积极优化审判资源，狠抓执法办案第一要务，妥善化解纠纷，贯彻“调解优先、调判结合”的民事审判方针，加大涉弱势群体保护力度，切实维护稳定有序的社会环境，达到年度指标值。该指标分值</w:t>
      </w:r>
      <w:r>
        <w:rPr>
          <w:rFonts w:hint="eastAsia" w:hAnsi="宋体"/>
          <w:b w:val="0"/>
          <w:bCs w:val="0"/>
          <w:color w:val="000000" w:themeColor="text1"/>
          <w:szCs w:val="28"/>
          <w:lang w:val="en-US" w:eastAsia="zh-CN"/>
          <w14:textFill>
            <w14:solidFill>
              <w14:schemeClr w14:val="tx1"/>
            </w14:solidFill>
          </w14:textFill>
        </w:rPr>
        <w:t>3.33</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3.33</w:t>
      </w:r>
      <w:r>
        <w:rPr>
          <w:rFonts w:hint="eastAsia" w:hAnsi="宋体"/>
          <w:b w:val="0"/>
          <w:bCs w:val="0"/>
          <w:szCs w:val="28"/>
          <w:lang w:val="en-US" w:eastAsia="zh-CN"/>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w:t>
      </w:r>
      <w:r>
        <w:rPr>
          <w:rFonts w:hint="eastAsia" w:hAnsi="宋体"/>
          <w:b w:val="0"/>
          <w:bCs w:val="0"/>
          <w:color w:val="000000" w:themeColor="text1"/>
          <w:szCs w:val="28"/>
          <w:lang w:val="en-US" w:eastAsia="zh-CN"/>
          <w14:textFill>
            <w14:solidFill>
              <w14:schemeClr w14:val="tx1"/>
            </w14:solidFill>
          </w14:textFill>
        </w:rPr>
        <w:t>3.33</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3.33</w:t>
      </w:r>
      <w:r>
        <w:rPr>
          <w:rFonts w:hint="eastAsia" w:hAnsi="宋体"/>
          <w:b w:val="0"/>
          <w:bCs w:val="0"/>
          <w:szCs w:val="28"/>
          <w:lang w:val="en-US" w:eastAsia="zh-CN"/>
        </w:rPr>
        <w:t>分，得分率为100.00%。</w:t>
      </w:r>
    </w:p>
    <w:p>
      <w:pPr>
        <w:pStyle w:val="10"/>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w:t>
      </w:r>
      <w:r>
        <w:rPr>
          <w:rFonts w:hint="eastAsia" w:hAnsi="宋体"/>
          <w:b w:val="0"/>
          <w:bCs w:val="0"/>
          <w:color w:val="000000" w:themeColor="text1"/>
          <w:szCs w:val="28"/>
          <w:lang w:val="en-US" w:eastAsia="zh-CN"/>
          <w14:textFill>
            <w14:solidFill>
              <w14:schemeClr w14:val="tx1"/>
            </w14:solidFill>
          </w14:textFill>
        </w:rPr>
        <w:t>3.33</w:t>
      </w:r>
      <w:r>
        <w:rPr>
          <w:rFonts w:hint="eastAsia"/>
          <w:color w:val="000000" w:themeColor="text1"/>
          <w:sz w:val="28"/>
          <w:szCs w:val="28"/>
          <w:lang w:val="en-US" w:eastAsia="zh-CN"/>
          <w14:textFill>
            <w14:solidFill>
              <w14:schemeClr w14:val="tx1"/>
            </w14:solidFill>
          </w14:textFill>
        </w:rPr>
        <w:t>分，自评得分为</w:t>
      </w:r>
      <w:r>
        <w:rPr>
          <w:rFonts w:hint="eastAsia" w:hAnsi="宋体"/>
          <w:b w:val="0"/>
          <w:bCs w:val="0"/>
          <w:color w:val="000000" w:themeColor="text1"/>
          <w:szCs w:val="28"/>
          <w:lang w:val="en-US" w:eastAsia="zh-CN"/>
          <w14:textFill>
            <w14:solidFill>
              <w14:schemeClr w14:val="tx1"/>
            </w14:solidFill>
          </w14:textFill>
        </w:rPr>
        <w:t>3.33</w:t>
      </w:r>
      <w:r>
        <w:rPr>
          <w:rFonts w:hint="eastAsia"/>
          <w:color w:val="000000" w:themeColor="text1"/>
          <w:sz w:val="28"/>
          <w:szCs w:val="28"/>
          <w:lang w:val="en-US" w:eastAsia="zh-CN"/>
          <w14:textFill>
            <w14:solidFill>
              <w14:schemeClr w14:val="tx1"/>
            </w14:solidFill>
          </w14:textFill>
        </w:rPr>
        <w:t>分，得分率为100.00%。</w:t>
      </w:r>
    </w:p>
    <w:p>
      <w:pPr>
        <w:pStyle w:val="5"/>
        <w:bidi w:val="0"/>
        <w:rPr>
          <w:rFonts w:hint="default"/>
          <w:lang w:val="en-US" w:eastAsia="zh-CN"/>
        </w:rPr>
      </w:pPr>
      <w:r>
        <w:rPr>
          <w:rFonts w:hint="eastAsia"/>
          <w:lang w:val="en-US" w:eastAsia="zh-CN"/>
        </w:rPr>
        <w:t>（4）服务对象满意度指标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服务对象满意度指标指标根据我院向社会提供公共产品和服务的主要对象，主要考察服务群众对审判工作满意度</w:t>
      </w:r>
      <w:r>
        <w:rPr>
          <w:rFonts w:hint="eastAsia" w:hAnsi="宋体" w:cstheme="minorBidi"/>
          <w:b w:val="0"/>
          <w:bCs w:val="0"/>
          <w:kern w:val="2"/>
          <w:sz w:val="28"/>
          <w:szCs w:val="28"/>
          <w:lang w:val="en-US" w:eastAsia="zh-CN" w:bidi="ar-SA"/>
        </w:rPr>
        <w:t>、派出法庭工作人员满意度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派出法庭工作人员满意度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服务群众对审判工作满意度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服务群众对审判工作满意度达到</w:t>
      </w:r>
      <w:r>
        <w:rPr>
          <w:rFonts w:hint="eastAsia" w:cs="仿宋_GB2312"/>
          <w:color w:val="auto"/>
          <w:sz w:val="28"/>
          <w:szCs w:val="28"/>
          <w:lang w:val="en-US" w:eastAsia="zh-CN"/>
        </w:rPr>
        <w:t>92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派出法庭工作人员满意度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b w:val="0"/>
          <w:bCs w:val="0"/>
          <w:sz w:val="28"/>
          <w:szCs w:val="28"/>
          <w:lang w:val="en-US" w:eastAsia="zh-CN"/>
        </w:rPr>
        <w:t>我院加强</w:t>
      </w:r>
      <w:r>
        <w:rPr>
          <w:rFonts w:hint="eastAsia" w:ascii="仿宋_GB2312" w:hAnsi="仿宋_GB2312" w:eastAsia="仿宋_GB2312" w:cs="仿宋_GB2312"/>
          <w:b w:val="0"/>
          <w:bCs w:val="0"/>
          <w:color w:val="auto"/>
          <w:kern w:val="2"/>
          <w:sz w:val="28"/>
          <w:szCs w:val="28"/>
          <w:lang w:val="en-US" w:eastAsia="zh-CN" w:bidi="ar-SA"/>
        </w:rPr>
        <w:t>实</w:t>
      </w:r>
      <w:r>
        <w:rPr>
          <w:rFonts w:hint="eastAsia" w:ascii="仿宋_GB2312" w:hAnsi="仿宋_GB2312" w:eastAsia="仿宋_GB2312" w:cs="仿宋_GB2312"/>
          <w:color w:val="auto"/>
          <w:kern w:val="2"/>
          <w:sz w:val="28"/>
          <w:szCs w:val="28"/>
          <w:lang w:val="en-US" w:eastAsia="zh-CN" w:bidi="ar-SA"/>
        </w:rPr>
        <w:t>施能力提升系列工程，培育复合型司法人才，队伍能力素质得到提升。</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pPr>
        <w:pStyle w:val="4"/>
        <w:bidi w:val="0"/>
      </w:pPr>
      <w: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我院在上报2023年度法庭运维费项目绩效目标申报表时，对指标的理解不够，部分指标设置不合理。目前对于指标设置理解加深，重新修改完善了绩效指标并进行分析</w:t>
      </w:r>
      <w:r>
        <w:rPr>
          <w:rFonts w:hint="eastAsia" w:cs="仿宋_GB2312"/>
          <w:color w:val="auto"/>
          <w:kern w:val="2"/>
          <w:sz w:val="28"/>
          <w:szCs w:val="28"/>
          <w:lang w:val="en-US" w:eastAsia="zh-CN" w:bidi="ar-SA"/>
        </w:rPr>
        <w:t>。</w:t>
      </w:r>
    </w:p>
    <w:bookmarkEnd w:id="60"/>
    <w:bookmarkEnd w:id="61"/>
    <w:bookmarkEnd w:id="62"/>
    <w:bookmarkEnd w:id="63"/>
    <w:bookmarkEnd w:id="64"/>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8" w:name="_Toc28626"/>
      <w:bookmarkStart w:id="69" w:name="_Toc6252"/>
      <w:bookmarkStart w:id="70" w:name="_Toc32543"/>
      <w:bookmarkStart w:id="71" w:name="_Toc26665"/>
      <w:r>
        <w:rPr>
          <w:rFonts w:hint="eastAsia"/>
          <w:lang w:val="en-US" w:eastAsia="zh-CN"/>
        </w:rPr>
        <w:t>五、绩效自评结果拟应用和公开情况</w:t>
      </w:r>
      <w:bookmarkEnd w:id="65"/>
      <w:bookmarkEnd w:id="66"/>
      <w:bookmarkEnd w:id="68"/>
      <w:bookmarkEnd w:id="69"/>
      <w:bookmarkEnd w:id="70"/>
      <w:bookmarkEnd w:id="71"/>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2" w:name="_Toc40046066"/>
      <w:bookmarkStart w:id="73" w:name="_Toc17181"/>
      <w:bookmarkStart w:id="74" w:name="_Toc21490"/>
      <w:bookmarkStart w:id="75" w:name="_Toc6781"/>
      <w:bookmarkStart w:id="76" w:name="_Toc4491"/>
      <w:bookmarkStart w:id="77" w:name="_Toc11914"/>
      <w:r>
        <w:rPr>
          <w:rFonts w:hint="eastAsia"/>
          <w:lang w:val="en-US" w:eastAsia="zh-CN"/>
        </w:rPr>
        <w:t>六、其他需要说明的问题</w:t>
      </w:r>
      <w:bookmarkEnd w:id="72"/>
      <w:bookmarkEnd w:id="73"/>
      <w:bookmarkEnd w:id="74"/>
      <w:bookmarkEnd w:id="75"/>
      <w:bookmarkEnd w:id="76"/>
      <w:bookmarkEnd w:id="77"/>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OTJiZWIxYjAxYzk3NGJjYTA1MmU1OTEwZDMxMDk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94218E"/>
    <w:rsid w:val="02CA7215"/>
    <w:rsid w:val="02D93C69"/>
    <w:rsid w:val="02E113D4"/>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952194"/>
    <w:rsid w:val="09B13A45"/>
    <w:rsid w:val="09B72FD5"/>
    <w:rsid w:val="09BE6112"/>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2801BA"/>
    <w:rsid w:val="0C6032F9"/>
    <w:rsid w:val="0C6C6699"/>
    <w:rsid w:val="0C8F023A"/>
    <w:rsid w:val="0DD248FB"/>
    <w:rsid w:val="0DD423A8"/>
    <w:rsid w:val="0DE74A3D"/>
    <w:rsid w:val="0DF0188C"/>
    <w:rsid w:val="0DF46805"/>
    <w:rsid w:val="0E071816"/>
    <w:rsid w:val="0E130328"/>
    <w:rsid w:val="0E14510B"/>
    <w:rsid w:val="0E5E4367"/>
    <w:rsid w:val="0E791344"/>
    <w:rsid w:val="0E875E9C"/>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953945"/>
    <w:rsid w:val="109A22B0"/>
    <w:rsid w:val="10C36704"/>
    <w:rsid w:val="10ED0DA6"/>
    <w:rsid w:val="115B7B4E"/>
    <w:rsid w:val="119368FA"/>
    <w:rsid w:val="11A11963"/>
    <w:rsid w:val="11C03DEA"/>
    <w:rsid w:val="11C20FE9"/>
    <w:rsid w:val="11CF41B2"/>
    <w:rsid w:val="11E85901"/>
    <w:rsid w:val="126D4DDF"/>
    <w:rsid w:val="12F942BB"/>
    <w:rsid w:val="13DA4490"/>
    <w:rsid w:val="14055456"/>
    <w:rsid w:val="1410241B"/>
    <w:rsid w:val="146A4AEC"/>
    <w:rsid w:val="14A1264A"/>
    <w:rsid w:val="14A14FAE"/>
    <w:rsid w:val="14A237DC"/>
    <w:rsid w:val="14C17805"/>
    <w:rsid w:val="15455939"/>
    <w:rsid w:val="154D47EE"/>
    <w:rsid w:val="1578500A"/>
    <w:rsid w:val="15937A9B"/>
    <w:rsid w:val="15B716F5"/>
    <w:rsid w:val="160A3D95"/>
    <w:rsid w:val="16133C89"/>
    <w:rsid w:val="169A0A5A"/>
    <w:rsid w:val="16EA10E2"/>
    <w:rsid w:val="16F13FCB"/>
    <w:rsid w:val="171A2DA3"/>
    <w:rsid w:val="17364B64"/>
    <w:rsid w:val="17400B06"/>
    <w:rsid w:val="17914727"/>
    <w:rsid w:val="17A22D12"/>
    <w:rsid w:val="17A41D79"/>
    <w:rsid w:val="17D45E88"/>
    <w:rsid w:val="18552337"/>
    <w:rsid w:val="185E6D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11C52"/>
    <w:rsid w:val="1A1A43C2"/>
    <w:rsid w:val="1A645D78"/>
    <w:rsid w:val="1A913C2A"/>
    <w:rsid w:val="1AB901AA"/>
    <w:rsid w:val="1ABA3711"/>
    <w:rsid w:val="1ACC2EC5"/>
    <w:rsid w:val="1B3604F2"/>
    <w:rsid w:val="1B367A94"/>
    <w:rsid w:val="1B391536"/>
    <w:rsid w:val="1B7D7F7E"/>
    <w:rsid w:val="1BE0460E"/>
    <w:rsid w:val="1C770035"/>
    <w:rsid w:val="1C934265"/>
    <w:rsid w:val="1CA9356C"/>
    <w:rsid w:val="1CB60D97"/>
    <w:rsid w:val="1CC41839"/>
    <w:rsid w:val="1CCC06EE"/>
    <w:rsid w:val="1CD540C4"/>
    <w:rsid w:val="1CE82FAE"/>
    <w:rsid w:val="1D172F01"/>
    <w:rsid w:val="1D4B7A4A"/>
    <w:rsid w:val="1D6B5FA6"/>
    <w:rsid w:val="1DE5415D"/>
    <w:rsid w:val="1E0730ED"/>
    <w:rsid w:val="1E2C7696"/>
    <w:rsid w:val="1E4A23BC"/>
    <w:rsid w:val="1E5D0198"/>
    <w:rsid w:val="1EC73863"/>
    <w:rsid w:val="1EFC175F"/>
    <w:rsid w:val="1FDB5818"/>
    <w:rsid w:val="2002772A"/>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70E5FB0"/>
    <w:rsid w:val="27EA7B3E"/>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9D7E25"/>
    <w:rsid w:val="2BE76212"/>
    <w:rsid w:val="2C046D45"/>
    <w:rsid w:val="2C09185D"/>
    <w:rsid w:val="2C0F7531"/>
    <w:rsid w:val="2C7A0167"/>
    <w:rsid w:val="2C8F33BD"/>
    <w:rsid w:val="2C8F54B1"/>
    <w:rsid w:val="2D03015C"/>
    <w:rsid w:val="2D5662C8"/>
    <w:rsid w:val="2DF56335"/>
    <w:rsid w:val="2DF9286A"/>
    <w:rsid w:val="2ED6443A"/>
    <w:rsid w:val="2EE138F7"/>
    <w:rsid w:val="2F0C4BE3"/>
    <w:rsid w:val="2F2B5748"/>
    <w:rsid w:val="2F377CAB"/>
    <w:rsid w:val="2F4D1ED1"/>
    <w:rsid w:val="2F5C1DA5"/>
    <w:rsid w:val="2FCB61DD"/>
    <w:rsid w:val="2FE34275"/>
    <w:rsid w:val="30952D41"/>
    <w:rsid w:val="30DD0CC4"/>
    <w:rsid w:val="30E271B6"/>
    <w:rsid w:val="31397F4B"/>
    <w:rsid w:val="31541DBA"/>
    <w:rsid w:val="315471D8"/>
    <w:rsid w:val="317070E4"/>
    <w:rsid w:val="31775428"/>
    <w:rsid w:val="318F7220"/>
    <w:rsid w:val="31903F88"/>
    <w:rsid w:val="31B63FAB"/>
    <w:rsid w:val="31D25FD2"/>
    <w:rsid w:val="31D65E3F"/>
    <w:rsid w:val="31EB672C"/>
    <w:rsid w:val="31F02617"/>
    <w:rsid w:val="329A6E6D"/>
    <w:rsid w:val="32DC4272"/>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A70C8"/>
    <w:rsid w:val="36AF7935"/>
    <w:rsid w:val="36B928EF"/>
    <w:rsid w:val="36C8026D"/>
    <w:rsid w:val="36D901FE"/>
    <w:rsid w:val="37164F30"/>
    <w:rsid w:val="37215DAE"/>
    <w:rsid w:val="372B7BCD"/>
    <w:rsid w:val="376728C4"/>
    <w:rsid w:val="376E08C8"/>
    <w:rsid w:val="379067CC"/>
    <w:rsid w:val="37F60FE9"/>
    <w:rsid w:val="38021539"/>
    <w:rsid w:val="380A28CA"/>
    <w:rsid w:val="383A2C56"/>
    <w:rsid w:val="38463F61"/>
    <w:rsid w:val="38514471"/>
    <w:rsid w:val="388C6E04"/>
    <w:rsid w:val="389A5030"/>
    <w:rsid w:val="38A327F3"/>
    <w:rsid w:val="38E250CA"/>
    <w:rsid w:val="39AA5B2A"/>
    <w:rsid w:val="39B95231"/>
    <w:rsid w:val="39E7313A"/>
    <w:rsid w:val="39EC1C54"/>
    <w:rsid w:val="3A1F19CA"/>
    <w:rsid w:val="3A2F206E"/>
    <w:rsid w:val="3A8B731D"/>
    <w:rsid w:val="3A946897"/>
    <w:rsid w:val="3A9B7C32"/>
    <w:rsid w:val="3AAE4F93"/>
    <w:rsid w:val="3ACB48BB"/>
    <w:rsid w:val="3AD25272"/>
    <w:rsid w:val="3AD43032"/>
    <w:rsid w:val="3AFC6ED7"/>
    <w:rsid w:val="3B0112DE"/>
    <w:rsid w:val="3B282FD3"/>
    <w:rsid w:val="3B2C21FC"/>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2B55A8"/>
    <w:rsid w:val="403A4B1E"/>
    <w:rsid w:val="40516350"/>
    <w:rsid w:val="4081490E"/>
    <w:rsid w:val="408F79A5"/>
    <w:rsid w:val="40A972A7"/>
    <w:rsid w:val="40B17223"/>
    <w:rsid w:val="40C96B6F"/>
    <w:rsid w:val="4113146D"/>
    <w:rsid w:val="41B62723"/>
    <w:rsid w:val="41C474D0"/>
    <w:rsid w:val="41C8474B"/>
    <w:rsid w:val="41CD47B2"/>
    <w:rsid w:val="423B584A"/>
    <w:rsid w:val="43166C1A"/>
    <w:rsid w:val="43291B47"/>
    <w:rsid w:val="432F247C"/>
    <w:rsid w:val="43625A2A"/>
    <w:rsid w:val="43652AF6"/>
    <w:rsid w:val="437F06E0"/>
    <w:rsid w:val="43C31F9B"/>
    <w:rsid w:val="43D14C90"/>
    <w:rsid w:val="43F25407"/>
    <w:rsid w:val="44093E52"/>
    <w:rsid w:val="44475071"/>
    <w:rsid w:val="445E3AFF"/>
    <w:rsid w:val="44612E7B"/>
    <w:rsid w:val="44753B35"/>
    <w:rsid w:val="448160DE"/>
    <w:rsid w:val="4490793F"/>
    <w:rsid w:val="44A571E8"/>
    <w:rsid w:val="44B74BAE"/>
    <w:rsid w:val="45343151"/>
    <w:rsid w:val="4562490D"/>
    <w:rsid w:val="456F5F37"/>
    <w:rsid w:val="45BE1410"/>
    <w:rsid w:val="45C049E4"/>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982EAF"/>
    <w:rsid w:val="47CA38F8"/>
    <w:rsid w:val="47DF7D9E"/>
    <w:rsid w:val="481B63B6"/>
    <w:rsid w:val="487550B7"/>
    <w:rsid w:val="48B40105"/>
    <w:rsid w:val="48BA78DE"/>
    <w:rsid w:val="48C20A74"/>
    <w:rsid w:val="48D569F9"/>
    <w:rsid w:val="48D83D6A"/>
    <w:rsid w:val="48F202EF"/>
    <w:rsid w:val="49747127"/>
    <w:rsid w:val="49B35FD2"/>
    <w:rsid w:val="49B45B0A"/>
    <w:rsid w:val="49BF4D9E"/>
    <w:rsid w:val="49D337CF"/>
    <w:rsid w:val="4A2319E6"/>
    <w:rsid w:val="4A3835D3"/>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6A2190"/>
    <w:rsid w:val="4DBA72D7"/>
    <w:rsid w:val="4DBD57AB"/>
    <w:rsid w:val="4E471E75"/>
    <w:rsid w:val="4E64507F"/>
    <w:rsid w:val="4E8D3684"/>
    <w:rsid w:val="4E957926"/>
    <w:rsid w:val="4F1E7270"/>
    <w:rsid w:val="4F224D8D"/>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D516CD"/>
    <w:rsid w:val="54E720BB"/>
    <w:rsid w:val="551B4A12"/>
    <w:rsid w:val="5588094F"/>
    <w:rsid w:val="558A2919"/>
    <w:rsid w:val="55D752C5"/>
    <w:rsid w:val="5634588C"/>
    <w:rsid w:val="5655539C"/>
    <w:rsid w:val="56615E0C"/>
    <w:rsid w:val="567846EC"/>
    <w:rsid w:val="56854554"/>
    <w:rsid w:val="56AC0B61"/>
    <w:rsid w:val="56B45E9F"/>
    <w:rsid w:val="5714693E"/>
    <w:rsid w:val="57272B15"/>
    <w:rsid w:val="575C16B2"/>
    <w:rsid w:val="57966F2A"/>
    <w:rsid w:val="57AA5EFE"/>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A112DD4"/>
    <w:rsid w:val="5A2636EE"/>
    <w:rsid w:val="5A4A24F3"/>
    <w:rsid w:val="5A5B1C29"/>
    <w:rsid w:val="5A7F2300"/>
    <w:rsid w:val="5AED49A0"/>
    <w:rsid w:val="5B92709A"/>
    <w:rsid w:val="5BDA5CF3"/>
    <w:rsid w:val="5BFE0297"/>
    <w:rsid w:val="5C161EDE"/>
    <w:rsid w:val="5C207B33"/>
    <w:rsid w:val="5C880D1C"/>
    <w:rsid w:val="5CA91A5D"/>
    <w:rsid w:val="5D04082A"/>
    <w:rsid w:val="5D2914FD"/>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5FC03AA5"/>
    <w:rsid w:val="600414DC"/>
    <w:rsid w:val="603319A6"/>
    <w:rsid w:val="605F1472"/>
    <w:rsid w:val="60A12843"/>
    <w:rsid w:val="60BA744E"/>
    <w:rsid w:val="60BB23FA"/>
    <w:rsid w:val="60FB49D2"/>
    <w:rsid w:val="6138147B"/>
    <w:rsid w:val="618164DD"/>
    <w:rsid w:val="61BF25D2"/>
    <w:rsid w:val="61D474C9"/>
    <w:rsid w:val="61F77A0A"/>
    <w:rsid w:val="62950A8E"/>
    <w:rsid w:val="629774D1"/>
    <w:rsid w:val="62B339C2"/>
    <w:rsid w:val="62BE64F4"/>
    <w:rsid w:val="62C9714A"/>
    <w:rsid w:val="635A48B1"/>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981F36"/>
    <w:rsid w:val="70B30B1E"/>
    <w:rsid w:val="70D07922"/>
    <w:rsid w:val="70E14841"/>
    <w:rsid w:val="7113156F"/>
    <w:rsid w:val="713A123F"/>
    <w:rsid w:val="718524BB"/>
    <w:rsid w:val="718631F8"/>
    <w:rsid w:val="71CE1DE8"/>
    <w:rsid w:val="71E60A7F"/>
    <w:rsid w:val="72A11576"/>
    <w:rsid w:val="72B56CCB"/>
    <w:rsid w:val="72D46929"/>
    <w:rsid w:val="72D57472"/>
    <w:rsid w:val="72D729DB"/>
    <w:rsid w:val="72EC0317"/>
    <w:rsid w:val="73353469"/>
    <w:rsid w:val="73644117"/>
    <w:rsid w:val="736D3FC9"/>
    <w:rsid w:val="73B1065D"/>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D7226C"/>
    <w:rsid w:val="76332FB4"/>
    <w:rsid w:val="763C3364"/>
    <w:rsid w:val="763E5F57"/>
    <w:rsid w:val="76740D50"/>
    <w:rsid w:val="769C1001"/>
    <w:rsid w:val="76D8244A"/>
    <w:rsid w:val="76EB38E3"/>
    <w:rsid w:val="775547B2"/>
    <w:rsid w:val="777404D2"/>
    <w:rsid w:val="77AD4519"/>
    <w:rsid w:val="77F35CA4"/>
    <w:rsid w:val="781D7C27"/>
    <w:rsid w:val="782E39BA"/>
    <w:rsid w:val="7875145D"/>
    <w:rsid w:val="788809AD"/>
    <w:rsid w:val="78A23E67"/>
    <w:rsid w:val="78AF7473"/>
    <w:rsid w:val="78BB3CBA"/>
    <w:rsid w:val="79291DBD"/>
    <w:rsid w:val="79463D2A"/>
    <w:rsid w:val="79584959"/>
    <w:rsid w:val="796E3278"/>
    <w:rsid w:val="7984574E"/>
    <w:rsid w:val="79B80DE0"/>
    <w:rsid w:val="79DE3E99"/>
    <w:rsid w:val="7A574C10"/>
    <w:rsid w:val="7A7F1A71"/>
    <w:rsid w:val="7AAC0AB8"/>
    <w:rsid w:val="7AAF2356"/>
    <w:rsid w:val="7AC901A9"/>
    <w:rsid w:val="7AD06AA1"/>
    <w:rsid w:val="7AEF4E49"/>
    <w:rsid w:val="7B011F41"/>
    <w:rsid w:val="7B0C59FB"/>
    <w:rsid w:val="7B101CDA"/>
    <w:rsid w:val="7B587A97"/>
    <w:rsid w:val="7B7209AE"/>
    <w:rsid w:val="7BD644A9"/>
    <w:rsid w:val="7C0F1417"/>
    <w:rsid w:val="7C162517"/>
    <w:rsid w:val="7C2D3A49"/>
    <w:rsid w:val="7C5950EA"/>
    <w:rsid w:val="7D657644"/>
    <w:rsid w:val="7D670C49"/>
    <w:rsid w:val="7D9A5540"/>
    <w:rsid w:val="7DA16686"/>
    <w:rsid w:val="7DB40352"/>
    <w:rsid w:val="7DF67493"/>
    <w:rsid w:val="7E3B4056"/>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unhideWhenUsed/>
    <w:qFormat/>
    <w:uiPriority w:val="9"/>
    <w:pPr>
      <w:keepNext/>
      <w:keepLines/>
      <w:outlineLvl w:val="2"/>
    </w:pPr>
    <w:rPr>
      <w:b/>
      <w:bCs/>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9"/>
    <w:unhideWhenUsed/>
    <w:qFormat/>
    <w:uiPriority w:val="99"/>
    <w:pPr>
      <w:jc w:val="left"/>
    </w:pPr>
  </w:style>
  <w:style w:type="paragraph" w:styleId="10">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qFormat/>
    <w:uiPriority w:val="99"/>
    <w:rPr>
      <w:szCs w:val="21"/>
    </w:rPr>
  </w:style>
  <w:style w:type="paragraph" w:styleId="12">
    <w:name w:val="Body Text Indent"/>
    <w:basedOn w:val="1"/>
    <w:link w:val="49"/>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hAnsi="宋体"/>
      <w:b/>
      <w:bCs/>
    </w:rPr>
  </w:style>
  <w:style w:type="paragraph" w:styleId="18">
    <w:name w:val="toc 2"/>
    <w:basedOn w:val="1"/>
    <w:next w:val="1"/>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9"/>
    <w:next w:val="9"/>
    <w:link w:val="40"/>
    <w:semiHidden/>
    <w:unhideWhenUsed/>
    <w:qFormat/>
    <w:uiPriority w:val="99"/>
    <w:rPr>
      <w:b/>
      <w:bCs/>
    </w:rPr>
  </w:style>
  <w:style w:type="paragraph" w:styleId="23">
    <w:name w:val="Body Text First Indent 2"/>
    <w:basedOn w:val="12"/>
    <w:link w:val="50"/>
    <w:unhideWhenUsed/>
    <w:qFormat/>
    <w:uiPriority w:val="0"/>
    <w:pPr>
      <w:spacing w:after="120"/>
      <w:ind w:left="420" w:firstLine="42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character" w:customStyle="1" w:styleId="32">
    <w:name w:val="页眉 字符"/>
    <w:basedOn w:val="26"/>
    <w:link w:val="16"/>
    <w:qFormat/>
    <w:uiPriority w:val="99"/>
    <w:rPr>
      <w:sz w:val="18"/>
      <w:szCs w:val="18"/>
    </w:rPr>
  </w:style>
  <w:style w:type="character" w:customStyle="1" w:styleId="33">
    <w:name w:val="页脚 字符"/>
    <w:basedOn w:val="26"/>
    <w:link w:val="15"/>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qFormat/>
    <w:uiPriority w:val="9"/>
    <w:rPr>
      <w:rFonts w:ascii="黑体" w:hAnsi="黑体" w:eastAsia="黑体"/>
      <w:b/>
      <w:bCs/>
      <w:kern w:val="44"/>
      <w:sz w:val="32"/>
      <w:szCs w:val="44"/>
    </w:rPr>
  </w:style>
  <w:style w:type="character" w:customStyle="1" w:styleId="36">
    <w:name w:val="标题 2 字符"/>
    <w:basedOn w:val="26"/>
    <w:link w:val="3"/>
    <w:qFormat/>
    <w:uiPriority w:val="9"/>
    <w:rPr>
      <w:rFonts w:ascii="楷体" w:hAnsi="楷体" w:eastAsia="楷体" w:cstheme="majorBidi"/>
      <w:b/>
      <w:bCs/>
      <w:sz w:val="32"/>
      <w:szCs w:val="32"/>
    </w:rPr>
  </w:style>
  <w:style w:type="character" w:customStyle="1" w:styleId="37">
    <w:name w:val="标题 3 字符"/>
    <w:basedOn w:val="26"/>
    <w:link w:val="4"/>
    <w:qFormat/>
    <w:uiPriority w:val="9"/>
    <w:rPr>
      <w:rFonts w:ascii="仿宋_GB2312" w:hAnsi="仿宋_GB2312" w:eastAsia="仿宋_GB2312"/>
      <w:b/>
      <w:bCs/>
      <w:sz w:val="28"/>
      <w:szCs w:val="32"/>
    </w:rPr>
  </w:style>
  <w:style w:type="character" w:customStyle="1" w:styleId="38">
    <w:name w:val="font01"/>
    <w:basedOn w:val="26"/>
    <w:qFormat/>
    <w:uiPriority w:val="0"/>
    <w:rPr>
      <w:rFonts w:hint="eastAsia" w:ascii="宋体" w:hAnsi="宋体" w:eastAsia="宋体" w:cs="宋体"/>
      <w:color w:val="000000"/>
      <w:sz w:val="21"/>
      <w:szCs w:val="21"/>
      <w:u w:val="none"/>
    </w:rPr>
  </w:style>
  <w:style w:type="character" w:customStyle="1" w:styleId="39">
    <w:name w:val="批注文字 字符"/>
    <w:basedOn w:val="26"/>
    <w:link w:val="9"/>
    <w:qFormat/>
    <w:uiPriority w:val="99"/>
    <w:rPr>
      <w:rFonts w:ascii="仿宋_GB2312" w:hAnsi="仿宋_GB2312" w:eastAsia="仿宋_GB2312" w:cstheme="minorBidi"/>
      <w:kern w:val="2"/>
      <w:sz w:val="28"/>
      <w:szCs w:val="22"/>
    </w:rPr>
  </w:style>
  <w:style w:type="character" w:customStyle="1" w:styleId="40">
    <w:name w:val="批注主题 字符"/>
    <w:basedOn w:val="39"/>
    <w:link w:val="22"/>
    <w:semiHidden/>
    <w:qFormat/>
    <w:uiPriority w:val="99"/>
    <w:rPr>
      <w:rFonts w:ascii="仿宋_GB2312" w:hAnsi="仿宋_GB2312" w:eastAsia="仿宋_GB2312" w:cstheme="minorBidi"/>
      <w:b/>
      <w:bCs/>
      <w:kern w:val="2"/>
      <w:sz w:val="28"/>
      <w:szCs w:val="22"/>
    </w:rPr>
  </w:style>
  <w:style w:type="paragraph" w:customStyle="1" w:styleId="41">
    <w:name w:val="NormalIndent"/>
    <w:basedOn w:val="1"/>
    <w:qFormat/>
    <w:uiPriority w:val="99"/>
    <w:pPr>
      <w:ind w:firstLine="420"/>
      <w:textAlignment w:val="baseline"/>
    </w:pPr>
    <w:rPr>
      <w:szCs w:val="21"/>
    </w:rPr>
  </w:style>
  <w:style w:type="character" w:customStyle="1" w:styleId="42">
    <w:name w:val="content1"/>
    <w:basedOn w:val="26"/>
    <w:qFormat/>
    <w:uiPriority w:val="0"/>
    <w:rPr>
      <w:rFonts w:hint="default"/>
      <w:sz w:val="21"/>
    </w:rPr>
  </w:style>
  <w:style w:type="paragraph" w:customStyle="1" w:styleId="43">
    <w:name w:val="Char2"/>
    <w:basedOn w:val="1"/>
    <w:qFormat/>
    <w:uiPriority w:val="0"/>
    <w:rPr>
      <w:rFonts w:ascii="Courier" w:hAnsi="Courier" w:cs="Courier"/>
      <w:szCs w:val="21"/>
    </w:rPr>
  </w:style>
  <w:style w:type="character" w:customStyle="1" w:styleId="44">
    <w:name w:val="NormalCharacter"/>
    <w:semiHidden/>
    <w:qFormat/>
    <w:uiPriority w:val="0"/>
  </w:style>
  <w:style w:type="paragraph" w:customStyle="1" w:styleId="45">
    <w:name w:val="Normal Indent1"/>
    <w:basedOn w:val="1"/>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qFormat/>
    <w:uiPriority w:val="0"/>
    <w:pPr>
      <w:ind w:left="420" w:leftChars="200" w:firstLine="420" w:firstLineChars="200"/>
    </w:pPr>
  </w:style>
  <w:style w:type="character" w:customStyle="1" w:styleId="52">
    <w:name w:val="font41"/>
    <w:basedOn w:val="26"/>
    <w:qFormat/>
    <w:uiPriority w:val="0"/>
    <w:rPr>
      <w:rFonts w:hint="eastAsia" w:ascii="仿宋_GB2312" w:eastAsia="仿宋_GB2312" w:cs="仿宋_GB2312"/>
      <w:b/>
      <w:bCs/>
      <w:color w:val="000000"/>
      <w:sz w:val="24"/>
      <w:szCs w:val="24"/>
      <w:u w:val="none"/>
    </w:rPr>
  </w:style>
  <w:style w:type="character" w:customStyle="1" w:styleId="53">
    <w:name w:val="font31"/>
    <w:basedOn w:val="26"/>
    <w:qFormat/>
    <w:uiPriority w:val="0"/>
    <w:rPr>
      <w:rFonts w:hint="eastAsia" w:ascii="仿宋_GB2312" w:eastAsia="仿宋_GB2312" w:cs="仿宋_GB2312"/>
      <w:color w:val="000000"/>
      <w:sz w:val="24"/>
      <w:szCs w:val="24"/>
      <w:u w:val="none"/>
    </w:rPr>
  </w:style>
  <w:style w:type="character" w:customStyle="1" w:styleId="54">
    <w:name w:val="font21"/>
    <w:basedOn w:val="26"/>
    <w:qFormat/>
    <w:uiPriority w:val="0"/>
    <w:rPr>
      <w:rFonts w:hint="eastAsia" w:ascii="仿宋_GB2312" w:eastAsia="仿宋_GB2312" w:cs="仿宋_GB2312"/>
      <w:b/>
      <w:bCs/>
      <w:color w:val="000000"/>
      <w:sz w:val="24"/>
      <w:szCs w:val="24"/>
      <w:u w:val="none"/>
    </w:rPr>
  </w:style>
  <w:style w:type="paragraph" w:customStyle="1" w:styleId="55">
    <w:name w:val="列出段落1"/>
    <w:basedOn w:val="1"/>
    <w:qFormat/>
    <w:uiPriority w:val="0"/>
    <w:pPr>
      <w:ind w:firstLine="420" w:firstLineChars="200"/>
    </w:pPr>
    <w:rPr>
      <w:rFonts w:ascii="Calibri" w:hAnsi="Calibri" w:eastAsia="宋体" w:cs="Times New Roman"/>
    </w:rPr>
  </w:style>
  <w:style w:type="table" w:customStyle="1" w:styleId="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0</TotalTime>
  <ScaleCrop>false</ScaleCrop>
  <LinksUpToDate>false</LinksUpToDate>
  <CharactersWithSpaces>13650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MQFY</cp:lastModifiedBy>
  <cp:lastPrinted>2024-08-08T07:58:00Z</cp:lastPrinted>
  <dcterms:modified xsi:type="dcterms:W3CDTF">2024-08-22T02:09:57Z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C5FC7A3E3DAD43A0B5676C10FE5BD867_13</vt:lpwstr>
  </property>
</Properties>
</file>