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4D3D7">
      <w:pPr>
        <w:spacing w:before="100" w:beforeLines="0" w:after="100" w:afterLines="0"/>
        <w:jc w:val="center"/>
        <w:rPr>
          <w:rFonts w:hint="eastAsia" w:ascii="宋体" w:hAnsi="宋体"/>
          <w:sz w:val="24"/>
          <w:szCs w:val="24"/>
          <w:lang w:val="zh-CN"/>
        </w:rPr>
      </w:pPr>
    </w:p>
    <w:p w14:paraId="4EE2F7FD">
      <w:pPr>
        <w:spacing w:before="100" w:beforeLines="0" w:after="100" w:afterLines="0"/>
        <w:jc w:val="center"/>
        <w:rPr>
          <w:rFonts w:hint="eastAsia" w:ascii="宋体" w:hAnsi="宋体"/>
          <w:sz w:val="24"/>
          <w:szCs w:val="24"/>
          <w:lang w:val="zh-CN"/>
        </w:rPr>
      </w:pPr>
    </w:p>
    <w:p w14:paraId="536984B8">
      <w:pPr>
        <w:spacing w:before="100" w:beforeLines="0" w:after="100" w:afterLines="0"/>
        <w:jc w:val="center"/>
        <w:rPr>
          <w:rFonts w:hint="eastAsia" w:ascii="宋体" w:hAnsi="宋体"/>
          <w:sz w:val="24"/>
          <w:szCs w:val="24"/>
          <w:lang w:val="zh-CN"/>
        </w:rPr>
      </w:pPr>
    </w:p>
    <w:p w14:paraId="2EEAC6BA">
      <w:pPr>
        <w:spacing w:before="100" w:beforeLines="0" w:after="100" w:afterLines="0"/>
        <w:jc w:val="center"/>
        <w:rPr>
          <w:rFonts w:hint="eastAsia" w:ascii="宋体" w:hAnsi="宋体"/>
          <w:sz w:val="24"/>
          <w:szCs w:val="24"/>
          <w:lang w:val="zh-CN"/>
        </w:rPr>
      </w:pPr>
    </w:p>
    <w:p w14:paraId="62EE8CF1">
      <w:pPr>
        <w:spacing w:before="100" w:beforeLines="0" w:after="100" w:afterLines="0"/>
        <w:jc w:val="center"/>
        <w:rPr>
          <w:rFonts w:hint="eastAsia" w:ascii="宋体" w:hAnsi="宋体"/>
          <w:sz w:val="24"/>
          <w:szCs w:val="24"/>
          <w:lang w:val="zh-CN"/>
        </w:rPr>
      </w:pPr>
    </w:p>
    <w:p w14:paraId="57D92595">
      <w:pPr>
        <w:spacing w:before="100" w:beforeLines="0" w:after="100" w:afterLines="0"/>
        <w:jc w:val="center"/>
        <w:rPr>
          <w:rFonts w:hint="eastAsia" w:ascii="宋体" w:hAnsi="宋体"/>
          <w:sz w:val="24"/>
          <w:szCs w:val="24"/>
          <w:lang w:val="zh-CN"/>
        </w:rPr>
      </w:pPr>
    </w:p>
    <w:p w14:paraId="4BE02D1A">
      <w:pPr>
        <w:spacing w:before="100" w:beforeLines="0" w:after="100" w:afterLines="0"/>
        <w:jc w:val="center"/>
        <w:rPr>
          <w:rFonts w:hint="eastAsia" w:ascii="宋体" w:hAnsi="宋体"/>
          <w:sz w:val="24"/>
          <w:szCs w:val="24"/>
          <w:lang w:val="zh-CN"/>
        </w:rPr>
      </w:pPr>
    </w:p>
    <w:p w14:paraId="561D7547">
      <w:pPr>
        <w:spacing w:before="100" w:beforeLines="0" w:after="100" w:afterLines="0"/>
        <w:jc w:val="center"/>
        <w:rPr>
          <w:rFonts w:hint="eastAsia" w:ascii="宋体" w:hAnsi="宋体"/>
          <w:sz w:val="24"/>
          <w:szCs w:val="24"/>
          <w:lang w:val="zh-CN"/>
        </w:rPr>
      </w:pPr>
    </w:p>
    <w:p w14:paraId="3D14368E">
      <w:pPr>
        <w:spacing w:before="100" w:beforeLines="0" w:after="100" w:afterLines="0"/>
        <w:jc w:val="center"/>
        <w:rPr>
          <w:rFonts w:hint="eastAsia" w:ascii="宋体" w:hAnsi="宋体"/>
          <w:sz w:val="24"/>
          <w:szCs w:val="24"/>
          <w:lang w:val="zh-CN"/>
        </w:rPr>
      </w:pPr>
    </w:p>
    <w:p w14:paraId="4E48B47F">
      <w:pPr>
        <w:spacing w:before="100" w:beforeLines="0" w:after="100" w:afterLines="0"/>
        <w:jc w:val="center"/>
        <w:rPr>
          <w:rFonts w:hint="eastAsia" w:ascii="宋体" w:hAnsi="宋体"/>
          <w:sz w:val="24"/>
          <w:szCs w:val="24"/>
          <w:lang w:val="zh-CN"/>
        </w:rPr>
      </w:pPr>
    </w:p>
    <w:p w14:paraId="25AB4EF4">
      <w:pPr>
        <w:spacing w:before="100" w:beforeLines="0" w:after="100" w:afterLines="0"/>
        <w:jc w:val="center"/>
        <w:rPr>
          <w:rFonts w:hint="eastAsia" w:ascii="宋体" w:hAnsi="宋体"/>
          <w:sz w:val="24"/>
          <w:szCs w:val="24"/>
          <w:lang w:val="zh-CN"/>
        </w:rPr>
      </w:pPr>
    </w:p>
    <w:p w14:paraId="0A536099">
      <w:pPr>
        <w:spacing w:before="100" w:beforeLines="0" w:after="100" w:afterLines="0"/>
        <w:jc w:val="center"/>
        <w:rPr>
          <w:rFonts w:hint="eastAsia" w:ascii="宋体" w:hAnsi="宋体"/>
          <w:sz w:val="24"/>
          <w:szCs w:val="24"/>
          <w:lang w:val="zh-CN"/>
        </w:rPr>
      </w:pPr>
    </w:p>
    <w:p w14:paraId="6A534997">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51BDA331">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甘肃省碌曲县人民法院部门决算</w:t>
      </w:r>
    </w:p>
    <w:p w14:paraId="409F33BA">
      <w:pPr>
        <w:spacing w:before="100" w:beforeLines="0" w:after="100" w:afterLines="0"/>
        <w:jc w:val="center"/>
        <w:rPr>
          <w:rFonts w:hint="eastAsia" w:ascii="宋体" w:hAnsi="宋体"/>
          <w:sz w:val="24"/>
          <w:szCs w:val="24"/>
          <w:lang w:val="zh-CN"/>
        </w:rPr>
      </w:pPr>
    </w:p>
    <w:p w14:paraId="5E5FC3C0">
      <w:pPr>
        <w:spacing w:before="100" w:beforeLines="0" w:after="100" w:afterLines="0"/>
        <w:jc w:val="center"/>
        <w:rPr>
          <w:rFonts w:hint="eastAsia" w:ascii="宋体" w:hAnsi="宋体"/>
          <w:sz w:val="24"/>
          <w:szCs w:val="24"/>
          <w:lang w:val="zh-CN"/>
        </w:rPr>
      </w:pPr>
    </w:p>
    <w:p w14:paraId="6BC00A1F">
      <w:pPr>
        <w:spacing w:before="100" w:beforeLines="0" w:after="100" w:afterLines="0"/>
        <w:jc w:val="center"/>
        <w:rPr>
          <w:rFonts w:hint="eastAsia" w:ascii="宋体" w:hAnsi="宋体"/>
          <w:sz w:val="24"/>
          <w:szCs w:val="24"/>
          <w:lang w:val="zh-CN"/>
        </w:rPr>
      </w:pPr>
    </w:p>
    <w:p w14:paraId="2E06CF4F">
      <w:pPr>
        <w:spacing w:before="100" w:beforeLines="0" w:after="100" w:afterLines="0"/>
        <w:jc w:val="center"/>
        <w:rPr>
          <w:rFonts w:hint="eastAsia" w:ascii="宋体" w:hAnsi="宋体"/>
          <w:sz w:val="24"/>
          <w:szCs w:val="24"/>
          <w:lang w:val="zh-CN"/>
        </w:rPr>
      </w:pPr>
    </w:p>
    <w:p w14:paraId="4D89CE23">
      <w:pPr>
        <w:spacing w:before="100" w:beforeLines="0" w:after="100" w:afterLines="0"/>
        <w:jc w:val="center"/>
        <w:rPr>
          <w:rFonts w:hint="eastAsia" w:ascii="宋体" w:hAnsi="宋体"/>
          <w:sz w:val="24"/>
          <w:szCs w:val="24"/>
          <w:lang w:val="zh-CN"/>
        </w:rPr>
      </w:pPr>
    </w:p>
    <w:p w14:paraId="7485FF4E">
      <w:pPr>
        <w:spacing w:before="100" w:beforeLines="0" w:after="100" w:afterLines="0"/>
        <w:jc w:val="center"/>
        <w:rPr>
          <w:rFonts w:hint="eastAsia" w:ascii="宋体" w:hAnsi="宋体"/>
          <w:sz w:val="24"/>
          <w:szCs w:val="24"/>
          <w:lang w:val="zh-CN"/>
        </w:rPr>
      </w:pPr>
    </w:p>
    <w:p w14:paraId="3416D637">
      <w:pPr>
        <w:spacing w:before="100" w:beforeLines="0" w:after="100" w:afterLines="0"/>
        <w:jc w:val="center"/>
        <w:rPr>
          <w:rFonts w:hint="eastAsia" w:ascii="宋体" w:hAnsi="宋体"/>
          <w:sz w:val="24"/>
          <w:szCs w:val="24"/>
          <w:lang w:val="zh-CN"/>
        </w:rPr>
      </w:pPr>
    </w:p>
    <w:p w14:paraId="111BA23D">
      <w:pPr>
        <w:spacing w:before="100" w:beforeLines="0" w:after="100" w:afterLines="0"/>
        <w:jc w:val="center"/>
        <w:rPr>
          <w:rFonts w:hint="eastAsia" w:ascii="宋体" w:hAnsi="宋体"/>
          <w:sz w:val="24"/>
          <w:szCs w:val="24"/>
          <w:lang w:val="zh-CN"/>
        </w:rPr>
      </w:pPr>
    </w:p>
    <w:p w14:paraId="4D4554CA">
      <w:pPr>
        <w:spacing w:before="100" w:beforeLines="0" w:after="100" w:afterLines="0"/>
        <w:jc w:val="center"/>
        <w:rPr>
          <w:rFonts w:hint="eastAsia" w:ascii="宋体" w:hAnsi="宋体"/>
          <w:sz w:val="24"/>
          <w:szCs w:val="24"/>
          <w:lang w:val="zh-CN"/>
        </w:rPr>
      </w:pPr>
    </w:p>
    <w:p w14:paraId="0BF151FF">
      <w:pPr>
        <w:spacing w:before="100" w:beforeLines="0" w:after="100" w:afterLines="0"/>
        <w:jc w:val="center"/>
        <w:rPr>
          <w:rFonts w:hint="eastAsia" w:ascii="宋体" w:hAnsi="宋体"/>
          <w:sz w:val="24"/>
          <w:szCs w:val="24"/>
          <w:lang w:val="zh-CN"/>
        </w:rPr>
      </w:pPr>
    </w:p>
    <w:p w14:paraId="541CBE67">
      <w:pPr>
        <w:spacing w:before="100" w:beforeLines="0" w:after="100" w:afterLines="0"/>
        <w:jc w:val="center"/>
        <w:rPr>
          <w:rFonts w:hint="eastAsia" w:ascii="宋体" w:hAnsi="宋体"/>
          <w:sz w:val="24"/>
          <w:szCs w:val="24"/>
          <w:lang w:val="zh-CN"/>
        </w:rPr>
      </w:pPr>
    </w:p>
    <w:p w14:paraId="6E37CF86">
      <w:pPr>
        <w:spacing w:before="100" w:beforeLines="0" w:after="100" w:afterLines="0"/>
        <w:jc w:val="center"/>
        <w:rPr>
          <w:rFonts w:hint="eastAsia" w:ascii="宋体" w:hAnsi="宋体"/>
          <w:sz w:val="24"/>
          <w:szCs w:val="24"/>
          <w:lang w:val="zh-CN"/>
        </w:rPr>
      </w:pPr>
    </w:p>
    <w:p w14:paraId="2B9F2AFF">
      <w:pPr>
        <w:spacing w:before="100" w:beforeLines="0" w:after="100" w:afterLines="0"/>
        <w:jc w:val="center"/>
        <w:rPr>
          <w:rFonts w:hint="eastAsia" w:ascii="宋体" w:hAnsi="宋体"/>
          <w:sz w:val="24"/>
          <w:szCs w:val="24"/>
          <w:lang w:val="zh-CN"/>
        </w:rPr>
      </w:pPr>
    </w:p>
    <w:p w14:paraId="7C10A30A">
      <w:pPr>
        <w:spacing w:before="100" w:beforeLines="0" w:after="100" w:afterLines="0"/>
        <w:jc w:val="center"/>
        <w:rPr>
          <w:rFonts w:hint="eastAsia" w:ascii="宋体" w:hAnsi="宋体"/>
          <w:sz w:val="24"/>
          <w:szCs w:val="24"/>
          <w:lang w:val="zh-CN"/>
        </w:rPr>
      </w:pPr>
    </w:p>
    <w:p w14:paraId="09B113AB">
      <w:pPr>
        <w:spacing w:before="100" w:beforeLines="0" w:after="100" w:afterLines="0"/>
        <w:jc w:val="center"/>
        <w:rPr>
          <w:rFonts w:hint="eastAsia" w:ascii="宋体" w:hAnsi="宋体"/>
          <w:sz w:val="24"/>
          <w:szCs w:val="24"/>
          <w:lang w:val="zh-CN"/>
        </w:rPr>
      </w:pPr>
    </w:p>
    <w:p w14:paraId="40D04C28">
      <w:pPr>
        <w:spacing w:before="100" w:beforeLines="0" w:after="100" w:afterLines="0"/>
        <w:jc w:val="center"/>
        <w:rPr>
          <w:rFonts w:hint="eastAsia" w:ascii="宋体" w:hAnsi="宋体"/>
          <w:sz w:val="24"/>
          <w:szCs w:val="24"/>
          <w:lang w:val="zh-CN"/>
        </w:rPr>
      </w:pPr>
    </w:p>
    <w:p w14:paraId="0A6ECB64">
      <w:pPr>
        <w:spacing w:before="100" w:beforeLines="0" w:after="100" w:afterLines="0"/>
        <w:jc w:val="center"/>
        <w:rPr>
          <w:rFonts w:hint="eastAsia" w:ascii="宋体" w:hAnsi="宋体"/>
          <w:sz w:val="24"/>
          <w:szCs w:val="24"/>
          <w:lang w:val="zh-CN"/>
        </w:rPr>
      </w:pPr>
    </w:p>
    <w:p w14:paraId="7F32D202">
      <w:pPr>
        <w:spacing w:before="100" w:beforeLines="0" w:after="100" w:afterLines="0"/>
        <w:jc w:val="center"/>
        <w:rPr>
          <w:rFonts w:hint="eastAsia" w:ascii="宋体" w:hAnsi="宋体"/>
          <w:sz w:val="24"/>
          <w:szCs w:val="24"/>
          <w:lang w:val="zh-CN"/>
        </w:rPr>
      </w:pPr>
    </w:p>
    <w:p w14:paraId="5BA440BD">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4C152CD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1C71675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ECCE50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33631FE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542674F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3F7E950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76EE827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0A6DC8F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7924BD2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5999A89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09DD9F4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7B5B664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78C49A3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0F1A05D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65F4196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1CCD863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5870FCE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5492947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32DD6A0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701726F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1F30FD55">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6332440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3993B8F6">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bookmarkStart w:id="0" w:name="_GoBack"/>
      <w:bookmarkEnd w:id="0"/>
    </w:p>
    <w:p w14:paraId="2D08D597">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5347A2A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3CA9F63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5D234D4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0753EFB1">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7D269A3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41B84FBE">
      <w:pPr>
        <w:spacing w:before="100" w:beforeLines="0" w:after="100" w:afterLines="0"/>
        <w:jc w:val="both"/>
        <w:rPr>
          <w:rFonts w:hint="eastAsia" w:ascii="宋体" w:hAnsi="宋体"/>
          <w:sz w:val="24"/>
          <w:szCs w:val="24"/>
          <w:lang w:val="zh-CN"/>
        </w:rPr>
      </w:pPr>
    </w:p>
    <w:p w14:paraId="12631876">
      <w:pPr>
        <w:spacing w:before="100" w:beforeLines="0" w:after="100" w:afterLines="0"/>
        <w:jc w:val="center"/>
        <w:rPr>
          <w:rFonts w:hint="eastAsia" w:ascii="宋体" w:hAnsi="宋体"/>
          <w:sz w:val="24"/>
          <w:szCs w:val="24"/>
          <w:lang w:val="zh-CN"/>
        </w:rPr>
      </w:pPr>
    </w:p>
    <w:p w14:paraId="0E24DC65">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413380D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4FCF5F63">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碌曲县人民法院是国家审判机关，依法独立公正行使审判权，对县人民代表大会及其常务委员会负责并报告工作，接受县人民代表大会及其常务委员会的监督。其主要职责是：</w:t>
      </w:r>
    </w:p>
    <w:p w14:paraId="3A7D619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（1）审判法律规定由基层人民法院管辖和上级人民法院指定管辖的案件。</w:t>
      </w:r>
    </w:p>
    <w:p w14:paraId="1AC174B1">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（2）依法行使司法执行权，执行本院审理的和外地法院委托执行的发生法律效力的法律文书。</w:t>
      </w:r>
    </w:p>
    <w:p w14:paraId="144425B0">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（3）负责审查和受理由基层人民法院管辖的各类案件的立案及告诉、申诉案件，处理群众来信来访。</w:t>
      </w:r>
    </w:p>
    <w:p w14:paraId="1D62FA8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（4）对本院法官和其他工作人员进行思想政治教育、组织专业培训；按照权限管理本院法官和其他工作人员。</w:t>
      </w:r>
    </w:p>
    <w:p w14:paraId="134F59DC">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（5）指导基层法庭工作。</w:t>
      </w:r>
    </w:p>
    <w:p w14:paraId="62F58D0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（6）负责本院的司法行政工作。</w:t>
      </w:r>
    </w:p>
    <w:p w14:paraId="6C5C77BA">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（7）依法行使司法执行权和司法决定权。</w:t>
      </w:r>
    </w:p>
    <w:p w14:paraId="4534077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（8）负责人民法院司法警察工作。</w:t>
      </w:r>
    </w:p>
    <w:p w14:paraId="3AC9390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（9）在审判过工作中宣传法制，教育公民自觉遵守宪法、法律和社会公德，积极参与社会治安综合治理工作。</w:t>
      </w:r>
    </w:p>
    <w:p w14:paraId="68F7126B">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（10）负责全院财务、经费、物资装备的管理，做好本院行政、后勤、信息化建设管理和服务工作。</w:t>
      </w:r>
    </w:p>
    <w:p w14:paraId="707FAFB7">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（11）承办其他应由本院负责和上级法院交办的工作。</w:t>
      </w:r>
    </w:p>
    <w:p w14:paraId="7CEAD97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3492CD47">
      <w:pPr>
        <w:spacing w:before="100" w:beforeLines="0" w:after="100" w:afterLines="0"/>
        <w:ind w:firstLine="480" w:firstLineChars="200"/>
        <w:jc w:val="left"/>
        <w:rPr>
          <w:rFonts w:hint="eastAsia" w:ascii="黑体" w:hAnsi="黑体" w:eastAsia="黑体" w:cs="黑体"/>
          <w:color w:val="000000"/>
          <w:sz w:val="24"/>
          <w:szCs w:val="24"/>
        </w:rPr>
      </w:pPr>
      <w:r>
        <w:rPr>
          <w:rFonts w:hint="eastAsia" w:ascii="仿宋" w:hAnsi="仿宋" w:eastAsia="仿宋"/>
          <w:color w:val="000000"/>
          <w:sz w:val="24"/>
          <w:szCs w:val="24"/>
        </w:rPr>
        <w:t>碌曲县人民法院设7个内设机构，均为科级建制，具体包括：综合办公室、政治部、立案庭、综合审判庭、执行庭、郎木寺法庭、双岔法庭。</w:t>
      </w:r>
    </w:p>
    <w:p w14:paraId="65768DFC">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1C78BBA2">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一、收入支出决算总表</w:t>
      </w:r>
      <w:r>
        <w:rPr>
          <w:rFonts w:hint="eastAsia" w:ascii="宋体" w:hAnsi="宋体" w:eastAsia="宋体" w:cs="宋体"/>
          <w:sz w:val="24"/>
          <w:szCs w:val="24"/>
        </w:rPr>
        <w:t>（见附件1：Z01收入支出决算总表）；</w:t>
      </w:r>
    </w:p>
    <w:p w14:paraId="4CE6BF2F">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二、收入决算表</w:t>
      </w:r>
      <w:r>
        <w:rPr>
          <w:rFonts w:hint="eastAsia" w:ascii="宋体" w:hAnsi="宋体" w:eastAsia="宋体" w:cs="宋体"/>
          <w:sz w:val="24"/>
          <w:szCs w:val="24"/>
        </w:rPr>
        <w:t>（见附件1：Z03收入决算表）</w:t>
      </w:r>
      <w:r>
        <w:rPr>
          <w:rFonts w:hint="eastAsia" w:ascii="宋体" w:hAnsi="宋体" w:eastAsia="宋体" w:cs="宋体"/>
          <w:sz w:val="24"/>
          <w:szCs w:val="24"/>
          <w:lang w:val="en-US" w:eastAsia="zh-CN"/>
        </w:rPr>
        <w:t>;</w:t>
      </w:r>
    </w:p>
    <w:p w14:paraId="091EF077">
      <w:pPr>
        <w:keepNext w:val="0"/>
        <w:keepLines w:val="0"/>
        <w:pageBreakBefore w:val="0"/>
        <w:widowControl/>
        <w:kinsoku/>
        <w:wordWrap/>
        <w:overflowPunct/>
        <w:topLinePunct w:val="0"/>
        <w:autoSpaceDE/>
        <w:autoSpaceDN/>
        <w:bidi w:val="0"/>
        <w:adjustRightInd/>
        <w:snapToGrid/>
        <w:spacing w:before="100" w:beforeLines="0" w:after="100" w:afterLines="0" w:line="240" w:lineRule="auto"/>
        <w:ind w:left="0" w:leftChars="0" w:right="0" w:rightChars="0" w:firstLine="480" w:firstLineChars="20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三、支出决算表</w:t>
      </w:r>
      <w:r>
        <w:rPr>
          <w:rFonts w:hint="eastAsia" w:ascii="宋体" w:hAnsi="宋体" w:eastAsia="宋体" w:cs="宋体"/>
          <w:sz w:val="24"/>
          <w:szCs w:val="24"/>
        </w:rPr>
        <w:t>（见附件1：Z04支出决算表）；</w:t>
      </w:r>
    </w:p>
    <w:p w14:paraId="2165F89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四、财政拨款收入支出决算总表</w:t>
      </w:r>
      <w:r>
        <w:rPr>
          <w:rFonts w:hint="eastAsia" w:ascii="宋体" w:hAnsi="宋体" w:eastAsia="宋体" w:cs="宋体"/>
          <w:sz w:val="24"/>
          <w:szCs w:val="24"/>
        </w:rPr>
        <w:t>（见附件1：Z01_1财政拨款收入支出决算总表）；</w:t>
      </w:r>
    </w:p>
    <w:p w14:paraId="540101F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五、一般公共预算财政拨款支出决算表</w:t>
      </w:r>
      <w:r>
        <w:rPr>
          <w:rFonts w:hint="eastAsia" w:ascii="宋体" w:hAnsi="宋体" w:eastAsia="宋体" w:cs="宋体"/>
          <w:sz w:val="24"/>
          <w:szCs w:val="24"/>
        </w:rPr>
        <w:t>（见附件1：Z07一般公共预算财政拨款支出决算表）；</w:t>
      </w:r>
    </w:p>
    <w:p w14:paraId="1FCA926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六、一般公共预算财政拨款基本支出决算明细表</w:t>
      </w:r>
      <w:r>
        <w:rPr>
          <w:rFonts w:hint="eastAsia" w:ascii="宋体" w:hAnsi="宋体" w:eastAsia="宋体" w:cs="宋体"/>
          <w:sz w:val="24"/>
          <w:szCs w:val="24"/>
        </w:rPr>
        <w:t>（见附件1：Z08_1一般公共预算财政拨款基本支出决算表）</w:t>
      </w:r>
      <w:r>
        <w:rPr>
          <w:rFonts w:hint="eastAsia" w:ascii="宋体" w:hAnsi="宋体" w:eastAsia="宋体" w:cs="宋体"/>
          <w:sz w:val="24"/>
          <w:szCs w:val="24"/>
          <w:lang w:val="en-US" w:eastAsia="zh-CN"/>
        </w:rPr>
        <w:t>;</w:t>
      </w:r>
    </w:p>
    <w:p w14:paraId="6EE1FDC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七、政府性基金预算财政拨款收入支出决算表</w:t>
      </w:r>
      <w:r>
        <w:rPr>
          <w:rFonts w:hint="eastAsia" w:ascii="宋体" w:hAnsi="宋体" w:eastAsia="宋体" w:cs="宋体"/>
          <w:sz w:val="24"/>
          <w:szCs w:val="24"/>
        </w:rPr>
        <w:t>（见附件1:Z09政府性基金预算财政拨款收入支出决算表）,本部门没有相关数据，故本表无数据。</w:t>
      </w:r>
    </w:p>
    <w:p w14:paraId="04C1FD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八、国有资本经营预算财政拨款支出决算表</w:t>
      </w:r>
      <w:r>
        <w:rPr>
          <w:rFonts w:hint="eastAsia" w:ascii="宋体" w:hAnsi="宋体" w:eastAsia="宋体" w:cs="宋体"/>
          <w:sz w:val="24"/>
          <w:szCs w:val="24"/>
        </w:rPr>
        <w:t>（见附件1：Z11国有资本经营预算财政拨款支出决算表），本部门没有相关数据，故本表无数据。</w:t>
      </w:r>
    </w:p>
    <w:p w14:paraId="09733E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color w:val="auto"/>
          <w:sz w:val="24"/>
          <w:szCs w:val="24"/>
          <w:lang w:val="zh-CN"/>
        </w:rPr>
        <w:t>九、财政拨款“三公”经费支出决算表</w:t>
      </w:r>
      <w:r>
        <w:rPr>
          <w:rFonts w:hint="eastAsia" w:ascii="宋体" w:hAnsi="宋体" w:eastAsia="宋体" w:cs="宋体"/>
          <w:sz w:val="24"/>
          <w:szCs w:val="24"/>
        </w:rPr>
        <w:t>（见附表1：F03</w:t>
      </w:r>
      <w:r>
        <w:rPr>
          <w:rFonts w:hint="eastAsia" w:ascii="宋体" w:hAnsi="宋体" w:eastAsia="宋体" w:cs="宋体"/>
          <w:sz w:val="24"/>
          <w:szCs w:val="24"/>
          <w:lang w:val="zh-CN"/>
        </w:rPr>
        <w:t>财政拨款“三公”经费支出决算表</w:t>
      </w:r>
      <w:r>
        <w:rPr>
          <w:rFonts w:hint="eastAsia" w:ascii="宋体" w:hAnsi="宋体" w:eastAsia="宋体" w:cs="宋体"/>
          <w:sz w:val="24"/>
          <w:szCs w:val="24"/>
        </w:rPr>
        <w:t>）</w:t>
      </w:r>
      <w:r>
        <w:rPr>
          <w:rFonts w:hint="eastAsia" w:ascii="宋体" w:hAnsi="宋体" w:eastAsia="宋体" w:cs="宋体"/>
          <w:sz w:val="24"/>
          <w:szCs w:val="24"/>
          <w:lang w:eastAsia="zh-CN"/>
        </w:rPr>
        <w:t>。</w:t>
      </w:r>
    </w:p>
    <w:p w14:paraId="08CED576">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68EE75A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453E5AB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2429.75万元。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增加844.0万元,增长53.22%,</w:t>
      </w:r>
      <w:r>
        <w:rPr>
          <w:rFonts w:hint="eastAsia" w:ascii="宋体" w:hAnsi="宋体"/>
          <w:color w:val="auto"/>
          <w:sz w:val="24"/>
          <w:szCs w:val="24"/>
          <w:lang w:val="zh-CN" w:eastAsia="zh-CN"/>
        </w:rPr>
        <w:t>主要原因为新增全省“智慧法院”信息化建设及运维经费</w:t>
      </w:r>
      <w:r>
        <w:rPr>
          <w:rFonts w:hint="eastAsia" w:ascii="宋体" w:hAnsi="宋体"/>
          <w:color w:val="auto"/>
          <w:sz w:val="24"/>
          <w:szCs w:val="24"/>
          <w:lang w:val="en-US" w:eastAsia="zh-CN"/>
        </w:rPr>
        <w:t>415万元、全省法院人民法庭维修经费471万元。</w:t>
      </w:r>
    </w:p>
    <w:p w14:paraId="21D6669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5FB4061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2023年度收入合计2350.82万元,其中：财政拨款收入2181.72万元,占92.81%；</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收入169.10万元,占7.19%；</w:t>
      </w:r>
    </w:p>
    <w:p w14:paraId="527C609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5C53262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2023年度支出合计1353.96万元,其中：基本支出983.94万元,占72.67%；项目支出370.02万元,占27.33%。</w:t>
      </w:r>
    </w:p>
    <w:p w14:paraId="32D1927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0B5E56F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2186.83万元。与</w:t>
      </w:r>
      <w:r>
        <w:rPr>
          <w:rFonts w:hint="eastAsia" w:ascii="宋体" w:hAnsi="宋体"/>
          <w:color w:val="auto"/>
          <w:sz w:val="24"/>
          <w:szCs w:val="24"/>
          <w:lang w:val="en-US"/>
        </w:rPr>
        <w:t>上</w:t>
      </w:r>
      <w:r>
        <w:rPr>
          <w:rFonts w:hint="eastAsia" w:ascii="宋体" w:hAnsi="宋体"/>
          <w:color w:val="auto"/>
          <w:sz w:val="24"/>
          <w:szCs w:val="24"/>
          <w:lang w:val="zh-CN"/>
        </w:rPr>
        <w:t>年相比,各增加843.72万元,增长62.82%。</w:t>
      </w:r>
      <w:r>
        <w:rPr>
          <w:rFonts w:hint="eastAsia" w:ascii="宋体" w:hAnsi="宋体"/>
          <w:color w:val="auto"/>
          <w:sz w:val="24"/>
          <w:szCs w:val="24"/>
          <w:lang w:val="zh-CN" w:eastAsia="zh-CN"/>
        </w:rPr>
        <w:t>主要原因为新增全省“智慧法院”信息化建设及运维经费</w:t>
      </w:r>
      <w:r>
        <w:rPr>
          <w:rFonts w:hint="eastAsia" w:ascii="宋体" w:hAnsi="宋体"/>
          <w:color w:val="auto"/>
          <w:sz w:val="24"/>
          <w:szCs w:val="24"/>
          <w:lang w:val="en-US" w:eastAsia="zh-CN"/>
        </w:rPr>
        <w:t>415万元、全省法院人民法庭维修经费471万元。</w:t>
      </w:r>
    </w:p>
    <w:p w14:paraId="739F655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66D6240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7C2D28B4">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2023年度一般公共预算财政拨款支出1184.86万元,较上年决算数减少98.28万元,下降7.66%。主要原因是</w:t>
      </w:r>
      <w:r>
        <w:rPr>
          <w:rFonts w:hint="eastAsia" w:ascii="宋体" w:hAnsi="宋体"/>
          <w:color w:val="auto"/>
          <w:sz w:val="24"/>
          <w:szCs w:val="24"/>
          <w:lang w:val="en-US" w:eastAsia="zh-CN"/>
        </w:rPr>
        <w:t>2022年有105.95万元结转资金进行支付，导致2023年</w:t>
      </w:r>
      <w:r>
        <w:rPr>
          <w:rFonts w:hint="eastAsia" w:ascii="宋体" w:hAnsi="宋体"/>
          <w:color w:val="auto"/>
          <w:sz w:val="24"/>
          <w:szCs w:val="24"/>
          <w:lang w:val="zh-CN"/>
        </w:rPr>
        <w:t>一般公共预算财政拨款支出相较于上年有所下降。</w:t>
      </w:r>
    </w:p>
    <w:p w14:paraId="60515827">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290B573C">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1184.86万元，主要用于以下方面：公共安全支出1019.35万元,占86.03%；社会保障和就业支出63.90万元,占5.39%；卫生健康支出34.74万元,占2.93%；住房保障支出66.86万元,占5.64%；</w:t>
      </w:r>
    </w:p>
    <w:p w14:paraId="5C235C40">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443082FC">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1162.77万元,支出决算为1184.86万元,完成年初预算的101.9%。其中：</w:t>
      </w:r>
    </w:p>
    <w:p w14:paraId="41C9951C">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1</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年初预算数为976.06万元,支出决算为1019.35万元,完成年初预算的104.44%,决算数大于预算数的主要原因为支出部分结转资金，导致决算支出大于预算支出。</w:t>
      </w:r>
    </w:p>
    <w:p w14:paraId="3FFF4587">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年初预算数为71.78万元,支出决算为63.90万元,完成年初预算的89.03%,决算数小于预算数的主要原因为人员类支出全额保障有剩余。</w:t>
      </w:r>
    </w:p>
    <w:p w14:paraId="2DA412D9">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年初预算数为47.58万元,支出决算为34.74万元,完成年初预算的73.02%,决算数小于预算数的主要原因为人员类支出全额保障有剩余。</w:t>
      </w:r>
    </w:p>
    <w:p w14:paraId="111DEB2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年初预算数为67.35万元,支出决算为66.86万元,完成年初预算的99.28%,决算数小于预算数的主要原因为人员类支出全额保障有剩余。</w:t>
      </w:r>
    </w:p>
    <w:p w14:paraId="298EC66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68D74DE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2023年度一般公共预算财政拨款基本支出814.84万元。其中：</w:t>
      </w:r>
    </w:p>
    <w:p w14:paraId="4E9D79F6">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708.31万元,较上年决算数减少80.99万元,下降10.26%,县级保障人员经费有部分与</w:t>
      </w:r>
      <w:r>
        <w:rPr>
          <w:rFonts w:hint="eastAsia" w:ascii="宋体" w:hAnsi="宋体"/>
          <w:color w:val="auto"/>
          <w:sz w:val="24"/>
          <w:szCs w:val="24"/>
          <w:lang w:val="en-US" w:eastAsia="zh-CN"/>
        </w:rPr>
        <w:t>2024年年初发放</w:t>
      </w:r>
      <w:r>
        <w:rPr>
          <w:rFonts w:hint="eastAsia" w:ascii="宋体" w:hAnsi="宋体"/>
          <w:color w:val="auto"/>
          <w:sz w:val="24"/>
          <w:szCs w:val="24"/>
          <w:lang w:val="zh-CN"/>
        </w:rPr>
        <w:t>。人员经费用途</w:t>
      </w:r>
      <w:r>
        <w:rPr>
          <w:rFonts w:hint="default" w:ascii="宋体" w:hAnsi="宋体"/>
          <w:color w:val="auto"/>
          <w:sz w:val="24"/>
          <w:szCs w:val="24"/>
          <w:lang w:val="zh-CN"/>
        </w:rPr>
        <w:t>人员经费用途主要包括基本工资、津贴补贴、奖金、绩效工资、社会保障缴费、职业年金缴费、职工基本医疗保险缴费、公务员医疗补助缴费、其他社会保障缴费、住房公积金、医疗费、其他工资福利支出等项目。</w:t>
      </w:r>
    </w:p>
    <w:p w14:paraId="02D317EF">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106.53万元,较上年决算数增加20.54万元,增长23.88%</w:t>
      </w:r>
      <w:r>
        <w:rPr>
          <w:rFonts w:hint="eastAsia" w:ascii="宋体" w:hAnsi="宋体"/>
          <w:color w:val="auto"/>
          <w:sz w:val="24"/>
          <w:szCs w:val="24"/>
          <w:lang w:val="en-US" w:eastAsia="zh-CN"/>
        </w:rPr>
        <w:t>,部分2022年办公用品采购的费用与2023年年初进行支付</w:t>
      </w:r>
      <w:r>
        <w:rPr>
          <w:rFonts w:hint="eastAsia" w:ascii="宋体" w:hAnsi="宋体"/>
          <w:color w:val="auto"/>
          <w:sz w:val="24"/>
          <w:szCs w:val="24"/>
          <w:lang w:val="zh-CN"/>
        </w:rPr>
        <w:t>。公用经费用途</w:t>
      </w:r>
      <w:r>
        <w:rPr>
          <w:rFonts w:hint="default" w:ascii="宋体" w:hAnsi="宋体"/>
          <w:color w:val="auto"/>
          <w:sz w:val="24"/>
          <w:szCs w:val="24"/>
          <w:lang w:val="zh-CN"/>
        </w:rPr>
        <w:t>主要包括办公费、印刷费、咨询费、手续费、水费、电费、邮电费、取暖费、差旅费等。</w:t>
      </w:r>
    </w:p>
    <w:p w14:paraId="532DDE7A">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7581310E">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color w:val="auto"/>
          <w:sz w:val="24"/>
          <w:szCs w:val="24"/>
          <w:lang w:val="zh-CN"/>
        </w:rPr>
        <w:t>2023年度政府性基金预算财政拨款年初结转和结余0.00万元,本年收入0.00万元,本年支出0.00万元,年末结转和结余0.00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,本部门2023年度无政府性基金收入,也没有使用政府性基金安排的支出。</w:t>
      </w:r>
    </w:p>
    <w:p w14:paraId="3760C6BD">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584AE640">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color w:val="auto"/>
          <w:sz w:val="24"/>
          <w:szCs w:val="24"/>
          <w:lang w:val="zh-CN"/>
        </w:rPr>
        <w:t>2023年度国有资本经营预算财政拨款本年支出0.00万元,本部门2023年度没有使用国有资本经营预算安排的支出。</w:t>
      </w:r>
    </w:p>
    <w:p w14:paraId="3C5460C0">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338F97F3">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3CF5DBBB">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预算数为42.00万元,支出决算为16.78万元,决算数小于预算数的主要原因为车辆未达到购置要求未进行车辆购置</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减少0.22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下降1.32</w:t>
      </w:r>
      <w:r>
        <w:rPr>
          <w:rFonts w:hint="eastAsia" w:ascii="宋体" w:hAnsi="宋体"/>
          <w:color w:val="auto"/>
          <w:sz w:val="24"/>
          <w:szCs w:val="24"/>
          <w:lang w:val="zh-CN"/>
        </w:rPr>
        <w:t>%，基本与上年持平。</w:t>
      </w:r>
    </w:p>
    <w:p w14:paraId="102C7FCA">
      <w:pPr>
        <w:pageBreakBefore w:val="0"/>
        <w:widowControl/>
        <w:numPr>
          <w:ilvl w:val="0"/>
          <w:numId w:val="2"/>
        </w:numPr>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66842BAB">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w:t>
      </w:r>
      <w:r>
        <w:rPr>
          <w:rFonts w:hint="eastAsia" w:ascii="宋体" w:hAnsi="宋体"/>
          <w:color w:val="auto"/>
          <w:sz w:val="24"/>
          <w:szCs w:val="24"/>
          <w:lang w:val="zh-CN" w:eastAsia="zh-CN"/>
        </w:rPr>
        <w:t>的主要原因为无因公出国（境）需求，</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eastAsia="zh-CN"/>
        </w:rPr>
        <w:t>主要原因为无因公出国（境）需求。</w:t>
      </w:r>
    </w:p>
    <w:p w14:paraId="2F14005F">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预算数为41.80万元,支出决算为16.78万元,决算数小于预算数的主要原因为车辆未达到购置要求未进行车辆购置，</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下降0.14</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基本与上年持平。</w:t>
      </w:r>
    </w:p>
    <w:p w14:paraId="2D638DB2">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预算数为25.00万元,支出决算为0.00万元,决算数小于预算数的主要原因为车辆未达到购置要求未进行车辆购置，</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主要原因为车辆未达到购置要求未进行车辆购置。</w:t>
      </w:r>
    </w:p>
    <w:p w14:paraId="2423E08D">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预算数为16.80万元,支出决算为16.78万元,决算数小于预算数的主要原因是基本与预算数持平。</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下降0.14</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主要原因是基本与上年持平。</w:t>
      </w:r>
    </w:p>
    <w:p w14:paraId="4327FCD0">
      <w:pPr>
        <w:pageBreakBefore w:val="0"/>
        <w:widowControl/>
        <w:numPr>
          <w:ilvl w:val="0"/>
          <w:numId w:val="3"/>
        </w:numPr>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年预算数为0.20万元,支出决算为0.00万元,决算数小于预算数的主要原因为无接待业务发生，</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主要原因为无接待业务发生。</w:t>
      </w:r>
    </w:p>
    <w:p w14:paraId="76FB7A49">
      <w:pPr>
        <w:pageBreakBefore w:val="0"/>
        <w:widowControl/>
        <w:numPr>
          <w:ilvl w:val="0"/>
          <w:numId w:val="0"/>
        </w:numPr>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万元。无业务需求。</w:t>
      </w:r>
    </w:p>
    <w:p w14:paraId="27581937">
      <w:pPr>
        <w:pageBreakBefore w:val="0"/>
        <w:widowControl/>
        <w:numPr>
          <w:ilvl w:val="0"/>
          <w:numId w:val="0"/>
        </w:numPr>
        <w:kinsoku/>
        <w:wordWrap/>
        <w:overflowPunct/>
        <w:topLinePunct w:val="0"/>
        <w:autoSpaceDE/>
        <w:autoSpaceDN/>
        <w:bidi w:val="0"/>
        <w:adjustRightInd/>
        <w:snapToGrid/>
        <w:spacing w:before="100" w:beforeLines="0" w:after="100" w:afterLines="0" w:line="360" w:lineRule="exact"/>
        <w:jc w:val="lef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其他国内公务接待支出0.00</w:t>
      </w:r>
      <w:r>
        <w:rPr>
          <w:rFonts w:hint="eastAsia" w:ascii="宋体" w:hAnsi="宋体"/>
          <w:color w:val="auto"/>
          <w:sz w:val="24"/>
          <w:szCs w:val="24"/>
          <w:lang w:val="zh-CN"/>
        </w:rPr>
        <w:t>万元。无业务需求。</w:t>
      </w:r>
    </w:p>
    <w:p w14:paraId="4CBAD389">
      <w:pPr>
        <w:pageBreakBefore w:val="0"/>
        <w:widowControl/>
        <w:numPr>
          <w:ilvl w:val="0"/>
          <w:numId w:val="2"/>
        </w:numPr>
        <w:kinsoku/>
        <w:wordWrap/>
        <w:overflowPunct/>
        <w:topLinePunct w:val="0"/>
        <w:autoSpaceDE/>
        <w:autoSpaceDN/>
        <w:bidi w:val="0"/>
        <w:adjustRightInd/>
        <w:snapToGrid/>
        <w:spacing w:before="100" w:beforeLines="0" w:after="100" w:afterLines="0" w:line="360" w:lineRule="exact"/>
        <w:ind w:left="0" w:leftChars="0" w:firstLine="0" w:firstLineChars="0"/>
        <w:jc w:val="left"/>
        <w:textAlignment w:val="auto"/>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378B2491">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为4辆；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14:paraId="1643FCF9">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2F7695A1">
      <w:pPr>
        <w:pageBreakBefore w:val="0"/>
        <w:widowControl/>
        <w:numPr>
          <w:ilvl w:val="0"/>
          <w:numId w:val="3"/>
        </w:numPr>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2023年度本部门机关运行经费支出106.53万元,机关运行经费</w:t>
      </w:r>
      <w:r>
        <w:rPr>
          <w:rFonts w:hint="default" w:ascii="宋体" w:hAnsi="宋体"/>
          <w:color w:val="auto"/>
          <w:sz w:val="24"/>
          <w:szCs w:val="24"/>
          <w:lang w:val="zh-CN"/>
        </w:rPr>
        <w:t>主要用于开支办公费、差旅费、电费、公务用车运行维护费、工会经费、 维修（护）费、取暖费、邮电费、劳务费、办公设备购置、培训费、水费等</w:t>
      </w:r>
      <w:r>
        <w:rPr>
          <w:rFonts w:hint="eastAsia" w:ascii="宋体" w:hAnsi="宋体"/>
          <w:color w:val="auto"/>
          <w:sz w:val="24"/>
          <w:szCs w:val="24"/>
          <w:lang w:val="zh-CN" w:eastAsia="zh-CN"/>
        </w:rPr>
        <w:t>。</w:t>
      </w:r>
      <w:r>
        <w:rPr>
          <w:rFonts w:hint="eastAsia" w:ascii="宋体" w:hAnsi="宋体"/>
          <w:color w:val="auto"/>
          <w:sz w:val="24"/>
          <w:szCs w:val="24"/>
          <w:lang w:val="zh-CN"/>
        </w:rPr>
        <w:t>机关运行经费较上年决算数增加20.54万元,增长23.89%,主要原因为信息化项目运维费、劳务费、办公设施购置费较上年有所增加。</w:t>
      </w:r>
    </w:p>
    <w:p w14:paraId="4DF5FDD1">
      <w:pPr>
        <w:pageBreakBefore w:val="0"/>
        <w:widowControl/>
        <w:numPr>
          <w:ilvl w:val="0"/>
          <w:numId w:val="3"/>
        </w:numPr>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本年度会议费支出0.00万元,较上年决算数减少0.0万元,下降%,主要原因是未开展举办会议。本年度培训费支出1.57万元,较上年决算数减少0.0万元,下降0.0%,主要原因是保持与上年度相同的培训强度。</w:t>
      </w:r>
    </w:p>
    <w:p w14:paraId="1A975E0C">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32F860AA">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64.15万元,其中：政府采购货物支出27.61万元、政府采购工程支出30.54万元、政府采购服务支出6.00万元。授予中小企业合同金额64.15万元,占政府采购支出总额的100.00%,其中：授予小微企业合同金额64.15万元,占政府采购支出总额的100.00%。</w:t>
      </w:r>
    </w:p>
    <w:p w14:paraId="6D8E3B81">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09D48DB8">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4辆,其中,副部(省)级及以上领导用车0辆、主要领导干部用车0辆、机要通信用车0辆、应急保障用车0辆、执法执勤用车3辆,特种专业技术用车1辆,离退休干部用车0辆,其他用车0辆。单价100万元(含)以上设备1台(套)。</w:t>
      </w:r>
    </w:p>
    <w:p w14:paraId="26CC7576">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42611236">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0725FB19">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FF0000"/>
          <w:sz w:val="24"/>
          <w:szCs w:val="24"/>
          <w:lang w:val="zh-CN"/>
        </w:rPr>
      </w:pPr>
    </w:p>
    <w:p w14:paraId="2C0B245D">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color w:val="auto"/>
          <w:sz w:val="24"/>
          <w:szCs w:val="24"/>
          <w:lang w:val="zh-CN"/>
        </w:rPr>
      </w:pPr>
    </w:p>
    <w:p w14:paraId="69CE1C09">
      <w:pPr>
        <w:pageBreakBefore w:val="0"/>
        <w:widowControl/>
        <w:kinsoku/>
        <w:wordWrap/>
        <w:overflowPunct/>
        <w:topLinePunct w:val="0"/>
        <w:autoSpaceDE/>
        <w:autoSpaceDN/>
        <w:bidi w:val="0"/>
        <w:adjustRightInd/>
        <w:snapToGrid/>
        <w:spacing w:before="100" w:beforeLines="0" w:after="100" w:afterLines="0" w:line="360" w:lineRule="exact"/>
        <w:jc w:val="center"/>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59CF4E84">
      <w:pPr>
        <w:pageBreakBefore w:val="0"/>
        <w:widowControl/>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4F37CF59">
      <w:pPr>
        <w:keepNext/>
        <w:keepLines/>
        <w:pageBreakBefore w:val="0"/>
        <w:widowControl/>
        <w:suppressLineNumbers/>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color w:val="auto"/>
          <w:sz w:val="32"/>
          <w:szCs w:val="32"/>
          <w:lang w:val="zh-CN"/>
        </w:rPr>
      </w:pPr>
      <w:r>
        <w:rPr>
          <w:rFonts w:hint="eastAsia" w:ascii="宋体" w:hAnsi="宋体" w:eastAsia="宋体" w:cs="宋体"/>
          <w:color w:val="auto"/>
          <w:kern w:val="0"/>
          <w:sz w:val="24"/>
          <w:szCs w:val="24"/>
          <w:lang w:val="en-US"/>
        </w:rPr>
        <w:t>根据预算绩效管理要求,本部门对</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lang w:val="en-US"/>
        </w:rPr>
        <w:t>年度一般公共预算项目支出全面开展绩效自评,其中,一级项目</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rPr>
        <w:t>个,二级项目</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rPr>
        <w:t>个,共涉及资金</w:t>
      </w:r>
      <w:r>
        <w:rPr>
          <w:rFonts w:hint="eastAsia" w:ascii="宋体" w:hAnsi="宋体" w:cs="宋体"/>
          <w:color w:val="auto"/>
          <w:kern w:val="0"/>
          <w:sz w:val="24"/>
          <w:szCs w:val="24"/>
          <w:lang w:val="en-US" w:eastAsia="zh-CN"/>
        </w:rPr>
        <w:t>130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,占一般公共预算项目支出总额的</w:t>
      </w:r>
      <w:r>
        <w:rPr>
          <w:rFonts w:hint="eastAsia" w:ascii="宋体" w:hAnsi="宋体" w:cs="宋体"/>
          <w:color w:val="auto"/>
          <w:kern w:val="0"/>
          <w:sz w:val="24"/>
          <w:szCs w:val="24"/>
          <w:lang w:val="en-US" w:eastAsia="zh-CN"/>
        </w:rPr>
        <w:t>5.4</w:t>
      </w:r>
      <w:r>
        <w:rPr>
          <w:rFonts w:hint="eastAsia" w:ascii="宋体" w:hAnsi="宋体" w:eastAsia="宋体" w:cs="宋体"/>
          <w:color w:val="auto"/>
          <w:kern w:val="0"/>
          <w:sz w:val="24"/>
          <w:szCs w:val="24"/>
          <w:lang w:val="en-US"/>
        </w:rPr>
        <w:t>%。组织对“</w:t>
      </w:r>
      <w:r>
        <w:rPr>
          <w:rFonts w:hint="eastAsia" w:ascii="宋体" w:hAnsi="宋体" w:cs="宋体"/>
          <w:color w:val="auto"/>
          <w:kern w:val="0"/>
          <w:sz w:val="24"/>
          <w:szCs w:val="24"/>
          <w:lang w:val="en-US" w:eastAsia="zh-CN"/>
        </w:rPr>
        <w:t>全省法院业务费</w:t>
      </w:r>
      <w:r>
        <w:rPr>
          <w:rFonts w:hint="eastAsia" w:ascii="宋体" w:hAnsi="宋体" w:eastAsia="宋体" w:cs="宋体"/>
          <w:color w:val="auto"/>
          <w:kern w:val="0"/>
          <w:sz w:val="24"/>
          <w:szCs w:val="24"/>
          <w:lang w:val="en-US"/>
        </w:rPr>
        <w:t>”等</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rPr>
        <w:t>个项目开展了部门评价,涉及一般公共预算支出</w:t>
      </w:r>
      <w:r>
        <w:rPr>
          <w:rFonts w:hint="eastAsia" w:ascii="宋体" w:hAnsi="宋体" w:cs="宋体"/>
          <w:color w:val="auto"/>
          <w:kern w:val="0"/>
          <w:sz w:val="24"/>
          <w:szCs w:val="24"/>
          <w:lang w:val="en-US" w:eastAsia="zh-CN"/>
        </w:rPr>
        <w:t>130</w:t>
      </w:r>
      <w:r>
        <w:rPr>
          <w:rFonts w:hint="eastAsia" w:ascii="宋体" w:hAnsi="宋体" w:eastAsia="宋体" w:cs="宋体"/>
          <w:color w:val="auto"/>
          <w:kern w:val="0"/>
          <w:sz w:val="24"/>
          <w:szCs w:val="24"/>
          <w:lang w:val="en-US" w:eastAsia="zh-CN"/>
        </w:rPr>
        <w:t>万元</w:t>
      </w:r>
      <w:r>
        <w:rPr>
          <w:rFonts w:hint="eastAsia" w:ascii="宋体" w:hAnsi="宋体" w:eastAsia="宋体" w:cs="宋体"/>
          <w:color w:val="auto"/>
          <w:kern w:val="0"/>
          <w:sz w:val="24"/>
          <w:szCs w:val="24"/>
          <w:lang w:val="en-US"/>
        </w:rPr>
        <w:t>,从评价情况来看,</w:t>
      </w:r>
      <w:r>
        <w:rPr>
          <w:rFonts w:hint="eastAsia" w:ascii="宋体" w:hAnsi="宋体" w:cs="宋体"/>
          <w:color w:val="auto"/>
          <w:kern w:val="0"/>
          <w:sz w:val="24"/>
          <w:szCs w:val="24"/>
          <w:lang w:val="en-US" w:eastAsia="zh-CN"/>
        </w:rPr>
        <w:t>全省法院业务费为良。</w:t>
      </w:r>
    </w:p>
    <w:p w14:paraId="6FA2E1F4">
      <w:pPr>
        <w:pageBreakBefore w:val="0"/>
        <w:widowControl/>
        <w:numPr>
          <w:ilvl w:val="0"/>
          <w:numId w:val="4"/>
        </w:numPr>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eastAsia="宋体" w:cs="宋体"/>
          <w:color w:val="auto"/>
          <w:kern w:val="0"/>
          <w:sz w:val="24"/>
          <w:szCs w:val="24"/>
          <w:lang w:val="en-US"/>
        </w:rPr>
      </w:pPr>
      <w:r>
        <w:rPr>
          <w:rFonts w:hint="eastAsia" w:ascii="宋体" w:hAnsi="宋体"/>
          <w:b/>
          <w:bCs/>
          <w:color w:val="auto"/>
          <w:sz w:val="24"/>
          <w:szCs w:val="24"/>
          <w:lang w:val="zh-CN" w:eastAsia="zh-CN"/>
        </w:rPr>
        <w:t>绩效自评结果</w:t>
      </w:r>
      <w:r>
        <w:rPr>
          <w:rFonts w:hint="eastAsia" w:ascii="宋体" w:hAnsi="宋体"/>
          <w:b/>
          <w:bCs/>
          <w:color w:val="auto"/>
          <w:sz w:val="24"/>
          <w:szCs w:val="24"/>
          <w:lang w:val="en-US" w:eastAsia="zh-CN"/>
        </w:rPr>
        <w:t xml:space="preserve"> </w:t>
      </w:r>
    </w:p>
    <w:p w14:paraId="4044D80E">
      <w:pPr>
        <w:pageBreakBefore w:val="0"/>
        <w:widowControl/>
        <w:numPr>
          <w:ilvl w:val="0"/>
          <w:numId w:val="0"/>
        </w:numPr>
        <w:kinsoku/>
        <w:wordWrap/>
        <w:overflowPunct/>
        <w:topLinePunct w:val="0"/>
        <w:autoSpaceDE/>
        <w:autoSpaceDN/>
        <w:bidi w:val="0"/>
        <w:adjustRightInd/>
        <w:snapToGrid/>
        <w:spacing w:before="100" w:beforeLines="0" w:after="100" w:afterLines="0" w:line="360" w:lineRule="exact"/>
        <w:jc w:val="left"/>
        <w:textAlignment w:val="auto"/>
        <w:rPr>
          <w:rFonts w:hint="eastAsia" w:ascii="宋体" w:hAnsi="宋体" w:eastAsia="宋体" w:cs="宋体"/>
          <w:color w:val="auto"/>
          <w:kern w:val="0"/>
          <w:sz w:val="24"/>
          <w:szCs w:val="24"/>
          <w:lang w:val="en-US"/>
        </w:rPr>
      </w:pPr>
      <w:r>
        <w:rPr>
          <w:rFonts w:hint="eastAsia" w:ascii="宋体" w:hAnsi="宋体"/>
          <w:b/>
          <w:bCs/>
          <w:color w:val="auto"/>
          <w:sz w:val="24"/>
          <w:szCs w:val="24"/>
          <w:lang w:val="en-US" w:eastAsia="zh-CN"/>
        </w:rPr>
        <w:t xml:space="preserve">    </w:t>
      </w:r>
      <w:r>
        <w:rPr>
          <w:rFonts w:hint="eastAsia" w:ascii="宋体" w:hAnsi="宋体" w:eastAsia="宋体" w:cs="宋体"/>
          <w:color w:val="auto"/>
          <w:kern w:val="0"/>
          <w:sz w:val="24"/>
          <w:szCs w:val="24"/>
          <w:lang w:val="en-US"/>
        </w:rPr>
        <w:t>我部门在</w:t>
      </w:r>
      <w:r>
        <w:rPr>
          <w:rFonts w:hint="eastAsia" w:ascii="宋体" w:hAnsi="宋体" w:eastAsia="宋体" w:cs="宋体"/>
          <w:color w:val="auto"/>
          <w:kern w:val="0"/>
          <w:sz w:val="24"/>
          <w:szCs w:val="24"/>
          <w:lang w:val="en-US" w:eastAsia="zh-CN"/>
        </w:rPr>
        <w:t>2023</w:t>
      </w:r>
      <w:r>
        <w:rPr>
          <w:rFonts w:hint="eastAsia" w:ascii="宋体" w:hAnsi="宋体" w:eastAsia="宋体" w:cs="宋体"/>
          <w:color w:val="auto"/>
          <w:kern w:val="0"/>
          <w:sz w:val="24"/>
          <w:szCs w:val="24"/>
          <w:lang w:val="en-US"/>
        </w:rPr>
        <w:t>年度部门决算中反映“</w:t>
      </w:r>
      <w:r>
        <w:rPr>
          <w:rFonts w:hint="eastAsia" w:ascii="宋体" w:hAnsi="宋体" w:eastAsia="宋体" w:cs="宋体"/>
          <w:color w:val="auto"/>
          <w:kern w:val="0"/>
          <w:sz w:val="24"/>
          <w:szCs w:val="24"/>
          <w:lang w:val="en-US" w:eastAsia="zh-CN"/>
        </w:rPr>
        <w:t>全省法院业务费</w:t>
      </w:r>
      <w:r>
        <w:rPr>
          <w:rFonts w:hint="eastAsia" w:ascii="宋体" w:hAnsi="宋体" w:eastAsia="宋体" w:cs="宋体"/>
          <w:color w:val="auto"/>
          <w:kern w:val="0"/>
          <w:sz w:val="24"/>
          <w:szCs w:val="24"/>
          <w:lang w:val="en-US"/>
        </w:rPr>
        <w:t>”等</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rPr>
        <w:t>个项目绩效自评结果。</w:t>
      </w:r>
    </w:p>
    <w:p w14:paraId="28A34540">
      <w:pPr>
        <w:pageBreakBefore w:val="0"/>
        <w:widowControl/>
        <w:numPr>
          <w:ilvl w:val="0"/>
          <w:numId w:val="0"/>
        </w:numPr>
        <w:kinsoku/>
        <w:wordWrap/>
        <w:overflowPunct/>
        <w:topLinePunct w:val="0"/>
        <w:autoSpaceDE/>
        <w:autoSpaceDN/>
        <w:bidi w:val="0"/>
        <w:adjustRightInd/>
        <w:snapToGrid/>
        <w:spacing w:before="100" w:beforeLines="0" w:after="100" w:afterLines="0" w:line="360" w:lineRule="exact"/>
        <w:ind w:firstLine="480"/>
        <w:jc w:val="left"/>
        <w:textAlignment w:val="auto"/>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.“全省法院业务费”项目</w:t>
      </w:r>
      <w:r>
        <w:rPr>
          <w:rFonts w:hint="eastAsia" w:ascii="宋体" w:hAnsi="宋体" w:eastAsia="宋体" w:cs="宋体"/>
          <w:color w:val="auto"/>
          <w:kern w:val="0"/>
          <w:sz w:val="24"/>
          <w:szCs w:val="24"/>
          <w:lang w:val="en-US"/>
        </w:rPr>
        <w:t>绩效自评情况：根据年初设定的绩效目标,项目绩效自评得分为</w:t>
      </w:r>
      <w:r>
        <w:rPr>
          <w:rFonts w:hint="eastAsia" w:ascii="宋体" w:hAnsi="宋体" w:eastAsia="宋体" w:cs="宋体"/>
          <w:color w:val="auto"/>
          <w:kern w:val="0"/>
          <w:sz w:val="24"/>
          <w:szCs w:val="24"/>
          <w:lang w:val="en-US" w:eastAsia="zh-CN"/>
        </w:rPr>
        <w:t>84.75</w:t>
      </w:r>
      <w:r>
        <w:rPr>
          <w:rFonts w:hint="eastAsia" w:ascii="宋体" w:hAnsi="宋体" w:eastAsia="宋体" w:cs="宋体"/>
          <w:color w:val="auto"/>
          <w:kern w:val="0"/>
          <w:sz w:val="24"/>
          <w:szCs w:val="24"/>
          <w:lang w:val="en-US"/>
        </w:rPr>
        <w:t>分。项目全年预算数为</w:t>
      </w:r>
      <w:r>
        <w:rPr>
          <w:rFonts w:hint="eastAsia" w:ascii="宋体" w:hAnsi="宋体" w:eastAsia="宋体" w:cs="宋体"/>
          <w:color w:val="auto"/>
          <w:kern w:val="0"/>
          <w:sz w:val="24"/>
          <w:szCs w:val="24"/>
          <w:lang w:val="en-US" w:eastAsia="zh-CN"/>
        </w:rPr>
        <w:t>130万元</w:t>
      </w:r>
      <w:r>
        <w:rPr>
          <w:rFonts w:hint="eastAsia" w:ascii="宋体" w:hAnsi="宋体" w:eastAsia="宋体" w:cs="宋体"/>
          <w:color w:val="auto"/>
          <w:kern w:val="0"/>
          <w:sz w:val="24"/>
          <w:szCs w:val="24"/>
          <w:lang w:val="en-US"/>
        </w:rPr>
        <w:t>,执行数为</w:t>
      </w:r>
      <w:r>
        <w:rPr>
          <w:rFonts w:hint="eastAsia" w:ascii="宋体" w:hAnsi="宋体" w:eastAsia="宋体" w:cs="宋体"/>
          <w:color w:val="auto"/>
          <w:kern w:val="0"/>
          <w:sz w:val="24"/>
          <w:szCs w:val="24"/>
          <w:lang w:val="en-US" w:eastAsia="zh-CN"/>
        </w:rPr>
        <w:t>105万元</w:t>
      </w:r>
      <w:r>
        <w:rPr>
          <w:rFonts w:hint="eastAsia" w:ascii="宋体" w:hAnsi="宋体" w:eastAsia="宋体" w:cs="宋体"/>
          <w:color w:val="auto"/>
          <w:kern w:val="0"/>
          <w:sz w:val="24"/>
          <w:szCs w:val="24"/>
          <w:lang w:val="en-US"/>
        </w:rPr>
        <w:t>,完成预算的</w:t>
      </w:r>
      <w:r>
        <w:rPr>
          <w:rFonts w:hint="eastAsia" w:ascii="宋体" w:hAnsi="宋体" w:eastAsia="宋体" w:cs="宋体"/>
          <w:color w:val="auto"/>
          <w:kern w:val="0"/>
          <w:sz w:val="24"/>
          <w:szCs w:val="24"/>
          <w:lang w:val="en-US" w:eastAsia="zh-CN"/>
        </w:rPr>
        <w:t>80.77</w:t>
      </w:r>
      <w:r>
        <w:rPr>
          <w:rFonts w:hint="eastAsia" w:ascii="宋体" w:hAnsi="宋体" w:eastAsia="宋体" w:cs="宋体"/>
          <w:color w:val="auto"/>
          <w:kern w:val="0"/>
          <w:sz w:val="24"/>
          <w:szCs w:val="24"/>
          <w:lang w:val="en-US"/>
        </w:rPr>
        <w:t>%。项目绩效目标完成情况：一是</w:t>
      </w:r>
      <w:r>
        <w:rPr>
          <w:rFonts w:hint="eastAsia" w:ascii="宋体" w:hAnsi="宋体" w:eastAsia="宋体" w:cs="宋体"/>
          <w:color w:val="auto"/>
          <w:kern w:val="0"/>
          <w:sz w:val="24"/>
          <w:szCs w:val="24"/>
          <w:lang w:val="en-US" w:eastAsia="zh-CN"/>
        </w:rPr>
        <w:t>成本</w:t>
      </w:r>
      <w:r>
        <w:rPr>
          <w:rFonts w:hint="eastAsia" w:ascii="宋体" w:hAnsi="宋体" w:eastAsia="宋体" w:cs="宋体"/>
          <w:color w:val="auto"/>
          <w:kern w:val="0"/>
          <w:sz w:val="24"/>
          <w:szCs w:val="24"/>
          <w:lang w:val="en-US"/>
        </w:rPr>
        <w:t>指标下设经济成本指标</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en-US"/>
        </w:rPr>
        <w:t>个二级指标。总分值</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lang w:val="en-US"/>
        </w:rPr>
        <w:t>分，得分</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lang w:val="en-US"/>
        </w:rPr>
        <w:t>分，得分率</w:t>
      </w:r>
      <w:r>
        <w:rPr>
          <w:rFonts w:hint="eastAsia" w:ascii="宋体" w:hAnsi="宋体" w:eastAsia="宋体" w:cs="宋体"/>
          <w:color w:val="auto"/>
          <w:kern w:val="0"/>
          <w:sz w:val="24"/>
          <w:szCs w:val="24"/>
          <w:lang w:val="en-US" w:eastAsia="zh-CN"/>
        </w:rPr>
        <w:t>100.00%</w:t>
      </w:r>
      <w:r>
        <w:rPr>
          <w:rFonts w:hint="eastAsia" w:ascii="宋体" w:hAnsi="宋体" w:eastAsia="宋体" w:cs="宋体"/>
          <w:color w:val="auto"/>
          <w:kern w:val="0"/>
          <w:sz w:val="24"/>
          <w:szCs w:val="24"/>
          <w:lang w:val="en-US"/>
        </w:rPr>
        <w:t>。；</w:t>
      </w:r>
      <w:r>
        <w:rPr>
          <w:rFonts w:hint="eastAsia" w:ascii="宋体" w:hAnsi="宋体" w:eastAsia="宋体" w:cs="宋体"/>
          <w:color w:val="auto"/>
          <w:kern w:val="0"/>
          <w:sz w:val="24"/>
          <w:szCs w:val="24"/>
          <w:lang w:val="en-US" w:eastAsia="zh-CN"/>
        </w:rPr>
        <w:t>二是产出指标下设数量、质量、时效3个二级指标。总分值40分，得分26.67分，得分率66.67%。三是产出指标下设经济效益、社会效益指标、生态效益指标3个二级指标。总分值20分，得分20分，得分率100.00%。四是服务对象满意度指标指标根据我院向社会提供公共产品和服务的主要对象，服务对象满意度主要考察法院工作人员满意度。该指标分值合计10分，自评得分10分，得分率100.00%。</w:t>
      </w:r>
      <w:r>
        <w:rPr>
          <w:rFonts w:hint="eastAsia" w:ascii="宋体" w:hAnsi="宋体" w:eastAsia="宋体" w:cs="宋体"/>
          <w:color w:val="auto"/>
          <w:kern w:val="0"/>
          <w:sz w:val="24"/>
          <w:szCs w:val="24"/>
          <w:lang w:val="en-US"/>
        </w:rPr>
        <w:t>。发现的主要问题及原因：</w:t>
      </w:r>
      <w:r>
        <w:rPr>
          <w:rFonts w:hint="eastAsia" w:ascii="宋体" w:hAnsi="宋体" w:eastAsia="宋体" w:cs="宋体"/>
          <w:color w:val="auto"/>
          <w:kern w:val="0"/>
          <w:sz w:val="24"/>
          <w:szCs w:val="24"/>
          <w:lang w:val="en-US" w:eastAsia="zh-CN"/>
        </w:rPr>
        <w:t>资金执行率较低</w:t>
      </w:r>
      <w:r>
        <w:rPr>
          <w:rFonts w:hint="eastAsia" w:ascii="宋体" w:hAnsi="宋体" w:eastAsia="宋体" w:cs="宋体"/>
          <w:color w:val="auto"/>
          <w:kern w:val="0"/>
          <w:sz w:val="24"/>
          <w:szCs w:val="24"/>
          <w:lang w:val="en-US"/>
        </w:rPr>
        <w:t>。下一步改进措施：</w:t>
      </w:r>
      <w:r>
        <w:rPr>
          <w:rFonts w:hint="eastAsia" w:ascii="宋体" w:hAnsi="宋体" w:eastAsia="宋体" w:cs="宋体"/>
          <w:color w:val="auto"/>
          <w:kern w:val="0"/>
          <w:sz w:val="24"/>
          <w:szCs w:val="24"/>
          <w:lang w:val="en-US" w:eastAsia="zh-CN"/>
        </w:rPr>
        <w:t>做好预算工作保障资金应支尽支</w:t>
      </w:r>
      <w:r>
        <w:rPr>
          <w:rFonts w:hint="eastAsia" w:ascii="宋体" w:hAnsi="宋体" w:eastAsia="宋体" w:cs="宋体"/>
          <w:color w:val="auto"/>
          <w:kern w:val="0"/>
          <w:sz w:val="24"/>
          <w:szCs w:val="24"/>
          <w:lang w:val="en-US"/>
        </w:rPr>
        <w:t>。</w:t>
      </w:r>
      <w:r>
        <w:rPr>
          <w:rFonts w:hint="eastAsia" w:ascii="宋体" w:hAnsi="宋体" w:eastAsia="宋体" w:cs="宋体"/>
          <w:color w:val="auto"/>
          <w:kern w:val="0"/>
          <w:sz w:val="24"/>
          <w:szCs w:val="24"/>
          <w:lang w:val="en-US" w:eastAsia="zh-CN"/>
        </w:rPr>
        <w:t>全省法院业务费</w:t>
      </w:r>
      <w:r>
        <w:rPr>
          <w:rFonts w:hint="eastAsia" w:ascii="宋体" w:hAnsi="宋体" w:eastAsia="宋体" w:cs="宋体"/>
          <w:color w:val="auto"/>
          <w:kern w:val="0"/>
          <w:sz w:val="24"/>
          <w:szCs w:val="24"/>
          <w:lang w:val="en-US"/>
        </w:rPr>
        <w:t>项目绩效自评情况：</w:t>
      </w:r>
      <w:r>
        <w:rPr>
          <w:rFonts w:hint="eastAsia" w:ascii="宋体" w:hAnsi="宋体" w:eastAsia="宋体" w:cs="宋体"/>
          <w:color w:val="auto"/>
          <w:kern w:val="0"/>
          <w:sz w:val="24"/>
          <w:szCs w:val="24"/>
          <w:lang w:val="en-US" w:eastAsia="zh-CN"/>
        </w:rPr>
        <w:t>良</w:t>
      </w:r>
      <w:r>
        <w:rPr>
          <w:rFonts w:hint="eastAsia" w:ascii="宋体" w:hAnsi="宋体" w:eastAsia="宋体" w:cs="宋体"/>
          <w:color w:val="auto"/>
          <w:kern w:val="0"/>
          <w:sz w:val="24"/>
          <w:szCs w:val="24"/>
          <w:lang w:val="en-US"/>
        </w:rPr>
        <w:t>。</w:t>
      </w:r>
    </w:p>
    <w:p w14:paraId="5D4ED53F">
      <w:pPr>
        <w:pageBreakBefore w:val="0"/>
        <w:widowControl/>
        <w:kinsoku/>
        <w:wordWrap/>
        <w:overflowPunct/>
        <w:topLinePunct w:val="0"/>
        <w:autoSpaceDE/>
        <w:autoSpaceDN/>
        <w:bidi w:val="0"/>
        <w:adjustRightInd/>
        <w:snapToGrid/>
        <w:spacing w:before="100" w:beforeLines="0" w:after="100" w:afterLines="0" w:line="360" w:lineRule="exact"/>
        <w:jc w:val="center"/>
        <w:textAlignment w:val="auto"/>
        <w:rPr>
          <w:rFonts w:hint="eastAsia" w:ascii="宋体" w:hAnsi="宋体" w:eastAsia="宋体" w:cs="宋体"/>
          <w:color w:val="auto"/>
          <w:sz w:val="24"/>
          <w:szCs w:val="24"/>
          <w:lang w:val="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579BE8E5">
      <w:pPr>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3A315B48">
      <w:pPr>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10A0A9FB">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06A47777">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0607F5A8">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5DBF5C69">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607E12EB">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728EDA7F">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711BEDC">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1151134D">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13469940">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013175E1">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4FAEEF7">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B919EC4">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22B272C4">
      <w:pPr>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宋体" w:hAnsi="宋体" w:eastAsia="宋体" w:cs="宋体"/>
          <w:color w:val="auto"/>
          <w:sz w:val="24"/>
          <w:szCs w:val="24"/>
          <w:lang w:val="zh-CN"/>
        </w:rPr>
      </w:pPr>
    </w:p>
    <w:p w14:paraId="4015BB89">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附件1：2023年度省级预算执行情况绩效自评报表</w:t>
      </w:r>
    </w:p>
    <w:p w14:paraId="575E05D3">
      <w:pPr>
        <w:keepNext w:val="0"/>
        <w:keepLines w:val="0"/>
        <w:pageBreakBefore w:val="0"/>
        <w:widowControl/>
        <w:kinsoku/>
        <w:wordWrap/>
        <w:overflowPunct/>
        <w:topLinePunct w:val="0"/>
        <w:autoSpaceDE/>
        <w:autoSpaceDN/>
        <w:bidi w:val="0"/>
        <w:adjustRightInd/>
        <w:snapToGrid/>
        <w:spacing w:before="100" w:beforeLines="0" w:after="100" w:afterLines="0" w:line="360" w:lineRule="exact"/>
        <w:jc w:val="both"/>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附件2：2023年碌曲县人民法院预算执行情况绩效自评报告</w:t>
      </w:r>
    </w:p>
    <w:p w14:paraId="0719336F">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both"/>
        <w:textAlignment w:val="auto"/>
        <w:rPr>
          <w:rFonts w:hint="eastAsia" w:ascii="仿宋_GB2312" w:hAnsi="仿宋_GB2312" w:eastAsia="仿宋_GB2312" w:cs="仿宋_GB2312"/>
          <w:color w:val="auto"/>
          <w:sz w:val="28"/>
          <w:szCs w:val="28"/>
          <w:lang w:val="zh-CN"/>
        </w:rPr>
      </w:pPr>
    </w:p>
    <w:p w14:paraId="30612960">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both"/>
        <w:textAlignment w:val="auto"/>
        <w:rPr>
          <w:rFonts w:hint="eastAsia" w:ascii="仿宋_GB2312" w:hAnsi="仿宋_GB2312" w:eastAsia="仿宋_GB2312" w:cs="仿宋_GB2312"/>
          <w:color w:val="auto"/>
          <w:sz w:val="28"/>
          <w:szCs w:val="28"/>
          <w:lang w:val="zh-CN"/>
        </w:rPr>
      </w:pPr>
    </w:p>
    <w:p w14:paraId="349B27C9">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碌曲县人民法院</w:t>
      </w:r>
    </w:p>
    <w:p w14:paraId="756DCF68">
      <w:pPr>
        <w:keepNext w:val="0"/>
        <w:keepLines w:val="0"/>
        <w:pageBreakBefore w:val="0"/>
        <w:widowControl/>
        <w:kinsoku/>
        <w:wordWrap/>
        <w:overflowPunct/>
        <w:topLinePunct w:val="0"/>
        <w:autoSpaceDE/>
        <w:autoSpaceDN/>
        <w:bidi w:val="0"/>
        <w:adjustRightInd/>
        <w:snapToGrid/>
        <w:spacing w:before="100" w:beforeLines="0" w:after="100" w:afterLines="0" w:line="5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2024年8月19日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7CEA"/>
    <w:multiLevelType w:val="singleLevel"/>
    <w:tmpl w:val="66B47CEA"/>
    <w:lvl w:ilvl="0" w:tentative="0">
      <w:start w:val="2"/>
      <w:numFmt w:val="chineseCounting"/>
      <w:suff w:val="nothing"/>
      <w:lvlText w:val="（%1）"/>
      <w:lvlJc w:val="left"/>
      <w:rPr>
        <w:rFonts w:hint="eastAsia"/>
      </w:rPr>
    </w:lvl>
  </w:abstractNum>
  <w:abstractNum w:abstractNumId="1">
    <w:nsid w:val="66B47CF5"/>
    <w:multiLevelType w:val="singleLevel"/>
    <w:tmpl w:val="66B47CF5"/>
    <w:lvl w:ilvl="0" w:tentative="0">
      <w:start w:val="2"/>
      <w:numFmt w:val="chineseCounting"/>
      <w:lvlText w:val="(%1)"/>
      <w:lvlJc w:val="left"/>
      <w:pPr>
        <w:tabs>
          <w:tab w:val="left" w:pos="312"/>
        </w:tabs>
      </w:pPr>
      <w:rPr>
        <w:rFonts w:hint="eastAsia"/>
      </w:rPr>
    </w:lvl>
  </w:abstractNum>
  <w:abstractNum w:abstractNumId="2">
    <w:nsid w:val="66B47D00"/>
    <w:multiLevelType w:val="singleLevel"/>
    <w:tmpl w:val="66B47D00"/>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3">
    <w:nsid w:val="66B49928"/>
    <w:multiLevelType w:val="singleLevel"/>
    <w:tmpl w:val="66B49928"/>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ZjUyMTdmZGEzMzkwMjVmZjZhN2UyMjFmODdjYTIifQ=="/>
  </w:docVars>
  <w:rsids>
    <w:rsidRoot w:val="00000000"/>
    <w:rsid w:val="04221D5D"/>
    <w:rsid w:val="054E3324"/>
    <w:rsid w:val="0DB418FE"/>
    <w:rsid w:val="126607F4"/>
    <w:rsid w:val="1F3664BD"/>
    <w:rsid w:val="25085151"/>
    <w:rsid w:val="25934826"/>
    <w:rsid w:val="29FC4F37"/>
    <w:rsid w:val="2B996BCA"/>
    <w:rsid w:val="32861D75"/>
    <w:rsid w:val="3DC54B58"/>
    <w:rsid w:val="54071FCD"/>
    <w:rsid w:val="71ED71DC"/>
    <w:rsid w:val="76652B36"/>
    <w:rsid w:val="7B7364C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0</TotalTime>
  <ScaleCrop>false</ScaleCrop>
  <LinksUpToDate>false</LinksUpToDate>
  <CharactersWithSpaces>16240</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2024-08-07T09:26:33Z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0</TotalTime>
  <Pages>13</Pages>
  <Words>6363</Words>
  <Characters>16240</Characters>
  <Application>WPS Office_11.1.0.12980_F1E327BC-269C-435d-A152-05C5408002CA</Application>
  <DocSecurity>0</DocSecurity>
  <Lines>0</Lines>
  <Paragraphs>0</Paragraphs>
  <CharactersWithSpaces>16240</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2024-08-07T09:26:33Z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0</TotalTime>
  <ScaleCrop>false</ScaleCrop>
  <LinksUpToDate>false</LinksUpToDate>
  <CharactersWithSpaces>16240</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2024-08-07T09:26:33Z</dcterms:modified>
  <cp:revision>1</cp:revision>
</cp:coreProperties>
</file>

<file path=customXml/itemProps1.xml><?xml version="1.0" encoding="utf-8"?>
<ds:datastoreItem xmlns:ds="http://schemas.openxmlformats.org/officeDocument/2006/customXml" ds:itemID="{3427123b-64fd-4f48-a53b-f1e357d7460e}">
  <ds:schemaRefs/>
</ds:datastoreItem>
</file>

<file path=customXml/itemProps2.xml><?xml version="1.0" encoding="utf-8"?>
<ds:datastoreItem xmlns:ds="http://schemas.openxmlformats.org/officeDocument/2006/customXml" ds:itemID="{8b403601-2672-4af8-bd91-ce7eaf95dee4}">
  <ds:schemaRefs/>
</ds:datastoreItem>
</file>

<file path=customXml/itemProps3.xml><?xml version="1.0" encoding="utf-8"?>
<ds:datastoreItem xmlns:ds="http://schemas.openxmlformats.org/officeDocument/2006/customXml" ds:itemID="{d892d84c-ac51-4060-aa48-d7ef646f2c3c}">
  <ds:schemaRefs/>
</ds:datastoreItem>
</file>

<file path=customXml/itemProps4.xml><?xml version="1.0" encoding="utf-8"?>
<ds:datastoreItem xmlns:ds="http://schemas.openxmlformats.org/officeDocument/2006/customXml" ds:itemID="{529e167f-4bf5-4cac-8b57-c1a672e91080}">
  <ds:schemaRefs/>
</ds:datastoreItem>
</file>

<file path=customXml/itemProps5.xml><?xml version="1.0" encoding="utf-8"?>
<ds:datastoreItem xmlns:ds="http://schemas.openxmlformats.org/officeDocument/2006/customXml" ds:itemID="{70e4c9f9-5b65-4b36-8174-154ee7e53110}">
  <ds:schemaRefs/>
</ds:datastoreItem>
</file>

<file path=customXml/itemProps6.xml><?xml version="1.0" encoding="utf-8"?>
<ds:datastoreItem xmlns:ds="http://schemas.openxmlformats.org/officeDocument/2006/customXml" ds:itemID="{5659e7a1-c9ad-4554-a4a5-67a6b0326a09}">
  <ds:schemaRefs/>
</ds:datastoreItem>
</file>

<file path=customXml/itemProps7.xml><?xml version="1.0" encoding="utf-8"?>
<ds:datastoreItem xmlns:ds="http://schemas.openxmlformats.org/officeDocument/2006/customXml" ds:itemID="{9d873edc-1b83-4f66-982f-7d31e829455e}">
  <ds:schemaRefs/>
</ds:datastoreItem>
</file>

<file path=customXml/itemProps8.xml><?xml version="1.0" encoding="utf-8"?>
<ds:datastoreItem xmlns:ds="http://schemas.openxmlformats.org/officeDocument/2006/customXml" ds:itemID="{2a465398-ffa4-45d2-be48-98069e08e6dd}">
  <ds:schemaRefs/>
</ds:datastoreItem>
</file>

<file path=customXml/itemProps9.xml><?xml version="1.0" encoding="utf-8"?>
<ds:datastoreItem xmlns:ds="http://schemas.openxmlformats.org/officeDocument/2006/customXml" ds:itemID="{a52e5dee-0566-4276-937e-e058748febdc}">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5438</Words>
  <Characters>6061</Characters>
  <Lines>0</Lines>
  <Paragraphs>0</Paragraphs>
  <TotalTime>0</TotalTime>
  <ScaleCrop>false</ScaleCrop>
  <LinksUpToDate>false</LinksUpToDate>
  <CharactersWithSpaces>6141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同风起丶</cp:lastModifiedBy>
  <cp:lastPrinted>2024-08-09T01:00:00Z</cp:lastPrinted>
  <dcterms:modified xsi:type="dcterms:W3CDTF">2024-08-13T08:12:20Z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E06D266F13EA4024808CEEADBAD91186_11</vt:lpwstr>
  </property>
</Properties>
</file>