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720" w:lineRule="auto"/>
        <w:ind w:firstLine="0" w:firstLineChars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金昌市永昌县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人民法院</w:t>
      </w:r>
    </w:p>
    <w:p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预算执行情况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绩效</w:t>
      </w:r>
      <w:r>
        <w:rPr>
          <w:rFonts w:ascii="宋体" w:hAnsi="宋体" w:eastAsia="宋体"/>
          <w:b/>
          <w:bCs/>
          <w:sz w:val="44"/>
          <w:szCs w:val="44"/>
        </w:rPr>
        <w:t>自评报告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金昌市永昌县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人民法院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月</w:t>
      </w:r>
    </w:p>
    <w:p>
      <w:pPr>
        <w:ind w:firstLine="560"/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30"/>
            <w:spacing w:line="360" w:lineRule="auto"/>
            <w:ind w:firstLine="560"/>
            <w:jc w:val="center"/>
            <w:rPr>
              <w:rFonts w:ascii="黑体" w:hAnsi="黑体" w:eastAsia="黑体"/>
              <w:color w:val="auto"/>
            </w:rPr>
          </w:pPr>
          <w:r>
            <w:rPr>
              <w:rFonts w:ascii="黑体" w:hAnsi="黑体" w:eastAsia="黑体"/>
              <w:color w:val="auto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lang w:val="zh-CN"/>
            </w:rPr>
            <w:t xml:space="preserve"> 录</w:t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_Toc517 </w:instrText>
          </w:r>
          <w:r>
            <w:fldChar w:fldCharType="separate"/>
          </w:r>
          <w:r>
            <w:rPr>
              <w:rFonts w:hint="eastAsia"/>
              <w:highlight w:val="none"/>
            </w:rPr>
            <w:t>一、基本情况</w:t>
          </w:r>
          <w:r>
            <w:tab/>
          </w:r>
          <w:r>
            <w:fldChar w:fldCharType="begin"/>
          </w:r>
          <w:r>
            <w:instrText xml:space="preserve"> PAGEREF _Toc517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_Toc15676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（一）部门主要职能</w:t>
          </w:r>
          <w:r>
            <w:tab/>
          </w:r>
          <w:r>
            <w:fldChar w:fldCharType="begin"/>
          </w:r>
          <w:r>
            <w:instrText xml:space="preserve"> PAGEREF _Toc15676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_Toc22386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（二）内设机构及所属</w:t>
          </w:r>
          <w:r>
            <w:rPr>
              <w:rFonts w:hint="eastAsia"/>
              <w:highlight w:val="none"/>
              <w:lang w:eastAsia="zh-CN"/>
            </w:rPr>
            <w:t>部门</w:t>
          </w:r>
          <w:r>
            <w:rPr>
              <w:rFonts w:hint="eastAsia"/>
              <w:highlight w:val="none"/>
            </w:rPr>
            <w:t>概况</w:t>
          </w:r>
          <w:r>
            <w:tab/>
          </w:r>
          <w:r>
            <w:fldChar w:fldCharType="begin"/>
          </w:r>
          <w:r>
            <w:instrText xml:space="preserve"> PAGEREF _Toc22386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_Toc5388 </w:instrText>
          </w:r>
          <w:r>
            <w:fldChar w:fldCharType="separate"/>
          </w:r>
          <w:r>
            <w:rPr>
              <w:rFonts w:hint="eastAsia"/>
              <w:highlight w:val="none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_Toc5388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_Toc18224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一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自评工作组织管理情况</w:t>
          </w:r>
          <w:r>
            <w:tab/>
          </w:r>
          <w:r>
            <w:fldChar w:fldCharType="begin"/>
          </w:r>
          <w:r>
            <w:instrText xml:space="preserve"> PAGEREF _Toc18224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_Toc17597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二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自评范围</w:t>
          </w:r>
          <w:r>
            <w:tab/>
          </w:r>
          <w:r>
            <w:fldChar w:fldCharType="begin"/>
          </w:r>
          <w:r>
            <w:instrText xml:space="preserve"> PAGEREF _Toc17597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_Toc16728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三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自评工作程序</w:t>
          </w:r>
          <w:r>
            <w:tab/>
          </w:r>
          <w:r>
            <w:fldChar w:fldCharType="begin"/>
          </w:r>
          <w:r>
            <w:instrText xml:space="preserve"> PAGEREF _Toc16728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_Toc31730 </w:instrText>
          </w:r>
          <w:r>
            <w:fldChar w:fldCharType="separate"/>
          </w:r>
          <w:r>
            <w:rPr>
              <w:rFonts w:hint="eastAsia"/>
              <w:highlight w:val="none"/>
            </w:rPr>
            <w:t>三、部门整体支出绩效自评情况分析</w:t>
          </w:r>
          <w:r>
            <w:tab/>
          </w:r>
          <w:r>
            <w:rPr>
              <w:rFonts w:hint="eastAsia"/>
              <w:lang w:val="en-US" w:eastAsia="zh-CN"/>
            </w:rPr>
            <w:t>5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_Toc6196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_Toc6196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_Toc26692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_Toc26692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_Toc2588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_Toc2588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_Toc32432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（四）</w:t>
          </w:r>
          <w:r>
            <w:rPr>
              <w:rFonts w:hint="eastAsia"/>
              <w:highlight w:val="none"/>
            </w:rPr>
            <w:t>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_Toc32432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_Toc8716 </w:instrText>
          </w:r>
          <w:r>
            <w:fldChar w:fldCharType="separate"/>
          </w:r>
          <w:r>
            <w:rPr>
              <w:rFonts w:hint="eastAsia"/>
              <w:highlight w:val="none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_Toc8716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_Toc18014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（一）</w:t>
          </w:r>
          <w:r>
            <w:rPr>
              <w:rFonts w:hint="eastAsia"/>
              <w:highlight w:val="none"/>
            </w:rPr>
            <w:t>法庭运维费</w:t>
          </w:r>
          <w:r>
            <w:rPr>
              <w:rFonts w:hint="eastAsia"/>
              <w:highlight w:val="none"/>
              <w:lang w:val="en-US" w:eastAsia="zh-CN"/>
            </w:rPr>
            <w:t>项目</w:t>
          </w:r>
          <w:r>
            <w:tab/>
          </w:r>
          <w:r>
            <w:fldChar w:fldCharType="begin"/>
          </w:r>
          <w:r>
            <w:instrText xml:space="preserve"> PAGEREF _Toc18014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_Toc14630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（二）业务费</w:t>
          </w:r>
          <w:r>
            <w:tab/>
          </w:r>
          <w:r>
            <w:fldChar w:fldCharType="begin"/>
          </w:r>
          <w:r>
            <w:instrText xml:space="preserve"> PAGEREF _Toc14630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_Toc24771 </w:instrText>
          </w:r>
          <w:r>
            <w:fldChar w:fldCharType="separate"/>
          </w:r>
          <w:r>
            <w:rPr>
              <w:rFonts w:hint="eastAsia"/>
              <w:highlight w:val="none"/>
            </w:rPr>
            <w:t>五、部门管理的省对市县转移支付绩效自评情况分析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_Toc24771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_Toc19580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（一）中央政法转移支付资金</w:t>
          </w:r>
          <w:r>
            <w:tab/>
          </w:r>
          <w:r>
            <w:fldChar w:fldCharType="begin"/>
          </w:r>
          <w:r>
            <w:instrText xml:space="preserve"> PAGEREF _Toc19580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_Toc31318 </w:instrText>
          </w:r>
          <w:r>
            <w:fldChar w:fldCharType="separate"/>
          </w:r>
          <w:r>
            <w:rPr>
              <w:rFonts w:hint="eastAsia"/>
              <w:highlight w:val="none"/>
            </w:rPr>
            <w:t>六、绩效自评结果拟应用和公开情况</w:t>
          </w:r>
          <w:r>
            <w:tab/>
          </w:r>
          <w:r>
            <w:fldChar w:fldCharType="begin"/>
          </w:r>
          <w:r>
            <w:instrText xml:space="preserve"> PAGEREF _Toc31318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_Toc5032 </w:instrText>
          </w:r>
          <w:r>
            <w:fldChar w:fldCharType="separate"/>
          </w:r>
          <w:r>
            <w:rPr>
              <w:rFonts w:hint="eastAsia"/>
              <w:highlight w:val="none"/>
            </w:rPr>
            <w:t>七、其他需要说明的问题</w:t>
          </w:r>
          <w:r>
            <w:tab/>
          </w:r>
          <w:r>
            <w:fldChar w:fldCharType="begin"/>
          </w:r>
          <w:r>
            <w:instrText xml:space="preserve"> PAGEREF _Toc5032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</w:pPr>
          <w:r>
            <w:fldChar w:fldCharType="end"/>
          </w:r>
        </w:p>
      </w:sdtContent>
    </w:sdt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</w:pPr>
      <w:bookmarkStart w:id="0" w:name="_Toc4040"/>
      <w:bookmarkStart w:id="1" w:name="_Toc13158"/>
      <w:bookmarkStart w:id="2" w:name="_Toc18188"/>
      <w:bookmarkStart w:id="3" w:name="_Toc28671"/>
      <w:bookmarkStart w:id="4" w:name="_Toc22477"/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t>金昌市永昌县人民法院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年度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Arial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预算执行情况自评报告</w:t>
      </w:r>
      <w:bookmarkEnd w:id="0"/>
      <w:bookmarkEnd w:id="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highlight w:val="none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highlight w:val="none"/>
        </w:rPr>
      </w:pPr>
      <w:bookmarkStart w:id="5" w:name="_Toc517"/>
      <w:r>
        <w:rPr>
          <w:rFonts w:hint="eastAsia"/>
          <w:highlight w:val="none"/>
        </w:rPr>
        <w:t>一、基本情况</w:t>
      </w:r>
      <w:bookmarkEnd w:id="2"/>
      <w:bookmarkEnd w:id="3"/>
      <w:bookmarkEnd w:id="4"/>
      <w:bookmarkEnd w:id="5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highlight w:val="none"/>
        </w:rPr>
      </w:pPr>
      <w:bookmarkStart w:id="6" w:name="_Toc819"/>
      <w:bookmarkStart w:id="7" w:name="_Toc15676"/>
      <w:bookmarkStart w:id="8" w:name="_Toc18868"/>
      <w:bookmarkStart w:id="9" w:name="_Toc24636"/>
      <w:r>
        <w:rPr>
          <w:rFonts w:hint="eastAsia"/>
          <w:highlight w:val="none"/>
        </w:rPr>
        <w:t>（一）部门主要职能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bookmarkStart w:id="10" w:name="_Toc25335"/>
      <w:bookmarkStart w:id="11" w:name="_Toc20782"/>
      <w:bookmarkStart w:id="12" w:name="_Toc7151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县级人民法院是国家最基层的审判机关，依法独立行使审判权，对县级地方人民代表大会及其常务委员会负责并报告工作。其主要职责是：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1、审理按法律规定有管辖权的第一审刑事公诉和自诉案件；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2、审理按法律规定有管辖权的第一审民商事案件；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3、审理按法律规定有管辖权的第一审行政诉讼案件，审查由行政机关提出的非诉行政执行申请；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4、审理由上级人民法院指定本院管辖的案件；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5、审理由上一级人民法院指令再审、发回重审和由本院提起再审的案件；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6、受理当事人因不服本院已发生法律效力的判决书、裁定书、调解书所提起的申诉，并予以审查处理；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7、依法行使司法执行权，执行当事人提出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申请的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由本院作出一审已发生法律效力的各类案件；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8、调查研究审判工作中的法律政策及疑难问题，总结审判经验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9、负责对法官和审判辅助人员的管理、教育、培训工作；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10、在审判工作中宣传法律，教育公民自觉遵守宪法和法律，参与社会治安综合治理；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11、指导人民调解委员会的工作；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12、处理法律规定应由基层人民法院处理的其他工作。</w:t>
      </w:r>
    </w:p>
    <w:p>
      <w:pPr>
        <w:pStyle w:val="3"/>
        <w:ind w:firstLine="643"/>
        <w:rPr>
          <w:rFonts w:hint="eastAsia"/>
          <w:highlight w:val="none"/>
        </w:rPr>
      </w:pPr>
      <w:bookmarkStart w:id="13" w:name="_Toc22386"/>
      <w:r>
        <w:rPr>
          <w:rFonts w:hint="eastAsia"/>
          <w:highlight w:val="none"/>
        </w:rPr>
        <w:t>（二）内设机构及所属</w:t>
      </w:r>
      <w:r>
        <w:rPr>
          <w:rFonts w:hint="eastAsia"/>
          <w:highlight w:val="none"/>
          <w:lang w:eastAsia="zh-CN"/>
        </w:rPr>
        <w:t>部门</w:t>
      </w:r>
      <w:r>
        <w:rPr>
          <w:rFonts w:hint="eastAsia"/>
          <w:highlight w:val="none"/>
        </w:rPr>
        <w:t>概况</w:t>
      </w:r>
      <w:bookmarkEnd w:id="10"/>
      <w:bookmarkEnd w:id="11"/>
      <w:bookmarkEnd w:id="12"/>
      <w:bookmarkEnd w:id="13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bookmarkStart w:id="14" w:name="_Toc10094"/>
      <w:bookmarkStart w:id="15" w:name="_Toc4574"/>
      <w:bookmarkStart w:id="16" w:name="_Toc13794"/>
      <w:bookmarkStart w:id="17" w:name="_Toc1819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永昌县人民法院下设有政治部、综合办公室、立案庭、刑事审判庭、民事审判庭，综合审判庭、执行庭（局）、审判管理办公室等8个内设机构和河西堡、清河、东河、西河，八一5个派出法庭。截止2023年12月实有人员84人，其中：行政人员78人，非参公事业人员6人。</w:t>
      </w:r>
      <w:bookmarkEnd w:id="14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highlight w:val="none"/>
          <w:lang w:val="en-US" w:eastAsia="zh-CN"/>
        </w:rPr>
      </w:pPr>
      <w:bookmarkStart w:id="18" w:name="_Toc5388"/>
      <w:r>
        <w:rPr>
          <w:rFonts w:hint="eastAsia"/>
          <w:highlight w:val="none"/>
        </w:rPr>
        <w:t>二、绩效自评工作组织开展情况</w:t>
      </w:r>
      <w:bookmarkEnd w:id="18"/>
    </w:p>
    <w:p>
      <w:pPr>
        <w:pStyle w:val="3"/>
        <w:rPr>
          <w:highlight w:val="none"/>
        </w:rPr>
      </w:pPr>
      <w:bookmarkStart w:id="19" w:name="_Toc18224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自评工作组织管理情况</w:t>
      </w:r>
      <w:bookmarkEnd w:id="19"/>
    </w:p>
    <w:bookmarkEnd w:id="15"/>
    <w:bookmarkEnd w:id="16"/>
    <w:bookmarkEnd w:id="17"/>
    <w:p>
      <w:pPr>
        <w:rPr>
          <w:sz w:val="32"/>
          <w:szCs w:val="32"/>
          <w:highlight w:val="none"/>
        </w:rPr>
      </w:pPr>
      <w:bookmarkStart w:id="20" w:name="_Toc29448"/>
      <w:bookmarkStart w:id="21" w:name="_Toc28216"/>
      <w:bookmarkStart w:id="22" w:name="_Toc13356"/>
      <w:bookmarkStart w:id="23" w:name="_Toc26980"/>
      <w:bookmarkStart w:id="24" w:name="_Toc11147"/>
      <w:bookmarkStart w:id="25" w:name="_Toc4177"/>
      <w:bookmarkStart w:id="26" w:name="_Toc31965"/>
      <w:r>
        <w:rPr>
          <w:rFonts w:hint="eastAsia" w:hAnsi="宋体"/>
          <w:sz w:val="32"/>
          <w:szCs w:val="32"/>
          <w:highlight w:val="none"/>
        </w:rPr>
        <w:t>我院十分重视此次绩效评价工作，要求财务部门严格按照省上有关文件精神，科学分析，精准评价，确保绩效评价客观公正。</w:t>
      </w:r>
      <w:r>
        <w:rPr>
          <w:rFonts w:hint="eastAsia"/>
          <w:sz w:val="32"/>
          <w:szCs w:val="32"/>
          <w:highlight w:val="none"/>
        </w:rPr>
        <w:t>工作启动后，</w:t>
      </w:r>
      <w:r>
        <w:rPr>
          <w:rFonts w:hint="eastAsia" w:hAnsi="宋体"/>
          <w:sz w:val="32"/>
          <w:szCs w:val="32"/>
          <w:highlight w:val="none"/>
        </w:rPr>
        <w:t>严格按照《中华人民共和国预算法》《中华人民共和国预算法实施条例》《中共中央 国务院关于全面实施预算绩效管理的意见》（中发〔2018〕34号）、《中共甘肃省委 甘肃省人民政府关于全面实施预算绩效管理的实施意见》（中发〔2018〕32号）、《甘肃省省级预算绩效管理办法》（甘财绩〔2020〕5号）</w:t>
      </w:r>
      <w:r>
        <w:rPr>
          <w:sz w:val="32"/>
          <w:szCs w:val="32"/>
          <w:highlight w:val="none"/>
        </w:rPr>
        <w:t>等文件的要求，联合各相关</w:t>
      </w:r>
      <w:r>
        <w:rPr>
          <w:rFonts w:hint="eastAsia"/>
          <w:sz w:val="32"/>
          <w:szCs w:val="32"/>
          <w:highlight w:val="none"/>
          <w:lang w:eastAsia="zh-CN"/>
        </w:rPr>
        <w:t>业务部门</w:t>
      </w:r>
      <w:r>
        <w:rPr>
          <w:sz w:val="32"/>
          <w:szCs w:val="32"/>
          <w:highlight w:val="none"/>
        </w:rPr>
        <w:t>共同完成此次自评</w:t>
      </w:r>
      <w:r>
        <w:rPr>
          <w:rFonts w:hint="eastAsia"/>
          <w:sz w:val="32"/>
          <w:szCs w:val="32"/>
          <w:highlight w:val="none"/>
        </w:rPr>
        <w:t>工作。自评工作遵循科学公正、统筹兼顾、激励约束和公开透明的原则，以</w:t>
      </w:r>
      <w:r>
        <w:rPr>
          <w:rFonts w:hint="eastAsia"/>
          <w:sz w:val="32"/>
          <w:szCs w:val="32"/>
          <w:highlight w:val="none"/>
          <w:lang w:val="en-US" w:eastAsia="zh-CN"/>
        </w:rPr>
        <w:t>我院</w:t>
      </w:r>
      <w:r>
        <w:rPr>
          <w:rFonts w:hint="eastAsia"/>
          <w:sz w:val="32"/>
          <w:szCs w:val="32"/>
          <w:highlight w:val="none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年初设定的绩效目标及相关法律法规、政策要求、行业规划、部门职责等为依据，运用定量和定性相结合的评价方法，对</w:t>
      </w:r>
      <w:r>
        <w:rPr>
          <w:rFonts w:hint="eastAsia"/>
          <w:sz w:val="32"/>
          <w:szCs w:val="32"/>
          <w:highlight w:val="none"/>
          <w:lang w:val="en-US" w:eastAsia="zh-CN"/>
        </w:rPr>
        <w:t>我院</w:t>
      </w:r>
      <w:r>
        <w:rPr>
          <w:rFonts w:hint="eastAsia"/>
          <w:sz w:val="32"/>
          <w:szCs w:val="32"/>
          <w:highlight w:val="none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年度省级预算执行情况的经济性、效率性、效益性进行客观公正的分析评价。</w:t>
      </w:r>
    </w:p>
    <w:p>
      <w:pPr>
        <w:pStyle w:val="3"/>
        <w:rPr>
          <w:sz w:val="32"/>
          <w:szCs w:val="32"/>
          <w:highlight w:val="none"/>
        </w:rPr>
      </w:pPr>
      <w:bookmarkStart w:id="27" w:name="_Toc17597"/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自评范围</w:t>
      </w:r>
      <w:bookmarkEnd w:id="20"/>
      <w:bookmarkEnd w:id="21"/>
      <w:bookmarkEnd w:id="22"/>
      <w:bookmarkEnd w:id="23"/>
      <w:bookmarkEnd w:id="27"/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本次预算绩效自评价，按照省级部门项目支出、省对市县转移支付、部门整体支出三类评价对象全覆盖的原则，结合</w:t>
      </w:r>
      <w:r>
        <w:rPr>
          <w:rFonts w:hint="eastAsia"/>
          <w:sz w:val="32"/>
          <w:szCs w:val="32"/>
          <w:highlight w:val="none"/>
          <w:lang w:eastAsia="zh-CN"/>
        </w:rPr>
        <w:t>我院</w:t>
      </w:r>
      <w:r>
        <w:rPr>
          <w:sz w:val="32"/>
          <w:szCs w:val="32"/>
          <w:highlight w:val="none"/>
        </w:rPr>
        <w:t>实际情况，自评</w:t>
      </w:r>
      <w:r>
        <w:rPr>
          <w:rFonts w:hint="eastAsia" w:hAnsi="宋体"/>
          <w:sz w:val="32"/>
          <w:szCs w:val="32"/>
          <w:highlight w:val="none"/>
        </w:rPr>
        <w:t>中央政法转移支付</w:t>
      </w:r>
      <w:r>
        <w:rPr>
          <w:rFonts w:hint="eastAsia" w:hAnsi="宋体"/>
          <w:sz w:val="32"/>
          <w:szCs w:val="32"/>
          <w:highlight w:val="none"/>
          <w:lang w:eastAsia="zh-CN"/>
        </w:rPr>
        <w:t>资金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及</w:t>
      </w:r>
      <w:r>
        <w:rPr>
          <w:rFonts w:hint="eastAsia"/>
          <w:sz w:val="32"/>
          <w:szCs w:val="32"/>
          <w:highlight w:val="none"/>
        </w:rPr>
        <w:t>法庭运维费</w:t>
      </w:r>
      <w:r>
        <w:rPr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</w:rPr>
        <w:t>业务费</w:t>
      </w:r>
      <w:r>
        <w:rPr>
          <w:rFonts w:hint="eastAsia"/>
          <w:sz w:val="32"/>
          <w:szCs w:val="32"/>
          <w:highlight w:val="none"/>
          <w:lang w:val="en-US" w:eastAsia="zh-CN"/>
        </w:rPr>
        <w:t>两</w:t>
      </w:r>
      <w:r>
        <w:rPr>
          <w:sz w:val="32"/>
          <w:szCs w:val="32"/>
          <w:highlight w:val="none"/>
        </w:rPr>
        <w:t>个项目自评</w:t>
      </w:r>
      <w:r>
        <w:rPr>
          <w:rFonts w:hint="eastAsia"/>
          <w:sz w:val="32"/>
          <w:szCs w:val="32"/>
          <w:highlight w:val="none"/>
          <w:lang w:val="en-US" w:eastAsia="zh-CN"/>
        </w:rPr>
        <w:t>和</w:t>
      </w:r>
      <w:r>
        <w:rPr>
          <w:rFonts w:hint="eastAsia" w:hAnsi="宋体"/>
          <w:sz w:val="32"/>
          <w:szCs w:val="32"/>
          <w:highlight w:val="none"/>
          <w:lang w:eastAsia="zh-CN"/>
        </w:rPr>
        <w:t>部门</w:t>
      </w:r>
      <w:r>
        <w:rPr>
          <w:rFonts w:hint="eastAsia" w:hAnsi="宋体"/>
          <w:sz w:val="32"/>
          <w:szCs w:val="32"/>
          <w:highlight w:val="none"/>
        </w:rPr>
        <w:t>整体支出自评。</w:t>
      </w:r>
    </w:p>
    <w:p>
      <w:pPr>
        <w:pStyle w:val="3"/>
        <w:rPr>
          <w:highlight w:val="none"/>
        </w:rPr>
      </w:pPr>
      <w:bookmarkStart w:id="28" w:name="_Toc22785"/>
      <w:bookmarkStart w:id="29" w:name="_Toc25429"/>
      <w:bookmarkStart w:id="30" w:name="_Toc18694"/>
      <w:bookmarkStart w:id="31" w:name="_Toc16728"/>
      <w:bookmarkStart w:id="32" w:name="_Toc25203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自评工作程序</w:t>
      </w:r>
      <w:bookmarkEnd w:id="28"/>
      <w:bookmarkEnd w:id="29"/>
      <w:bookmarkEnd w:id="30"/>
      <w:bookmarkEnd w:id="31"/>
      <w:bookmarkEnd w:id="32"/>
    </w:p>
    <w:p>
      <w:pPr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本次绩效自评工作主要包括以下工作程序</w:t>
      </w:r>
      <w:r>
        <w:rPr>
          <w:rFonts w:hint="eastAsia"/>
          <w:sz w:val="32"/>
          <w:szCs w:val="32"/>
          <w:highlight w:val="none"/>
          <w:lang w:eastAsia="zh-CN"/>
        </w:rPr>
        <w:t>：</w:t>
      </w:r>
    </w:p>
    <w:p>
      <w:pPr>
        <w:rPr>
          <w:rFonts w:hint="eastAsia" w:eastAsia="仿宋_GB2312"/>
          <w:sz w:val="32"/>
          <w:szCs w:val="32"/>
          <w:highlight w:val="yellow"/>
          <w:lang w:eastAsia="zh-CN"/>
        </w:rPr>
      </w:pPr>
      <w:r>
        <w:rPr>
          <w:rFonts w:hint="eastAsia"/>
          <w:sz w:val="32"/>
          <w:szCs w:val="32"/>
          <w:highlight w:val="none"/>
        </w:rPr>
        <w:t>1.根据</w:t>
      </w:r>
      <w:r>
        <w:rPr>
          <w:rFonts w:hint="eastAsia"/>
          <w:sz w:val="32"/>
          <w:szCs w:val="32"/>
          <w:highlight w:val="none"/>
          <w:lang w:val="en-US" w:eastAsia="zh-CN"/>
        </w:rPr>
        <w:t>我院</w:t>
      </w:r>
      <w:r>
        <w:rPr>
          <w:rFonts w:hint="eastAsia"/>
          <w:sz w:val="32"/>
          <w:szCs w:val="32"/>
          <w:highlight w:val="none"/>
        </w:rPr>
        <w:t>整体</w:t>
      </w:r>
      <w:r>
        <w:rPr>
          <w:sz w:val="32"/>
          <w:szCs w:val="32"/>
          <w:highlight w:val="none"/>
        </w:rPr>
        <w:t>支出和</w:t>
      </w:r>
      <w:r>
        <w:rPr>
          <w:rFonts w:hint="eastAsia"/>
          <w:sz w:val="32"/>
          <w:szCs w:val="32"/>
          <w:highlight w:val="none"/>
        </w:rPr>
        <w:t>项目支出绩效目标的设定情况，通过各业务</w:t>
      </w:r>
      <w:r>
        <w:rPr>
          <w:rFonts w:hint="eastAsia"/>
          <w:sz w:val="32"/>
          <w:szCs w:val="32"/>
          <w:highlight w:val="none"/>
          <w:lang w:val="en-US" w:eastAsia="zh-CN"/>
        </w:rPr>
        <w:t>部门</w:t>
      </w:r>
      <w:r>
        <w:rPr>
          <w:rFonts w:hint="eastAsia"/>
          <w:sz w:val="32"/>
          <w:szCs w:val="32"/>
          <w:highlight w:val="none"/>
        </w:rPr>
        <w:t>收集</w:t>
      </w:r>
      <w:r>
        <w:rPr>
          <w:sz w:val="32"/>
          <w:szCs w:val="32"/>
          <w:highlight w:val="none"/>
        </w:rPr>
        <w:t>绩效目标</w:t>
      </w:r>
      <w:r>
        <w:rPr>
          <w:rFonts w:hint="eastAsia"/>
          <w:sz w:val="32"/>
          <w:szCs w:val="32"/>
          <w:highlight w:val="none"/>
        </w:rPr>
        <w:t>实现程度</w:t>
      </w:r>
      <w:r>
        <w:rPr>
          <w:sz w:val="32"/>
          <w:szCs w:val="32"/>
          <w:highlight w:val="none"/>
        </w:rPr>
        <w:t>、预算执行进度</w:t>
      </w:r>
      <w:r>
        <w:rPr>
          <w:rFonts w:hint="eastAsia"/>
          <w:sz w:val="32"/>
          <w:szCs w:val="32"/>
          <w:highlight w:val="none"/>
        </w:rPr>
        <w:t>等绩效评价</w:t>
      </w:r>
      <w:r>
        <w:rPr>
          <w:sz w:val="32"/>
          <w:szCs w:val="32"/>
          <w:highlight w:val="none"/>
        </w:rPr>
        <w:t>基础</w:t>
      </w:r>
      <w:r>
        <w:rPr>
          <w:rFonts w:hint="eastAsia"/>
          <w:sz w:val="32"/>
          <w:szCs w:val="32"/>
          <w:highlight w:val="none"/>
        </w:rPr>
        <w:t>资料</w:t>
      </w:r>
      <w:r>
        <w:rPr>
          <w:rFonts w:hint="eastAsia"/>
          <w:sz w:val="32"/>
          <w:szCs w:val="32"/>
          <w:highlight w:val="none"/>
          <w:lang w:eastAsia="zh-CN"/>
        </w:rPr>
        <w:t>；</w:t>
      </w:r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2.</w:t>
      </w:r>
      <w:r>
        <w:rPr>
          <w:rFonts w:hint="eastAsia"/>
          <w:sz w:val="32"/>
          <w:szCs w:val="32"/>
          <w:highlight w:val="none"/>
        </w:rPr>
        <w:t>整理分析相关资料，统计财政资金预算执行情况和各项</w:t>
      </w:r>
      <w:r>
        <w:rPr>
          <w:sz w:val="32"/>
          <w:szCs w:val="32"/>
          <w:highlight w:val="none"/>
        </w:rPr>
        <w:t>绩效目标完成</w:t>
      </w:r>
      <w:r>
        <w:rPr>
          <w:rFonts w:hint="eastAsia"/>
          <w:sz w:val="32"/>
          <w:szCs w:val="32"/>
          <w:highlight w:val="none"/>
        </w:rPr>
        <w:t>情况，对年初</w:t>
      </w:r>
      <w:r>
        <w:rPr>
          <w:sz w:val="32"/>
          <w:szCs w:val="32"/>
          <w:highlight w:val="none"/>
        </w:rPr>
        <w:t>设定的</w:t>
      </w:r>
      <w:r>
        <w:rPr>
          <w:rFonts w:hint="eastAsia"/>
          <w:sz w:val="32"/>
          <w:szCs w:val="32"/>
          <w:highlight w:val="none"/>
        </w:rPr>
        <w:t>绩效指标及各项指标完成情况进行对比分析，填写《202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年度部门预算执行情况绩效自评报表》；</w:t>
      </w:r>
    </w:p>
    <w:p>
      <w:pPr>
        <w:rPr>
          <w:rFonts w:hint="eastAsia"/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3.</w:t>
      </w:r>
      <w:r>
        <w:rPr>
          <w:rFonts w:hint="eastAsia"/>
          <w:sz w:val="32"/>
          <w:szCs w:val="32"/>
          <w:highlight w:val="none"/>
        </w:rPr>
        <w:t>总结评价结论，归纳问题，分析原因，提出改进</w:t>
      </w:r>
      <w:r>
        <w:rPr>
          <w:sz w:val="32"/>
          <w:szCs w:val="32"/>
          <w:highlight w:val="none"/>
        </w:rPr>
        <w:t>措施</w:t>
      </w:r>
      <w:r>
        <w:rPr>
          <w:rFonts w:hint="eastAsia"/>
          <w:sz w:val="32"/>
          <w:szCs w:val="32"/>
          <w:highlight w:val="none"/>
        </w:rPr>
        <w:t>，完成《202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年度预算执行情况自评报告》</w:t>
      </w:r>
      <w:r>
        <w:rPr>
          <w:rFonts w:hint="eastAsia"/>
          <w:sz w:val="32"/>
          <w:szCs w:val="32"/>
          <w:highlight w:val="none"/>
          <w:lang w:val="en-US" w:eastAsia="zh-CN"/>
        </w:rPr>
        <w:t>撰写；</w:t>
      </w:r>
    </w:p>
    <w:p>
      <w:pPr>
        <w:ind w:firstLine="56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4.</w:t>
      </w:r>
      <w:r>
        <w:rPr>
          <w:rFonts w:hint="eastAsia"/>
          <w:sz w:val="32"/>
          <w:szCs w:val="32"/>
          <w:highlight w:val="none"/>
        </w:rPr>
        <w:t>自评表和自评报告完成之后，进行内部审核，对自评表的真实性、完整性、合理性和客观性进行初步审核，并对发现的问题及时反馈和修改，修改完善后报送审核备案。</w:t>
      </w:r>
      <w:bookmarkEnd w:id="24"/>
      <w:bookmarkEnd w:id="25"/>
      <w:bookmarkEnd w:id="26"/>
      <w:bookmarkStart w:id="33" w:name="_Toc17042"/>
      <w:bookmarkStart w:id="34" w:name="_Toc31556"/>
      <w:bookmarkStart w:id="35" w:name="_Toc26000"/>
    </w:p>
    <w:p>
      <w:pPr>
        <w:ind w:firstLine="56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三、部门整体支出绩效自评情况分析</w:t>
      </w:r>
      <w:bookmarkEnd w:id="33"/>
      <w:bookmarkEnd w:id="34"/>
      <w:bookmarkEnd w:id="35"/>
      <w:r>
        <w:rPr>
          <w:rFonts w:hint="eastAsia" w:ascii="黑体" w:hAnsi="黑体" w:eastAsia="黑体" w:cs="黑体"/>
          <w:sz w:val="32"/>
          <w:szCs w:val="32"/>
          <w:highlight w:val="none"/>
        </w:rPr>
        <w:tab/>
      </w:r>
    </w:p>
    <w:p>
      <w:pPr>
        <w:pStyle w:val="3"/>
        <w:ind w:firstLine="643"/>
        <w:rPr>
          <w:rFonts w:hint="eastAsia"/>
          <w:highlight w:val="none"/>
          <w:lang w:eastAsia="zh-CN"/>
        </w:rPr>
      </w:pPr>
      <w:bookmarkStart w:id="36" w:name="_Toc8171"/>
      <w:bookmarkStart w:id="37" w:name="_Toc32623"/>
      <w:bookmarkStart w:id="38" w:name="_Toc3483"/>
      <w:bookmarkStart w:id="39" w:name="_Toc6196"/>
      <w:r>
        <w:rPr>
          <w:rFonts w:hint="eastAsia"/>
          <w:highlight w:val="none"/>
        </w:rPr>
        <w:t>（一）部门决算情况</w:t>
      </w:r>
      <w:bookmarkEnd w:id="36"/>
      <w:bookmarkEnd w:id="37"/>
      <w:bookmarkEnd w:id="38"/>
      <w:bookmarkEnd w:id="39"/>
    </w:p>
    <w:p>
      <w:pPr>
        <w:ind w:firstLine="560"/>
        <w:rPr>
          <w:rFonts w:hint="default"/>
          <w:sz w:val="32"/>
          <w:szCs w:val="32"/>
          <w:highlight w:val="none"/>
          <w:lang w:val="en-US" w:eastAsia="zh-CN"/>
        </w:rPr>
      </w:pPr>
      <w:bookmarkStart w:id="40" w:name="_Toc10769"/>
      <w:bookmarkStart w:id="41" w:name="_Toc22782"/>
      <w:bookmarkStart w:id="42" w:name="_Toc21423"/>
      <w:r>
        <w:rPr>
          <w:rFonts w:hint="eastAsia"/>
          <w:sz w:val="32"/>
          <w:szCs w:val="32"/>
          <w:highlight w:val="none"/>
          <w:lang w:val="en-US" w:eastAsia="zh-CN"/>
        </w:rPr>
        <w:t>2023年度，金昌市永昌县人民法院年初预算2,556.62万元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全年预算</w:t>
      </w:r>
      <w:r>
        <w:rPr>
          <w:rFonts w:hint="eastAsia"/>
          <w:sz w:val="32"/>
          <w:szCs w:val="32"/>
          <w:highlight w:val="none"/>
          <w:lang w:eastAsia="zh-CN"/>
        </w:rPr>
        <w:t>数</w:t>
      </w:r>
      <w:r>
        <w:rPr>
          <w:rFonts w:hint="eastAsia"/>
          <w:sz w:val="32"/>
          <w:szCs w:val="32"/>
          <w:highlight w:val="none"/>
          <w:lang w:val="en-US" w:eastAsia="zh-CN"/>
        </w:rPr>
        <w:t>2,984.37万元，实际支出数2,984.37万元，</w:t>
      </w:r>
      <w:r>
        <w:rPr>
          <w:rFonts w:hint="eastAsia"/>
          <w:sz w:val="32"/>
          <w:szCs w:val="32"/>
          <w:highlight w:val="none"/>
        </w:rPr>
        <w:t>部门整体支出预算执行率为</w:t>
      </w:r>
      <w:r>
        <w:rPr>
          <w:rFonts w:hint="eastAsia"/>
          <w:sz w:val="32"/>
          <w:szCs w:val="32"/>
          <w:highlight w:val="none"/>
          <w:lang w:val="en-US" w:eastAsia="zh-CN"/>
        </w:rPr>
        <w:t>100%。</w:t>
      </w:r>
    </w:p>
    <w:p>
      <w:pPr>
        <w:pStyle w:val="3"/>
        <w:ind w:left="0" w:leftChars="0" w:firstLine="643" w:firstLineChars="200"/>
        <w:rPr>
          <w:highlight w:val="none"/>
        </w:rPr>
      </w:pPr>
      <w:bookmarkStart w:id="43" w:name="_Toc26692"/>
      <w:r>
        <w:rPr>
          <w:rFonts w:hint="eastAsia"/>
          <w:highlight w:val="none"/>
        </w:rPr>
        <w:t>（二）总体绩效目标完成情况分析</w:t>
      </w:r>
      <w:bookmarkEnd w:id="40"/>
      <w:bookmarkEnd w:id="41"/>
      <w:bookmarkEnd w:id="42"/>
      <w:bookmarkEnd w:id="43"/>
    </w:p>
    <w:p>
      <w:pPr>
        <w:jc w:val="left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经综合评价与分析，</w:t>
      </w:r>
      <w:r>
        <w:rPr>
          <w:rFonts w:hint="eastAsia"/>
          <w:sz w:val="32"/>
          <w:szCs w:val="32"/>
          <w:highlight w:val="none"/>
          <w:lang w:val="en-US" w:eastAsia="zh-CN"/>
        </w:rPr>
        <w:t>金昌市永昌县</w:t>
      </w:r>
      <w:r>
        <w:rPr>
          <w:rFonts w:hint="eastAsia"/>
          <w:sz w:val="32"/>
          <w:szCs w:val="32"/>
          <w:highlight w:val="none"/>
          <w:lang w:eastAsia="zh-CN"/>
        </w:rPr>
        <w:t>人民法院202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sz w:val="32"/>
          <w:szCs w:val="32"/>
          <w:highlight w:val="none"/>
        </w:rPr>
        <w:t>年度部门整体支出绩效评价最终得分为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99.32</w:t>
      </w:r>
      <w:r>
        <w:rPr>
          <w:sz w:val="32"/>
          <w:szCs w:val="32"/>
          <w:highlight w:val="none"/>
        </w:rPr>
        <w:t>分，评价结果为“</w:t>
      </w:r>
      <w:r>
        <w:rPr>
          <w:rFonts w:hint="eastAsia"/>
          <w:sz w:val="32"/>
          <w:szCs w:val="32"/>
          <w:highlight w:val="none"/>
          <w:lang w:eastAsia="zh-CN"/>
        </w:rPr>
        <w:t>优</w:t>
      </w:r>
      <w:r>
        <w:rPr>
          <w:sz w:val="32"/>
          <w:szCs w:val="32"/>
          <w:highlight w:val="none"/>
        </w:rPr>
        <w:t>”。最终评分结果如</w:t>
      </w:r>
      <w:r>
        <w:rPr>
          <w:rFonts w:hint="eastAsia"/>
          <w:sz w:val="32"/>
          <w:szCs w:val="32"/>
          <w:highlight w:val="none"/>
        </w:rPr>
        <w:t>下</w:t>
      </w:r>
      <w:r>
        <w:rPr>
          <w:sz w:val="32"/>
          <w:szCs w:val="32"/>
          <w:highlight w:val="none"/>
        </w:rPr>
        <w:t>表所示</w:t>
      </w:r>
      <w:r>
        <w:rPr>
          <w:rFonts w:hint="eastAsia"/>
          <w:sz w:val="32"/>
          <w:szCs w:val="32"/>
          <w:highlight w:val="none"/>
        </w:rPr>
        <w:t>：</w:t>
      </w:r>
    </w:p>
    <w:p>
      <w:pPr>
        <w:jc w:val="center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年度部门整体支出绩效评价指标得分情况</w:t>
      </w:r>
    </w:p>
    <w:tbl>
      <w:tblPr>
        <w:tblStyle w:val="20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59.32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98.87%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99.32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99.32%</w:t>
            </w:r>
          </w:p>
        </w:tc>
      </w:tr>
    </w:tbl>
    <w:p>
      <w:pPr>
        <w:pStyle w:val="4"/>
        <w:ind w:left="0" w:leftChars="0" w:firstLine="643" w:firstLineChars="200"/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2023年主要工作成果及总体绩效目标完成情况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1.总体绩效目标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（1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坚定方向、旗帜鲜明，在筑牢政治忠诚上做表率</w:t>
      </w:r>
      <w:r>
        <w:rPr>
          <w:rFonts w:hint="eastAsia" w:cs="仿宋_GB2312"/>
          <w:sz w:val="32"/>
          <w:szCs w:val="32"/>
          <w:highlight w:val="none"/>
          <w:lang w:eastAsia="zh-CN"/>
        </w:rPr>
        <w:t>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立足主业、能动司法，在护航大局发展上建新功</w:t>
      </w:r>
      <w:r>
        <w:rPr>
          <w:rFonts w:hint="eastAsia" w:cs="仿宋_GB2312"/>
          <w:sz w:val="32"/>
          <w:szCs w:val="32"/>
          <w:highlight w:val="none"/>
          <w:lang w:eastAsia="zh-CN"/>
        </w:rPr>
        <w:t>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胸怀正义、践行宗旨，在保障民生福祉上展新效。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highlight w:val="none"/>
        </w:rPr>
        <w:t>实际完成情况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始终把政治建设摆在首位，坚持“政法姓党”不动摇，把“两个维护”作为最高政治原则贯穿到法院工作全过程和各方面，确保法院工作沿着正确方向前进。牢记政治机关属性，扎实开展学习贯彻习近平新时代中国特色社会主义思想主题教育和“三抓三促”行动，把习近平法治思想作为干警理论武装必修课，以系统学习、交流研讨、专题党课、检视整改、党员践诺等学习实践活动，引导干警忠诚拥护“两个确立”，坚决做到“两个维护”，自觉在思想上、政治上、行动上同以习近平同志为核心的党中央保持高度一致，真正让习近平法治思想在司法创新实践中落地生根、在每一件案件办理中焕发生机。严守政治纪律和政治规矩，认真贯彻《中国共产党政法工作条例》，主动向县委、县委政法委请示报告工作。全面加强党组自身建设，严格落实“第一议题”制度，充分运用马克思主义立场、观点、方法，统领法院全局工作，确保党的各项决策部署不折不扣贯彻落实。旗帜鲜明开展司法领域意识形态斗争，牢牢掌握意识形态工作主动权和话语权，确保法院工作始终沿着正确政治方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胸怀“国之大者”，坚持做到党委决策部署到哪里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司法服务就跟进到哪里，稳定社会秩序、改善社会预期、提振发展信心，让法治成为高质量发展的坚实后盾。深入践行总体国家安全观，主动应对社会治安形势新变化，共受理刑事案件163件，审结151件，判处罪犯177人。健全常态化扫黑除恶机制，推动从源头上遏制黑恶势力滋生。纵深推进养老诈骗、电信诈骗专项整治，全方位传递反诈知识、全链条打击诈骗行为，审结电信诈骗及关联犯罪案件26件33人，涉案总金额3232.53万元，刑事审判庭被表彰为“全省打击治理电信网络新型违法犯罪工作先进集体”；依法严惩严重危害社会治安犯罪，审结故意杀人、故意伤害、“盗抢骗”“黄赌毒”等犯罪案件23件31人；保持反腐败高压态势，审结职务犯罪案件3件3人；扎实推进妇女儿童等特殊群体权益保护，审结强奸、猥亵、“校园霸凌”、未成年人“斗殴”等刑事案件6件9人；全面贯彻宽严相济刑事政策，强化人权司法保障，适用认罪认罚从宽制度案件121件139人，对83名被告人依法适用缓刑、管制或免予刑事处罚；坚持“惩教结合”，以心理疏导干预、庭审现场教育、犯罪记录封存、判后回访帮教等举措，帮助未成年人重新回归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以人民为中心的发展思想，把人民满意作为审执工作的最高标准，以“如我在诉”的理念和“一枝一叶总关情”的为民情怀，强化民生司法保障，切实满足群众多元司法需求。全面升级诉讼服务大厅“一站通办”、在线诉讼平台“一网通办”功能。优化登记立案流程，联通“线上”“线下”立案渠道，在立案窗口设立党员先锋岗，为老年人、残疾人提供“手把手”诉讼服务，确保“有案必立、有诉必理”；优化远程诉讼服务，移动微法院、12368热线“全时响应”，共实现网上立案、跨域立案771件，线上开庭92次，电子送达3570件，不断提升群众诉讼便捷度、体验感。</w:t>
      </w:r>
    </w:p>
    <w:p>
      <w:pPr>
        <w:pStyle w:val="3"/>
        <w:bidi w:val="0"/>
        <w:rPr>
          <w:rFonts w:hint="eastAsia"/>
          <w:sz w:val="32"/>
          <w:szCs w:val="32"/>
          <w:highlight w:val="none"/>
        </w:rPr>
      </w:pPr>
      <w:bookmarkStart w:id="44" w:name="_Toc17819"/>
      <w:bookmarkStart w:id="45" w:name="_Toc2588"/>
      <w:bookmarkStart w:id="46" w:name="_Toc18553"/>
      <w:bookmarkStart w:id="47" w:name="_Toc7799"/>
      <w:r>
        <w:rPr>
          <w:rFonts w:hint="eastAsia"/>
          <w:sz w:val="32"/>
          <w:szCs w:val="32"/>
          <w:highlight w:val="none"/>
        </w:rPr>
        <w:t>（三）各项指标完成情况分析</w:t>
      </w:r>
      <w:bookmarkEnd w:id="44"/>
      <w:bookmarkEnd w:id="45"/>
      <w:bookmarkEnd w:id="46"/>
      <w:bookmarkEnd w:id="47"/>
    </w:p>
    <w:p>
      <w:pPr>
        <w:ind w:firstLine="5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情况说明：由于预算绩效系统中得分均按照定性指标的计算方式进行，故造成系统中的得分与实际得分略微有所偏差，但不影响整体评价结果，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部门整体支出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全部数据以本报告为准。</w:t>
      </w:r>
    </w:p>
    <w:p>
      <w:pPr>
        <w:ind w:firstLine="562"/>
        <w:rPr>
          <w:rFonts w:hint="default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b/>
          <w:bCs/>
          <w:sz w:val="32"/>
          <w:szCs w:val="32"/>
          <w:highlight w:val="none"/>
        </w:rPr>
        <w:t>1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部门整体支出</w:t>
      </w:r>
      <w:r>
        <w:rPr>
          <w:b/>
          <w:bCs/>
          <w:sz w:val="32"/>
          <w:szCs w:val="32"/>
          <w:highlight w:val="none"/>
        </w:rPr>
        <w:t>预算执行率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完成情况分析</w:t>
      </w:r>
    </w:p>
    <w:p>
      <w:pPr>
        <w:ind w:firstLine="560"/>
        <w:rPr>
          <w:rFonts w:hint="eastAsia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</w:rPr>
        <w:t>我院202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年初预算2,556.62万元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全年预算</w:t>
      </w:r>
      <w:r>
        <w:rPr>
          <w:rFonts w:hint="eastAsia"/>
          <w:sz w:val="32"/>
          <w:szCs w:val="32"/>
          <w:highlight w:val="none"/>
          <w:lang w:eastAsia="zh-CN"/>
        </w:rPr>
        <w:t>数</w:t>
      </w:r>
      <w:r>
        <w:rPr>
          <w:rFonts w:hint="eastAsia"/>
          <w:sz w:val="32"/>
          <w:szCs w:val="32"/>
          <w:highlight w:val="none"/>
          <w:lang w:val="en-US" w:eastAsia="zh-CN"/>
        </w:rPr>
        <w:t>2,984.37万元，实际支出数2,984.37万元，</w:t>
      </w:r>
      <w:r>
        <w:rPr>
          <w:rFonts w:hint="eastAsia"/>
          <w:sz w:val="32"/>
          <w:szCs w:val="32"/>
          <w:highlight w:val="none"/>
        </w:rPr>
        <w:t>部门整体支出预算执行率为</w:t>
      </w:r>
      <w:r>
        <w:rPr>
          <w:rFonts w:hint="eastAsia"/>
          <w:sz w:val="32"/>
          <w:szCs w:val="32"/>
          <w:highlight w:val="none"/>
          <w:lang w:val="en-US" w:eastAsia="zh-CN"/>
        </w:rPr>
        <w:t>100%。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该指标分值10分，自评得分为</w:t>
      </w: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分，得分率为</w:t>
      </w: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pStyle w:val="4"/>
        <w:ind w:firstLine="562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sz w:val="32"/>
          <w:szCs w:val="32"/>
          <w:highlight w:val="none"/>
        </w:rPr>
        <w:t>部门管理</w:t>
      </w:r>
      <w:r>
        <w:rPr>
          <w:rFonts w:hint="eastAsia"/>
          <w:sz w:val="32"/>
          <w:szCs w:val="32"/>
          <w:highlight w:val="none"/>
          <w:lang w:val="en-US" w:eastAsia="zh-CN"/>
        </w:rPr>
        <w:t>目标完成情况分析</w:t>
      </w: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部门管理指标包括资金投入、财务管理、采购管理、资产管理、人员管理、重点工作管理六个二级指标，下设1</w:t>
      </w:r>
      <w:r>
        <w:rPr>
          <w:rFonts w:hint="eastAsia"/>
          <w:sz w:val="32"/>
          <w:szCs w:val="32"/>
          <w:highlight w:val="none"/>
          <w:lang w:val="en-US" w:eastAsia="zh-CN"/>
        </w:rPr>
        <w:t>0</w:t>
      </w:r>
      <w:r>
        <w:rPr>
          <w:rFonts w:hint="eastAsia"/>
          <w:sz w:val="32"/>
          <w:szCs w:val="32"/>
          <w:highlight w:val="none"/>
        </w:rPr>
        <w:t>个三级指标。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sz w:val="32"/>
          <w:szCs w:val="32"/>
          <w:highlight w:val="none"/>
        </w:rPr>
        <w:t>分，自评</w:t>
      </w:r>
      <w:r>
        <w:rPr>
          <w:sz w:val="32"/>
          <w:szCs w:val="32"/>
          <w:highlight w:val="none"/>
        </w:rPr>
        <w:t>得</w:t>
      </w:r>
      <w:r>
        <w:rPr>
          <w:rFonts w:hint="eastAsia"/>
          <w:sz w:val="32"/>
          <w:szCs w:val="32"/>
          <w:highlight w:val="none"/>
        </w:rPr>
        <w:t>分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  <w:r>
        <w:rPr>
          <w:rFonts w:hint="eastAsia"/>
          <w:sz w:val="32"/>
          <w:szCs w:val="32"/>
          <w:highlight w:val="none"/>
          <w:lang w:val="en-US" w:eastAsia="zh-CN"/>
        </w:rPr>
        <w:t>具体如下表：</w:t>
      </w:r>
    </w:p>
    <w:tbl>
      <w:tblPr>
        <w:tblStyle w:val="20"/>
        <w:tblW w:w="875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530"/>
        <w:gridCol w:w="1418"/>
        <w:gridCol w:w="19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41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984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Ansi="宋体" w:cs="宋体"/>
                <w:b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</w:tbl>
    <w:p>
      <w:pPr>
        <w:ind w:firstLine="562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基本支出预算执行率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年度我院基本支出全年预算数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2,393.37</w:t>
      </w:r>
      <w:r>
        <w:rPr>
          <w:rFonts w:hint="eastAsia" w:hAnsi="宋体"/>
          <w:sz w:val="32"/>
          <w:szCs w:val="32"/>
          <w:highlight w:val="none"/>
        </w:rPr>
        <w:t>万元</w:t>
      </w:r>
      <w:r>
        <w:rPr>
          <w:rFonts w:hint="eastAsia" w:hAnsi="宋体"/>
          <w:sz w:val="32"/>
          <w:szCs w:val="32"/>
          <w:highlight w:val="none"/>
          <w:lang w:eastAsia="zh-CN"/>
        </w:rPr>
        <w:t>，</w:t>
      </w:r>
      <w:r>
        <w:rPr>
          <w:rFonts w:hint="eastAsia" w:hAnsi="宋体"/>
          <w:sz w:val="32"/>
          <w:szCs w:val="32"/>
          <w:highlight w:val="none"/>
        </w:rPr>
        <w:t>实际支出数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为2,393.37</w:t>
      </w:r>
      <w:r>
        <w:rPr>
          <w:rFonts w:hint="eastAsia" w:hAnsi="宋体"/>
          <w:sz w:val="32"/>
          <w:szCs w:val="32"/>
          <w:highlight w:val="none"/>
        </w:rPr>
        <w:t>万元，基本支出预算执行率为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ind w:firstLine="562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项目支出预算执行率：</w:t>
      </w: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年度项目支出全年预算数</w:t>
      </w:r>
      <w:r>
        <w:rPr>
          <w:rFonts w:hint="eastAsia" w:hAnsi="宋体"/>
          <w:sz w:val="32"/>
          <w:szCs w:val="32"/>
          <w:highlight w:val="none"/>
          <w:lang w:eastAsia="zh-CN"/>
        </w:rPr>
        <w:t>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591.00</w:t>
      </w:r>
      <w:r>
        <w:rPr>
          <w:rFonts w:hint="eastAsia" w:hAnsi="宋体"/>
          <w:sz w:val="32"/>
          <w:szCs w:val="32"/>
          <w:highlight w:val="none"/>
        </w:rPr>
        <w:t>万元，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实际支出数591.00</w:t>
      </w:r>
      <w:r>
        <w:rPr>
          <w:rFonts w:hint="eastAsia" w:hAnsi="宋体"/>
          <w:sz w:val="32"/>
          <w:szCs w:val="32"/>
          <w:highlight w:val="none"/>
        </w:rPr>
        <w:t>元</w:t>
      </w:r>
      <w:r>
        <w:rPr>
          <w:rFonts w:hint="eastAsia" w:hAnsi="宋体"/>
          <w:sz w:val="32"/>
          <w:szCs w:val="32"/>
          <w:highlight w:val="none"/>
          <w:lang w:eastAsia="zh-CN"/>
        </w:rPr>
        <w:t>，</w:t>
      </w:r>
      <w:r>
        <w:rPr>
          <w:rFonts w:hint="eastAsia" w:hAnsi="宋体"/>
          <w:sz w:val="32"/>
          <w:szCs w:val="32"/>
          <w:highlight w:val="none"/>
        </w:rPr>
        <w:t>项目支出预算执行率为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“三公经费”控制率：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该指标反映三公经费实际数占预算数的比值，</w:t>
      </w: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年度我院按照国家、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省区市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有关厉行节约的规定，对“三公”经费进行控制，“三公经费”预算数</w:t>
      </w:r>
      <w:r>
        <w:rPr>
          <w:rFonts w:hint="eastAsia" w:hAnsi="宋体"/>
          <w:sz w:val="32"/>
          <w:szCs w:val="32"/>
          <w:highlight w:val="none"/>
          <w:lang w:eastAsia="zh-CN"/>
        </w:rPr>
        <w:t>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7.45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万元，实际支出数</w:t>
      </w:r>
      <w:r>
        <w:rPr>
          <w:rFonts w:hint="eastAsia" w:hAnsi="宋体"/>
          <w:sz w:val="32"/>
          <w:szCs w:val="32"/>
          <w:highlight w:val="none"/>
          <w:lang w:eastAsia="zh-CN"/>
        </w:rPr>
        <w:t>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7.45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万元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“三公经费”控制率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</w:rPr>
        <w:t>结转结余变动率：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年度指标≤0%，实际完成=0%。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财务管理制度健全性：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我院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制定了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永昌县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人民法院财务经费管理规定、财务管理办法、资产管理办法等共4个资产管理办法。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资金使用规范性：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年我院资金支出总体上审批程序合规、手续齐全，支出内容符合省财政预算批复规定的用途。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政府采购规范性：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我院采购实际执行情况与采购计划安排基本无差异。采购事项严格执行相关标准，采购业务符合政府采购相关规定。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资产管理规范性：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2023年我院资产管理制度健全，制定了《永昌县人民法院资产管理办法》等制度规范，并严格执行。账务和资产卡片数据相符，资产卡片与实物相符，各类资产保存完整、使用合规、配置合理、处置规范，根据评分标准本项得满分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重点工作管理制度健全性：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该指标反映单位重点工作管理制度是否健全长效，我院针对重点工作，编制《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永昌县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民院规章制度汇编》，共收集整理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项规章制度，涉及党建，培训、总务等各方面，有效推动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各项工作规范化开展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bookmarkStart w:id="48" w:name="_Toc40046032"/>
      <w:r>
        <w:rPr>
          <w:rFonts w:hint="eastAsia"/>
          <w:sz w:val="32"/>
          <w:szCs w:val="32"/>
          <w:highlight w:val="none"/>
          <w:lang w:val="en-US" w:eastAsia="zh-CN"/>
        </w:rPr>
        <w:t>3.</w:t>
      </w:r>
      <w:r>
        <w:rPr>
          <w:rFonts w:hint="eastAsia"/>
          <w:sz w:val="32"/>
          <w:szCs w:val="32"/>
          <w:highlight w:val="none"/>
        </w:rPr>
        <w:t>履职效果</w:t>
      </w:r>
      <w:bookmarkEnd w:id="48"/>
      <w:r>
        <w:rPr>
          <w:rFonts w:hint="eastAsia"/>
          <w:sz w:val="32"/>
          <w:szCs w:val="32"/>
          <w:highlight w:val="none"/>
          <w:lang w:val="en-US" w:eastAsia="zh-CN"/>
        </w:rPr>
        <w:t>目标完成情况分析</w:t>
      </w:r>
    </w:p>
    <w:p>
      <w:pPr>
        <w:rPr>
          <w:rFonts w:ascii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履职效果指标包括部门履职</w:t>
      </w:r>
      <w:r>
        <w:rPr>
          <w:rFonts w:hint="eastAsia"/>
          <w:sz w:val="32"/>
          <w:szCs w:val="32"/>
          <w:highlight w:val="none"/>
          <w:lang w:val="en-US" w:eastAsia="zh-CN"/>
        </w:rPr>
        <w:t>目标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val="en-US" w:eastAsia="zh-CN"/>
        </w:rPr>
        <w:t>部门效果、服务对象满意度及</w:t>
      </w:r>
      <w:r>
        <w:rPr>
          <w:rFonts w:hint="eastAsia"/>
          <w:sz w:val="32"/>
          <w:szCs w:val="32"/>
          <w:highlight w:val="none"/>
        </w:rPr>
        <w:t>社会影响</w:t>
      </w:r>
      <w:r>
        <w:rPr>
          <w:rFonts w:hint="eastAsia"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sz w:val="32"/>
          <w:szCs w:val="32"/>
          <w:highlight w:val="none"/>
        </w:rPr>
        <w:t>个二级指标，下设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个三级指标。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60</w:t>
      </w:r>
      <w:r>
        <w:rPr>
          <w:rFonts w:hint="eastAsia"/>
          <w:sz w:val="32"/>
          <w:szCs w:val="32"/>
          <w:highlight w:val="none"/>
        </w:rPr>
        <w:t>分，自评</w:t>
      </w:r>
      <w:r>
        <w:rPr>
          <w:sz w:val="32"/>
          <w:szCs w:val="32"/>
          <w:highlight w:val="none"/>
        </w:rPr>
        <w:t>得</w:t>
      </w:r>
      <w:r>
        <w:rPr>
          <w:rFonts w:hint="eastAsia"/>
          <w:sz w:val="32"/>
          <w:szCs w:val="32"/>
          <w:highlight w:val="none"/>
        </w:rPr>
        <w:t>分</w:t>
      </w:r>
      <w:r>
        <w:rPr>
          <w:rFonts w:hint="eastAsia"/>
          <w:sz w:val="32"/>
          <w:szCs w:val="32"/>
          <w:highlight w:val="none"/>
          <w:lang w:val="en-US" w:eastAsia="zh-CN"/>
        </w:rPr>
        <w:t>59.32</w:t>
      </w:r>
      <w:r>
        <w:rPr>
          <w:rFonts w:hint="eastAsia"/>
          <w:sz w:val="32"/>
          <w:szCs w:val="32"/>
          <w:highlight w:val="none"/>
        </w:rPr>
        <w:t>分，</w:t>
      </w:r>
      <w:r>
        <w:rPr>
          <w:sz w:val="32"/>
          <w:szCs w:val="32"/>
          <w:highlight w:val="none"/>
        </w:rPr>
        <w:t>得分率</w:t>
      </w:r>
      <w:r>
        <w:rPr>
          <w:rFonts w:hint="eastAsia"/>
          <w:sz w:val="32"/>
          <w:szCs w:val="32"/>
          <w:highlight w:val="none"/>
          <w:lang w:val="en-US" w:eastAsia="zh-CN"/>
        </w:rPr>
        <w:t>98.87</w:t>
      </w:r>
      <w:r>
        <w:rPr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</w:rPr>
        <w:t>。</w:t>
      </w:r>
    </w:p>
    <w:tbl>
      <w:tblPr>
        <w:tblStyle w:val="20"/>
        <w:tblW w:w="90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1825"/>
        <w:gridCol w:w="1559"/>
        <w:gridCol w:w="24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1825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559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自评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  <w:t>得分</w:t>
            </w:r>
          </w:p>
        </w:tc>
        <w:tc>
          <w:tcPr>
            <w:tcW w:w="241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部门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>履职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指标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24.32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97.28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部门效果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社会影响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825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1559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59.32</w:t>
            </w:r>
          </w:p>
        </w:tc>
        <w:tc>
          <w:tcPr>
            <w:tcW w:w="241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98.87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</w:tbl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（1）部门履职目标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部门履职</w:t>
      </w:r>
      <w:r>
        <w:rPr>
          <w:rFonts w:hint="eastAsia"/>
          <w:sz w:val="32"/>
          <w:szCs w:val="32"/>
          <w:highlight w:val="none"/>
          <w:lang w:val="en-US" w:eastAsia="zh-CN"/>
        </w:rPr>
        <w:t>目标</w:t>
      </w:r>
      <w:r>
        <w:rPr>
          <w:rFonts w:hint="eastAsia"/>
          <w:sz w:val="32"/>
          <w:szCs w:val="32"/>
          <w:highlight w:val="none"/>
        </w:rPr>
        <w:t>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25</w:t>
      </w:r>
      <w:r>
        <w:rPr>
          <w:rFonts w:hint="eastAsia"/>
          <w:sz w:val="32"/>
          <w:szCs w:val="32"/>
          <w:highlight w:val="no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24.32</w:t>
      </w:r>
      <w:r>
        <w:rPr>
          <w:rFonts w:hint="eastAsia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highlight w:val="none"/>
          <w:lang w:val="en-US" w:eastAsia="zh-CN"/>
        </w:rPr>
        <w:t>97.28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受理案件数：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年度指标≥7200件，实际完成=6422件。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偏差原因：年度目标值设置偏高。改进措施：综合对比近年指标完成情况，合理设置目标值。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5.57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89.12</w:t>
      </w:r>
      <w:r>
        <w:rPr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结案率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年度指标≥96%，实际完成=91.48%。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案件法定期间办结率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年度指标≥99%，实际完成=93.76%。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年度预算控制率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年度指标=100%，实际完成=100%。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ind w:firstLine="562"/>
        <w:rPr>
          <w:rFonts w:hint="eastAsia"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（2）部门效果目标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执行案件结案率</w:t>
      </w:r>
      <w:r>
        <w:rPr>
          <w:rFonts w:hint="eastAsia"/>
          <w:sz w:val="32"/>
          <w:szCs w:val="32"/>
          <w:highlight w:val="none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度指标≥95%，实际完成=95%。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营商环境改变</w:t>
      </w:r>
      <w:r>
        <w:rPr>
          <w:rFonts w:hint="eastAsia"/>
          <w:sz w:val="32"/>
          <w:szCs w:val="32"/>
          <w:highlight w:val="none"/>
          <w:lang w:val="en-US" w:eastAsia="zh-CN"/>
        </w:rPr>
        <w:t>：全面落实“优化营商环境攻坚突破年”要求，开展“万名干警联万企”活动，以送法进企、党建联建等方式对企业进行“法治体检”，竭力为企业健康发展创造“暖环境”。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服务对象满意度</w:t>
      </w:r>
    </w:p>
    <w:p>
      <w:pPr>
        <w:pStyle w:val="18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外部群众</w:t>
      </w:r>
      <w:r>
        <w:rPr>
          <w:rFonts w:hint="eastAsia" w:hAnsi="宋体"/>
          <w:b/>
          <w:bCs/>
          <w:sz w:val="32"/>
          <w:szCs w:val="32"/>
          <w:highlight w:val="none"/>
        </w:rPr>
        <w:t>满意程度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内部干警满意程度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我院在院党组的正确领导和悉心指导下，坚持以审判需求为导向、以司法能力建设为核心、以社会责任为目标，忠实履职尽责，主动担当作为，通过满意度调查，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外部群众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工作满意，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我院干警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对单位工作满意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指标分值合计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Ansi="宋体"/>
          <w:b/>
          <w:bCs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（</w:t>
      </w: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宋体"/>
          <w:b/>
          <w:bCs/>
          <w:sz w:val="32"/>
          <w:szCs w:val="32"/>
          <w:highlight w:val="none"/>
        </w:rPr>
        <w:t>）社会影响</w:t>
      </w:r>
    </w:p>
    <w:p>
      <w:pPr>
        <w:ind w:firstLine="56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社会影响情况</w:t>
      </w:r>
      <w:r>
        <w:rPr>
          <w:rFonts w:hint="eastAsia"/>
          <w:sz w:val="32"/>
          <w:szCs w:val="32"/>
          <w:highlight w:val="none"/>
          <w:lang w:eastAsia="zh-CN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我院</w:t>
      </w:r>
      <w:r>
        <w:rPr>
          <w:rFonts w:hint="eastAsia"/>
          <w:sz w:val="32"/>
          <w:szCs w:val="32"/>
          <w:highlight w:val="none"/>
          <w:lang w:eastAsia="zh-CN"/>
        </w:rPr>
        <w:t>围绕创城部署要求，扎实开展包抓共建、结对帮扶、普法宣传、志愿服务工作，</w:t>
      </w:r>
      <w:r>
        <w:rPr>
          <w:rFonts w:hint="eastAsia"/>
          <w:sz w:val="32"/>
          <w:szCs w:val="32"/>
          <w:highlight w:val="none"/>
          <w:lang w:val="en-US" w:eastAsia="zh-CN"/>
        </w:rPr>
        <w:t>得到了社会公众的普遍好评，产生了较好的社会影响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合计</w:t>
      </w:r>
      <w:r>
        <w:rPr>
          <w:rFonts w:hint="eastAsia"/>
          <w:sz w:val="32"/>
          <w:szCs w:val="32"/>
          <w:highlight w:val="none"/>
          <w:lang w:val="en-US" w:eastAsia="zh-CN"/>
        </w:rPr>
        <w:t>12.5</w:t>
      </w:r>
      <w:r>
        <w:rPr>
          <w:rFonts w:hint="eastAsia"/>
          <w:sz w:val="32"/>
          <w:szCs w:val="32"/>
          <w:highlight w:val="no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12.5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单位获奖情况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2023年度我院获奖2项。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default" w:eastAsia="仿宋_GB2312"/>
          <w:b/>
          <w:bCs/>
          <w:sz w:val="32"/>
          <w:szCs w:val="32"/>
          <w:lang w:val="en-US" w:eastAsia="zh-CN"/>
        </w:rPr>
        <w:t>违法违纪情况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2023年我院未出现在国家层面督查或人大审计、监察等监督监察时发现问题被问责的情况。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pStyle w:val="4"/>
        <w:ind w:firstLine="562"/>
        <w:rPr>
          <w:sz w:val="32"/>
          <w:szCs w:val="32"/>
          <w:highlight w:val="none"/>
        </w:rPr>
      </w:pPr>
      <w:bookmarkStart w:id="49" w:name="_Toc40046033"/>
      <w:r>
        <w:rPr>
          <w:rFonts w:hint="eastAsia"/>
          <w:sz w:val="32"/>
          <w:szCs w:val="32"/>
          <w:highlight w:val="none"/>
        </w:rPr>
        <w:t>4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能力建设</w:t>
      </w:r>
      <w:bookmarkEnd w:id="49"/>
    </w:p>
    <w:p>
      <w:pPr>
        <w:ind w:firstLine="560"/>
        <w:rPr>
          <w:rFonts w:hint="default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z w:val="32"/>
          <w:szCs w:val="32"/>
          <w:highlight w:val="none"/>
          <w:lang w:val="en-US" w:eastAsia="zh-CN"/>
        </w:rPr>
        <w:t>能力建设指标分值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firstLine="562"/>
        <w:rPr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中期规划建设完备程度：</w:t>
      </w:r>
      <w:r>
        <w:rPr>
          <w:rFonts w:hint="eastAsia" w:hAnsi="宋体"/>
          <w:sz w:val="32"/>
          <w:szCs w:val="32"/>
          <w:highlight w:val="none"/>
        </w:rPr>
        <w:t>我院中期规划完整清晰、内容全面可行，能够为未来的工作明确目标、方向和内容，</w:t>
      </w:r>
      <w:r>
        <w:rPr>
          <w:rFonts w:hint="eastAsia"/>
          <w:sz w:val="32"/>
          <w:szCs w:val="32"/>
          <w:highlight w:val="none"/>
        </w:rPr>
        <w:t>达到年度指标值。</w:t>
      </w:r>
      <w:r>
        <w:rPr>
          <w:rFonts w:hint="eastAsia" w:hAnsi="宋体"/>
          <w:sz w:val="32"/>
          <w:szCs w:val="32"/>
          <w:highlight w:val="none"/>
        </w:rPr>
        <w:t>该指标分值3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.34</w:t>
      </w:r>
      <w:r>
        <w:rPr>
          <w:rFonts w:hint="eastAsia" w:hAnsi="宋体"/>
          <w:sz w:val="32"/>
          <w:szCs w:val="32"/>
          <w:highlight w:val="none"/>
        </w:rPr>
        <w:t>分，自评得分为3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.34</w:t>
      </w:r>
      <w:r>
        <w:rPr>
          <w:rFonts w:hint="eastAsia" w:hAnsi="宋体"/>
          <w:sz w:val="32"/>
          <w:szCs w:val="32"/>
          <w:highlight w:val="none"/>
        </w:rPr>
        <w:t>分，得分率100%。</w:t>
      </w:r>
    </w:p>
    <w:p>
      <w:pPr>
        <w:ind w:firstLine="562"/>
        <w:rPr>
          <w:rFonts w:hint="eastAsia" w:hAnsi="宋体"/>
          <w:b/>
          <w:bCs/>
          <w:sz w:val="32"/>
          <w:szCs w:val="32"/>
          <w:highlight w:val="none"/>
        </w:rPr>
      </w:pPr>
      <w:r>
        <w:rPr>
          <w:rFonts w:hint="eastAsia" w:hAnsi="宋体" w:cs="宋体"/>
          <w:b/>
          <w:bCs/>
          <w:kern w:val="0"/>
          <w:sz w:val="32"/>
          <w:szCs w:val="32"/>
          <w:highlight w:val="none"/>
        </w:rPr>
        <w:t>人员培训机制完备性：</w:t>
      </w:r>
      <w:r>
        <w:rPr>
          <w:rFonts w:hint="eastAsia" w:hAnsi="宋体"/>
          <w:sz w:val="32"/>
          <w:szCs w:val="32"/>
          <w:highlight w:val="none"/>
        </w:rPr>
        <w:t>我院高度重视人员能力的培养，严格展开培训活动，为法院的长期发展储备优秀人才，强化岗位练兵活动，积极加强干警业务能力水平的提升</w:t>
      </w:r>
      <w:r>
        <w:rPr>
          <w:rFonts w:hint="eastAsia" w:hAnsi="宋体"/>
          <w:sz w:val="32"/>
          <w:szCs w:val="32"/>
          <w:highlight w:val="none"/>
          <w:lang w:eastAsia="zh-CN"/>
        </w:rPr>
        <w:t>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不断提高我院人员工作效率</w:t>
      </w:r>
      <w:r>
        <w:rPr>
          <w:rFonts w:hint="eastAsia" w:hAnsi="宋体"/>
          <w:sz w:val="32"/>
          <w:szCs w:val="32"/>
          <w:highlight w:val="none"/>
        </w:rPr>
        <w:t>。</w:t>
      </w:r>
      <w:r>
        <w:rPr>
          <w:rFonts w:hint="eastAsia" w:hAnsi="宋体" w:cs="宋体"/>
          <w:kern w:val="0"/>
          <w:sz w:val="32"/>
          <w:szCs w:val="32"/>
          <w:highlight w:val="none"/>
        </w:rPr>
        <w:t>该指标分值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3.34</w:t>
      </w:r>
      <w:r>
        <w:rPr>
          <w:rFonts w:hint="eastAsia" w:hAnsi="宋体" w:cs="宋体"/>
          <w:kern w:val="0"/>
          <w:sz w:val="32"/>
          <w:szCs w:val="32"/>
          <w:highlight w:val="none"/>
        </w:rPr>
        <w:t>分，自评得分为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3.34</w:t>
      </w:r>
      <w:r>
        <w:rPr>
          <w:rFonts w:hint="eastAsia" w:hAnsi="宋体" w:cs="宋体"/>
          <w:kern w:val="0"/>
          <w:sz w:val="32"/>
          <w:szCs w:val="32"/>
          <w:highlight w:val="none"/>
        </w:rPr>
        <w:t>分，得分率为100%。</w:t>
      </w:r>
    </w:p>
    <w:p>
      <w:pPr>
        <w:ind w:firstLine="562"/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档案管理完备性：</w:t>
      </w:r>
      <w:r>
        <w:rPr>
          <w:rFonts w:hint="eastAsia" w:hAnsi="宋体"/>
          <w:sz w:val="32"/>
          <w:szCs w:val="32"/>
          <w:highlight w:val="none"/>
        </w:rPr>
        <w:t>我院严格规范和完善各项档案管理工作，在档案收集、保管方面管理到位，有效执行，并设有档案管理的专职人员，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档案保存完好，</w:t>
      </w:r>
      <w:r>
        <w:rPr>
          <w:rFonts w:hint="eastAsia"/>
          <w:sz w:val="32"/>
          <w:szCs w:val="32"/>
          <w:highlight w:val="none"/>
        </w:rPr>
        <w:t>达到年度指标值。</w:t>
      </w:r>
      <w:r>
        <w:rPr>
          <w:rFonts w:hint="eastAsia" w:hAnsi="宋体"/>
          <w:sz w:val="32"/>
          <w:szCs w:val="32"/>
          <w:highlight w:val="none"/>
        </w:rPr>
        <w:t>该指标分值3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.34</w:t>
      </w:r>
      <w:r>
        <w:rPr>
          <w:rFonts w:hint="eastAsia" w:hAnsi="宋体"/>
          <w:sz w:val="32"/>
          <w:szCs w:val="32"/>
          <w:highlight w:val="none"/>
        </w:rPr>
        <w:t>分，自评得分为3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.34</w:t>
      </w:r>
      <w:r>
        <w:rPr>
          <w:rFonts w:hint="eastAsia" w:hAnsi="宋体"/>
          <w:sz w:val="32"/>
          <w:szCs w:val="32"/>
          <w:highlight w:val="none"/>
        </w:rPr>
        <w:t>分，得分率100%。</w:t>
      </w:r>
      <w:bookmarkStart w:id="50" w:name="_Toc3174"/>
      <w:bookmarkStart w:id="51" w:name="_Toc16525"/>
      <w:bookmarkStart w:id="52" w:name="_Toc16731"/>
      <w:bookmarkStart w:id="53" w:name="_Toc40046035"/>
      <w:bookmarkStart w:id="54" w:name="_Toc12558"/>
    </w:p>
    <w:p>
      <w:pPr>
        <w:pStyle w:val="3"/>
        <w:bidi w:val="0"/>
        <w:rPr>
          <w:rFonts w:hint="eastAsia"/>
          <w:sz w:val="32"/>
          <w:szCs w:val="32"/>
          <w:highlight w:val="none"/>
        </w:rPr>
      </w:pPr>
      <w:bookmarkStart w:id="55" w:name="_Toc32432"/>
      <w:r>
        <w:rPr>
          <w:rFonts w:hint="eastAsia"/>
          <w:sz w:val="32"/>
          <w:szCs w:val="32"/>
          <w:highlight w:val="none"/>
          <w:lang w:eastAsia="zh-CN"/>
        </w:rPr>
        <w:t>（四）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  <w:bookmarkEnd w:id="50"/>
      <w:bookmarkEnd w:id="51"/>
      <w:bookmarkEnd w:id="52"/>
      <w:bookmarkEnd w:id="53"/>
      <w:bookmarkEnd w:id="54"/>
      <w:bookmarkEnd w:id="55"/>
    </w:p>
    <w:p>
      <w:pPr>
        <w:bidi w:val="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bookmarkStart w:id="56" w:name="_Toc2045"/>
      <w:bookmarkStart w:id="57" w:name="_Toc16890"/>
      <w:bookmarkStart w:id="58" w:name="_Toc8740"/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部分指标未达到目标值：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部门履职目标中受理各项案件指标目标值设置有误导致扣分，</w:t>
      </w:r>
      <w:r>
        <w:rPr>
          <w:rFonts w:hint="eastAsia"/>
          <w:sz w:val="32"/>
          <w:szCs w:val="32"/>
          <w:highlight w:val="none"/>
          <w:lang w:val="en-US" w:eastAsia="zh-CN"/>
        </w:rPr>
        <w:t>下年度我院将加强预算绩效知识学习，合理设置年度指标值。</w:t>
      </w:r>
    </w:p>
    <w:p>
      <w:pPr>
        <w:pStyle w:val="2"/>
        <w:rPr>
          <w:sz w:val="32"/>
          <w:szCs w:val="32"/>
          <w:highlight w:val="none"/>
        </w:rPr>
      </w:pPr>
      <w:bookmarkStart w:id="59" w:name="_Toc8716"/>
      <w:r>
        <w:rPr>
          <w:rFonts w:hint="eastAsia"/>
          <w:sz w:val="32"/>
          <w:szCs w:val="32"/>
          <w:highlight w:val="none"/>
        </w:rPr>
        <w:t>四、部门预算项目支出绩效自评情况分析</w:t>
      </w:r>
      <w:bookmarkEnd w:id="56"/>
      <w:bookmarkEnd w:id="57"/>
      <w:bookmarkEnd w:id="58"/>
      <w:bookmarkEnd w:id="59"/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年，我院预算支出项目为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个，通过自评，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个项目结果为“优”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宋体"/>
          <w:sz w:val="32"/>
          <w:szCs w:val="32"/>
          <w:highlight w:val="none"/>
        </w:rPr>
        <w:t>分项目自评情况分析如下：</w:t>
      </w:r>
    </w:p>
    <w:p>
      <w:pPr>
        <w:pStyle w:val="3"/>
        <w:bidi w:val="0"/>
        <w:rPr>
          <w:rFonts w:hint="eastAsia" w:eastAsia="楷体"/>
          <w:sz w:val="32"/>
          <w:szCs w:val="32"/>
          <w:highlight w:val="none"/>
          <w:lang w:val="en-US" w:eastAsia="zh-CN"/>
        </w:rPr>
      </w:pPr>
      <w:bookmarkStart w:id="60" w:name="_Toc40046039"/>
      <w:bookmarkStart w:id="61" w:name="_Toc16262"/>
      <w:bookmarkStart w:id="62" w:name="_Toc4248"/>
      <w:bookmarkStart w:id="63" w:name="_Toc22792"/>
      <w:bookmarkStart w:id="64" w:name="_Toc18014"/>
      <w:r>
        <w:rPr>
          <w:rFonts w:hint="eastAsia"/>
          <w:sz w:val="32"/>
          <w:szCs w:val="32"/>
          <w:highlight w:val="none"/>
          <w:lang w:eastAsia="zh-CN"/>
        </w:rPr>
        <w:t>（一）</w:t>
      </w:r>
      <w:bookmarkEnd w:id="60"/>
      <w:r>
        <w:rPr>
          <w:rFonts w:hint="eastAsia"/>
          <w:sz w:val="32"/>
          <w:szCs w:val="32"/>
          <w:highlight w:val="none"/>
        </w:rPr>
        <w:t>法庭运维费</w:t>
      </w:r>
      <w:bookmarkEnd w:id="61"/>
      <w:bookmarkEnd w:id="62"/>
      <w:bookmarkEnd w:id="63"/>
      <w:r>
        <w:rPr>
          <w:rFonts w:hint="eastAsia"/>
          <w:sz w:val="32"/>
          <w:szCs w:val="32"/>
          <w:highlight w:val="none"/>
          <w:lang w:val="en-US" w:eastAsia="zh-CN"/>
        </w:rPr>
        <w:t>项目</w:t>
      </w:r>
      <w:bookmarkEnd w:id="64"/>
    </w:p>
    <w:p>
      <w:pPr>
        <w:rPr>
          <w:sz w:val="32"/>
          <w:szCs w:val="32"/>
          <w:highlight w:val="none"/>
        </w:rPr>
      </w:pPr>
      <w:bookmarkStart w:id="65" w:name="_Toc40046040"/>
      <w:r>
        <w:rPr>
          <w:rFonts w:hint="eastAsia"/>
          <w:sz w:val="32"/>
          <w:szCs w:val="32"/>
          <w:highlight w:val="none"/>
        </w:rPr>
        <w:t>本次绩效自评综合评定202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法庭运维费</w:t>
      </w:r>
      <w:r>
        <w:rPr>
          <w:rFonts w:hint="eastAsia"/>
          <w:sz w:val="32"/>
          <w:szCs w:val="32"/>
          <w:highlight w:val="none"/>
        </w:rPr>
        <w:t>项目支出绩效得分为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分，绩效等级为“优”。项目支出绩效评价包括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成本、</w:t>
      </w:r>
      <w:r>
        <w:rPr>
          <w:rFonts w:hint="eastAsia"/>
          <w:sz w:val="32"/>
          <w:szCs w:val="32"/>
          <w:highlight w:val="none"/>
        </w:rPr>
        <w:t>产出、效益、满意度</w:t>
      </w:r>
      <w:r>
        <w:rPr>
          <w:rFonts w:hint="eastAsia"/>
          <w:sz w:val="32"/>
          <w:szCs w:val="32"/>
          <w:highlight w:val="none"/>
          <w:lang w:val="en-US" w:eastAsia="zh-CN"/>
        </w:rPr>
        <w:t>五</w:t>
      </w:r>
      <w:r>
        <w:rPr>
          <w:rFonts w:hint="eastAsia"/>
          <w:sz w:val="32"/>
          <w:szCs w:val="32"/>
          <w:highlight w:val="none"/>
        </w:rPr>
        <w:t>个一级指标，下设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sz w:val="32"/>
          <w:szCs w:val="32"/>
          <w:highlight w:val="none"/>
        </w:rPr>
        <w:t>个二级指标和</w:t>
      </w:r>
      <w:r>
        <w:rPr>
          <w:rFonts w:hint="eastAsia"/>
          <w:sz w:val="32"/>
          <w:szCs w:val="32"/>
          <w:highlight w:val="none"/>
          <w:lang w:val="en-US" w:eastAsia="zh-CN"/>
        </w:rPr>
        <w:t>13</w:t>
      </w:r>
      <w:r>
        <w:rPr>
          <w:rFonts w:hint="eastAsia"/>
          <w:sz w:val="32"/>
          <w:szCs w:val="32"/>
          <w:highlight w:val="none"/>
        </w:rPr>
        <w:t>个三级指标。项目资金预算执行率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%，一级指标得分情况详见下表 ：</w:t>
      </w:r>
    </w:p>
    <w:tbl>
      <w:tblPr>
        <w:tblStyle w:val="20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成本指标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产出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效益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满意度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2"/>
                <w:highlight w:val="none"/>
                <w:shd w:val="clear" w:color="auto" w:fill="BDD6E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96.5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</w:tbl>
    <w:p>
      <w:pPr>
        <w:pStyle w:val="4"/>
        <w:ind w:firstLine="562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项目支出预算执行情况</w:t>
      </w:r>
      <w:bookmarkEnd w:id="65"/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法庭运维费项目年初预算数、全年预算数以及全年执行数</w:t>
      </w:r>
      <w:r>
        <w:rPr>
          <w:rFonts w:hint="eastAsia"/>
          <w:sz w:val="32"/>
          <w:szCs w:val="32"/>
          <w:highlight w:val="none"/>
          <w:lang w:eastAsia="zh-CN"/>
        </w:rPr>
        <w:t>均为</w:t>
      </w:r>
      <w:r>
        <w:rPr>
          <w:rFonts w:hint="eastAsia"/>
          <w:sz w:val="32"/>
          <w:szCs w:val="32"/>
          <w:highlight w:val="none"/>
          <w:lang w:val="en-US" w:eastAsia="zh-CN"/>
        </w:rPr>
        <w:t>69.00</w:t>
      </w:r>
      <w:r>
        <w:rPr>
          <w:rFonts w:hint="eastAsia"/>
          <w:sz w:val="32"/>
          <w:szCs w:val="32"/>
          <w:highlight w:val="none"/>
        </w:rPr>
        <w:t>万元，预算执行率100%，</w:t>
      </w:r>
      <w:r>
        <w:rPr>
          <w:rFonts w:hint="eastAsia"/>
          <w:sz w:val="32"/>
          <w:szCs w:val="32"/>
          <w:highlight w:val="none"/>
          <w:lang w:val="en-US" w:eastAsia="zh-CN"/>
        </w:rPr>
        <w:t>分值</w:t>
      </w:r>
      <w:r>
        <w:rPr>
          <w:rFonts w:hint="eastAsia"/>
          <w:sz w:val="32"/>
          <w:szCs w:val="32"/>
          <w:highlight w:val="none"/>
        </w:rPr>
        <w:t>10分，得分10分。</w:t>
      </w:r>
    </w:p>
    <w:p>
      <w:pPr>
        <w:pStyle w:val="4"/>
        <w:ind w:firstLine="562"/>
        <w:rPr>
          <w:sz w:val="32"/>
          <w:szCs w:val="32"/>
          <w:highlight w:val="none"/>
        </w:rPr>
      </w:pPr>
      <w:bookmarkStart w:id="66" w:name="_Toc40046041"/>
      <w:r>
        <w:rPr>
          <w:rFonts w:hint="eastAsia"/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总体绩效目标完成情况分析</w:t>
      </w:r>
      <w:bookmarkEnd w:id="66"/>
    </w:p>
    <w:p>
      <w:pPr>
        <w:bidi w:val="0"/>
        <w:rPr>
          <w:rFonts w:hint="eastAsia"/>
          <w:sz w:val="32"/>
          <w:szCs w:val="32"/>
          <w:highlight w:val="none"/>
        </w:rPr>
      </w:pPr>
      <w:bookmarkStart w:id="67" w:name="_Toc40046042"/>
      <w:r>
        <w:rPr>
          <w:rFonts w:hint="eastAsia"/>
          <w:sz w:val="32"/>
          <w:szCs w:val="32"/>
          <w:highlight w:val="none"/>
          <w:lang w:val="en-US" w:eastAsia="zh-CN"/>
        </w:rPr>
        <w:t>项目总体绩效目标：</w:t>
      </w:r>
      <w:r>
        <w:rPr>
          <w:rFonts w:hint="eastAsia"/>
          <w:sz w:val="32"/>
          <w:szCs w:val="32"/>
          <w:highlight w:val="none"/>
        </w:rPr>
        <w:t>通过202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度法庭运维经费的投入，确保我院基层人民法庭办案办公的正常开展，更好地执行及维护国家法制、法律的权威，维护社会稳定和谐。保障基层法庭运营维护经费，改善基层法庭办案办公条件，提供稳定经费保障，确保基层法庭有一个良好的办案办公条件。</w:t>
      </w:r>
    </w:p>
    <w:p>
      <w:pPr>
        <w:pStyle w:val="18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项目总体绩效目标完成情况：</w:t>
      </w:r>
      <w:r>
        <w:rPr>
          <w:rFonts w:hint="eastAsia"/>
          <w:sz w:val="32"/>
          <w:szCs w:val="32"/>
          <w:highlight w:val="none"/>
        </w:rPr>
        <w:t>通过2023年度法庭运维经费的投入，确保我院基层人民法庭办案办公的正常开展，更好的执行及维护国家法制、法律的权威，维护社会稳定和谐。保障基层法庭运营维护，改善基层法庭办案办公条件，提供稳定经费保障，确保基层法庭有一个良好的办案办公条件。</w:t>
      </w:r>
    </w:p>
    <w:p>
      <w:pPr>
        <w:pStyle w:val="4"/>
        <w:bidi w:val="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各项指标完成情况分析</w:t>
      </w:r>
      <w:bookmarkEnd w:id="67"/>
    </w:p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（1）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成本</w:t>
      </w:r>
      <w:r>
        <w:rPr>
          <w:rFonts w:hint="eastAsia"/>
          <w:b/>
          <w:bCs/>
          <w:sz w:val="32"/>
          <w:szCs w:val="32"/>
          <w:highlight w:val="none"/>
        </w:rPr>
        <w:t>指标</w:t>
      </w:r>
    </w:p>
    <w:p>
      <w:pPr>
        <w:ind w:firstLine="560"/>
        <w:rPr>
          <w:rFonts w:hint="eastAsia"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经济成本1</w:t>
      </w:r>
      <w:r>
        <w:rPr>
          <w:rFonts w:hint="eastAsia" w:cs="仿宋_GB2312"/>
          <w:sz w:val="32"/>
          <w:szCs w:val="32"/>
          <w:highlight w:val="none"/>
        </w:rPr>
        <w:t>个二级指标。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</w:rPr>
        <w:t>0分，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cs="仿宋_GB2312"/>
          <w:sz w:val="32"/>
          <w:szCs w:val="32"/>
          <w:highlight w:val="none"/>
        </w:rPr>
        <w:t>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cs="仿宋_GB2312"/>
          <w:sz w:val="32"/>
          <w:szCs w:val="32"/>
          <w:highlight w:val="none"/>
        </w:rPr>
        <w:t>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eastAsia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cs="仿宋_GB2312"/>
          <w:b/>
          <w:bCs/>
          <w:sz w:val="32"/>
          <w:szCs w:val="32"/>
          <w:highlight w:val="none"/>
        </w:rPr>
        <w:t>年度预算控制率</w:t>
      </w:r>
      <w:r>
        <w:rPr>
          <w:rFonts w:hint="eastAsia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年度指标≥90%，实际完成=100%。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</w:rPr>
        <w:t>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highlight w:val="none"/>
        </w:rPr>
        <w:t>）产出指标</w:t>
      </w:r>
    </w:p>
    <w:p>
      <w:pPr>
        <w:ind w:firstLine="560"/>
        <w:rPr>
          <w:rFonts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产出指标下设数量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cs="仿宋_GB2312"/>
          <w:sz w:val="32"/>
          <w:szCs w:val="32"/>
          <w:highlight w:val="none"/>
        </w:rPr>
        <w:t>质量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、时效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</w:rPr>
        <w:t>个二级指标。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</w:rPr>
        <w:t>0分，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cs="仿宋_GB2312"/>
          <w:sz w:val="32"/>
          <w:szCs w:val="32"/>
          <w:highlight w:val="none"/>
        </w:rPr>
        <w:t>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</w:rPr>
        <w:t>0分，得分率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ind w:firstLine="562"/>
        <w:rPr>
          <w:rFonts w:cs="仿宋_GB2312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①数量指标</w:t>
      </w:r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数量指标下设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分值合计13.36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13.36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snapToGrid/>
        <w:spacing w:beforeAutospacing="0" w:afterAutospacing="0" w:line="560" w:lineRule="exact"/>
        <w:ind w:left="0" w:leftChars="0" w:firstLine="643" w:firstLineChars="200"/>
        <w:rPr>
          <w:rFonts w:hint="eastAsia" w:hAnsi="宋体"/>
          <w:sz w:val="32"/>
          <w:szCs w:val="32"/>
          <w:highlight w:val="yellow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保障供暖面积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=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7901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7901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ind w:firstLine="562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保障基层法庭个数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=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6个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6个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4.48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4.48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ind w:firstLine="562"/>
        <w:rPr>
          <w:rFonts w:hint="eastAsia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维修维护工作完成率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90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pStyle w:val="18"/>
        <w:ind w:firstLine="562"/>
        <w:rPr>
          <w:rFonts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Calibri" w:hAnsi="Calibri" w:cs="Calibri"/>
          <w:b/>
          <w:bCs/>
          <w:color w:val="auto"/>
          <w:sz w:val="32"/>
          <w:szCs w:val="32"/>
          <w:highlight w:val="none"/>
        </w:rPr>
        <w:t>质量</w:t>
      </w:r>
      <w:r>
        <w:rPr>
          <w:rFonts w:hint="eastAsia" w:hAnsi="宋体"/>
          <w:b/>
          <w:bCs/>
          <w:color w:val="auto"/>
          <w:sz w:val="32"/>
          <w:szCs w:val="32"/>
          <w:highlight w:val="none"/>
        </w:rPr>
        <w:t>指标</w:t>
      </w:r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质量指标下设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分值合计13.32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13.32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>
      <w:pPr>
        <w:ind w:firstLine="562"/>
        <w:rPr>
          <w:rFonts w:hint="eastAsia" w:ascii="仿宋_GB2312" w:hAnsi="宋体" w:eastAsia="仿宋_GB2312" w:cstheme="minorBidi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法庭正常运转保障率：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pStyle w:val="18"/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水电暖服务保障率：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pStyle w:val="18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维修维护合格率：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pStyle w:val="8"/>
        <w:ind w:firstLine="560"/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  <w:t>③时效指标</w:t>
      </w:r>
    </w:p>
    <w:p>
      <w:pPr>
        <w:ind w:firstLine="56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时效</w:t>
      </w:r>
      <w:r>
        <w:rPr>
          <w:rFonts w:hint="eastAsia"/>
          <w:sz w:val="32"/>
          <w:szCs w:val="32"/>
          <w:highlight w:val="none"/>
        </w:rPr>
        <w:t>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分值合计13.32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13.32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pStyle w:val="18"/>
        <w:rPr>
          <w:rFonts w:hint="default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法庭运维及时性：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年度目标值</w:t>
      </w:r>
      <w:r>
        <w:rPr>
          <w:rFonts w:hint="eastAsia" w:ascii="Times New Roman" w:hAnsi="宋体" w:cstheme="minorBidi"/>
          <w:kern w:val="2"/>
          <w:sz w:val="32"/>
          <w:szCs w:val="32"/>
          <w:lang w:val="en-US" w:eastAsia="zh-CN" w:bidi="ar-SA"/>
        </w:rPr>
        <w:t>=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，实际完成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宋体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ind w:firstLine="562"/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hAnsi="宋体"/>
          <w:b/>
          <w:bCs/>
          <w:sz w:val="32"/>
          <w:szCs w:val="32"/>
          <w:highlight w:val="none"/>
          <w:lang w:val="en-US" w:eastAsia="zh-CN"/>
        </w:rPr>
        <w:t>日常维护工作完成及时性</w:t>
      </w: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年度指标=100%，实际完成100%。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ind w:firstLine="562"/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hAnsi="宋体"/>
          <w:b/>
          <w:bCs/>
          <w:sz w:val="32"/>
          <w:szCs w:val="32"/>
          <w:highlight w:val="none"/>
          <w:lang w:val="en-US" w:eastAsia="zh-CN"/>
        </w:rPr>
        <w:t>水电暖服务保障工作及时性</w:t>
      </w: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年度指标=100%，实际完成100%。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highlight w:val="none"/>
        </w:rPr>
        <w:t>）效益指标</w:t>
      </w:r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本项目效益指标主要考虑社会效益</w:t>
      </w:r>
      <w:r>
        <w:rPr>
          <w:rFonts w:hint="eastAsia"/>
          <w:sz w:val="32"/>
          <w:szCs w:val="32"/>
          <w:highlight w:val="none"/>
          <w:lang w:val="en-US" w:eastAsia="zh-CN"/>
        </w:rPr>
        <w:t>一个二级指标</w:t>
      </w:r>
      <w:r>
        <w:rPr>
          <w:rFonts w:hint="eastAsia"/>
          <w:sz w:val="32"/>
          <w:szCs w:val="32"/>
          <w:highlight w:val="none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指标</w:t>
      </w:r>
      <w:r>
        <w:rPr>
          <w:rFonts w:hint="eastAsia"/>
          <w:sz w:val="32"/>
          <w:szCs w:val="32"/>
          <w:highlight w:val="none"/>
        </w:rPr>
        <w:t>分值</w:t>
      </w:r>
      <w:r>
        <w:rPr>
          <w:rFonts w:hint="eastAsia"/>
          <w:sz w:val="32"/>
          <w:szCs w:val="32"/>
          <w:highlight w:val="none"/>
          <w:lang w:val="en-US" w:eastAsia="zh-CN"/>
        </w:rPr>
        <w:t>合计20</w:t>
      </w:r>
      <w:r>
        <w:rPr>
          <w:rFonts w:hint="eastAsia"/>
          <w:sz w:val="32"/>
          <w:szCs w:val="32"/>
          <w:highlight w:val="none"/>
        </w:rPr>
        <w:t>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numPr>
          <w:ilvl w:val="255"/>
          <w:numId w:val="0"/>
        </w:numPr>
        <w:ind w:firstLine="562"/>
        <w:rPr>
          <w:rFonts w:hint="eastAsia" w:hAnsi="宋体"/>
          <w:b w:val="0"/>
          <w:bCs w:val="0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有效保障审判服务：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2023年我院依法开展刑事审判，全力维护社会稳定；妥善解决民商纠纷，积极化解社会矛盾；加强行政审判工作，促进法治政府建设；全力破解执行难题，兑现涉诉合法权益，不断提高人民群众对法院信任度。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numPr>
          <w:ilvl w:val="255"/>
          <w:numId w:val="0"/>
        </w:num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highlight w:val="none"/>
        </w:rPr>
        <w:t>）满意度指标</w:t>
      </w:r>
    </w:p>
    <w:p>
      <w:pPr>
        <w:pStyle w:val="18"/>
        <w:rPr>
          <w:rFonts w:hint="eastAsia" w:hAnsi="宋体"/>
          <w:sz w:val="32"/>
          <w:szCs w:val="32"/>
          <w:highlight w:val="none"/>
        </w:rPr>
      </w:pPr>
      <w:bookmarkStart w:id="68" w:name="_Toc40046043"/>
      <w:r>
        <w:rPr>
          <w:rFonts w:hint="eastAsia" w:hAnsi="宋体"/>
          <w:b/>
          <w:bCs/>
          <w:sz w:val="32"/>
          <w:szCs w:val="32"/>
          <w:highlight w:val="none"/>
        </w:rPr>
        <w:t>服务群众对审批工作满意度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/>
          <w:b/>
          <w:bCs/>
          <w:sz w:val="32"/>
          <w:szCs w:val="32"/>
          <w:highlight w:val="none"/>
        </w:rPr>
        <w:t>派出法庭工作人员满意度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我院在院党组的正确领导和悉心指导下，坚持以审判需求为导向、以司法能力建设为核心、以社会责任为目标，忠实履职尽责，主动担当作为，通过满意度调查，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服务群众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工作满意，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派出法庭工作人员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对单位工作满意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指标分值合计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3.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  <w:bookmarkEnd w:id="68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69" w:name="_Toc6037"/>
      <w:bookmarkStart w:id="70" w:name="_Toc40046044"/>
      <w:bookmarkStart w:id="71" w:name="_Toc7812"/>
      <w:bookmarkStart w:id="72" w:name="_Toc28429"/>
      <w:bookmarkStart w:id="73" w:name="_Toc51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rPr>
          <w:sz w:val="32"/>
          <w:szCs w:val="32"/>
          <w:highlight w:val="none"/>
        </w:rPr>
      </w:pPr>
      <w:bookmarkStart w:id="74" w:name="_Toc14630"/>
      <w:r>
        <w:rPr>
          <w:rFonts w:hint="eastAsia"/>
          <w:sz w:val="32"/>
          <w:szCs w:val="32"/>
          <w:highlight w:val="none"/>
        </w:rPr>
        <w:t>（二）</w:t>
      </w:r>
      <w:bookmarkEnd w:id="69"/>
      <w:bookmarkEnd w:id="70"/>
      <w:r>
        <w:rPr>
          <w:rFonts w:hint="eastAsia"/>
          <w:sz w:val="32"/>
          <w:szCs w:val="32"/>
          <w:highlight w:val="none"/>
        </w:rPr>
        <w:t>业务费</w:t>
      </w:r>
      <w:bookmarkEnd w:id="71"/>
      <w:bookmarkEnd w:id="72"/>
      <w:bookmarkEnd w:id="73"/>
      <w:bookmarkEnd w:id="74"/>
    </w:p>
    <w:p>
      <w:pPr>
        <w:rPr>
          <w:sz w:val="32"/>
          <w:szCs w:val="32"/>
          <w:highlight w:val="none"/>
        </w:rPr>
      </w:pPr>
      <w:bookmarkStart w:id="75" w:name="_Toc18806"/>
      <w:bookmarkStart w:id="76" w:name="_Toc1889"/>
      <w:bookmarkStart w:id="77" w:name="_Toc3777"/>
      <w:bookmarkStart w:id="78" w:name="_Toc22570"/>
      <w:bookmarkStart w:id="79" w:name="_Toc40046064"/>
      <w:bookmarkStart w:id="80" w:name="_Toc7144"/>
      <w:bookmarkStart w:id="81" w:name="_Toc40046065"/>
      <w:r>
        <w:rPr>
          <w:rFonts w:hint="eastAsia"/>
          <w:sz w:val="32"/>
          <w:szCs w:val="32"/>
          <w:highlight w:val="none"/>
        </w:rPr>
        <w:t>本次绩效自评综合评定202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业务费</w:t>
      </w:r>
      <w:r>
        <w:rPr>
          <w:rFonts w:hint="eastAsia"/>
          <w:sz w:val="32"/>
          <w:szCs w:val="32"/>
          <w:highlight w:val="none"/>
        </w:rPr>
        <w:t>项目支出绩效得分为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分，绩效等级为“</w:t>
      </w:r>
      <w:r>
        <w:rPr>
          <w:rFonts w:hint="eastAsia"/>
          <w:sz w:val="32"/>
          <w:szCs w:val="32"/>
          <w:highlight w:val="none"/>
          <w:lang w:val="en-US" w:eastAsia="zh-CN"/>
        </w:rPr>
        <w:t>优</w:t>
      </w:r>
      <w:r>
        <w:rPr>
          <w:rFonts w:hint="eastAsia"/>
          <w:sz w:val="32"/>
          <w:szCs w:val="32"/>
          <w:highlight w:val="none"/>
        </w:rPr>
        <w:t>”。项目支出绩效评价包括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成本、</w:t>
      </w:r>
      <w:r>
        <w:rPr>
          <w:rFonts w:hint="eastAsia"/>
          <w:sz w:val="32"/>
          <w:szCs w:val="32"/>
          <w:highlight w:val="none"/>
        </w:rPr>
        <w:t>产出、效益、满意度</w:t>
      </w:r>
      <w:r>
        <w:rPr>
          <w:rFonts w:hint="eastAsia"/>
          <w:sz w:val="32"/>
          <w:szCs w:val="32"/>
          <w:highlight w:val="none"/>
          <w:lang w:val="en-US" w:eastAsia="zh-CN"/>
        </w:rPr>
        <w:t>五</w:t>
      </w:r>
      <w:r>
        <w:rPr>
          <w:rFonts w:hint="eastAsia"/>
          <w:sz w:val="32"/>
          <w:szCs w:val="32"/>
          <w:highlight w:val="none"/>
        </w:rPr>
        <w:t>个一级指标，下设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8</w:t>
      </w:r>
      <w:r>
        <w:rPr>
          <w:rFonts w:hint="eastAsia"/>
          <w:sz w:val="32"/>
          <w:szCs w:val="32"/>
          <w:highlight w:val="none"/>
        </w:rPr>
        <w:t>个二级指标和</w:t>
      </w:r>
      <w:r>
        <w:rPr>
          <w:rFonts w:hint="eastAsia"/>
          <w:sz w:val="32"/>
          <w:szCs w:val="32"/>
          <w:highlight w:val="none"/>
          <w:lang w:val="en-US" w:eastAsia="zh-CN"/>
        </w:rPr>
        <w:t>23</w:t>
      </w:r>
      <w:r>
        <w:rPr>
          <w:rFonts w:hint="eastAsia"/>
          <w:sz w:val="32"/>
          <w:szCs w:val="32"/>
          <w:highlight w:val="none"/>
        </w:rPr>
        <w:t>个三级指标。项目资金预算执行率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%，一级指标得分情况详见下表 ：</w:t>
      </w:r>
    </w:p>
    <w:tbl>
      <w:tblPr>
        <w:tblStyle w:val="20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668"/>
        <w:gridCol w:w="21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16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2"/>
                <w:highlight w:val="none"/>
                <w:shd w:val="clear" w:color="auto" w:fill="BDD6E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66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</w:tbl>
    <w:p>
      <w:pPr>
        <w:pStyle w:val="4"/>
        <w:ind w:firstLine="562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项目支出预算执行情况</w:t>
      </w:r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业务费</w:t>
      </w:r>
      <w:r>
        <w:rPr>
          <w:rFonts w:hint="eastAsia"/>
          <w:sz w:val="32"/>
          <w:szCs w:val="32"/>
          <w:highlight w:val="none"/>
        </w:rPr>
        <w:t>项目年初预算数</w:t>
      </w:r>
      <w:r>
        <w:rPr>
          <w:rFonts w:hint="eastAsia"/>
          <w:sz w:val="32"/>
          <w:szCs w:val="32"/>
          <w:highlight w:val="none"/>
          <w:lang w:eastAsia="zh-CN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190.00万元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全年预算数</w:t>
      </w:r>
      <w:r>
        <w:rPr>
          <w:rFonts w:hint="eastAsia"/>
          <w:sz w:val="32"/>
          <w:szCs w:val="32"/>
          <w:highlight w:val="none"/>
          <w:lang w:val="en-US" w:eastAsia="zh-CN"/>
        </w:rPr>
        <w:t>为220.00，</w:t>
      </w:r>
      <w:r>
        <w:rPr>
          <w:rFonts w:hint="eastAsia"/>
          <w:sz w:val="32"/>
          <w:szCs w:val="32"/>
          <w:highlight w:val="none"/>
        </w:rPr>
        <w:t>全年执行数为</w:t>
      </w:r>
      <w:r>
        <w:rPr>
          <w:rFonts w:hint="eastAsia"/>
          <w:sz w:val="32"/>
          <w:szCs w:val="32"/>
          <w:highlight w:val="none"/>
          <w:lang w:val="en-US" w:eastAsia="zh-CN"/>
        </w:rPr>
        <w:t>220.00</w:t>
      </w:r>
      <w:r>
        <w:rPr>
          <w:rFonts w:hint="eastAsia"/>
          <w:sz w:val="32"/>
          <w:szCs w:val="32"/>
          <w:highlight w:val="none"/>
        </w:rPr>
        <w:t>万元，预算执行率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</w:t>
      </w:r>
      <w:r>
        <w:rPr>
          <w:rFonts w:hint="eastAsia"/>
          <w:sz w:val="32"/>
          <w:szCs w:val="32"/>
          <w:highlight w:val="none"/>
          <w:lang w:val="en-US" w:eastAsia="zh-CN"/>
        </w:rPr>
        <w:t>分值10</w:t>
      </w:r>
      <w:r>
        <w:rPr>
          <w:rFonts w:hint="eastAsia"/>
          <w:sz w:val="32"/>
          <w:szCs w:val="32"/>
          <w:highlight w:val="none"/>
        </w:rPr>
        <w:t>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分。</w:t>
      </w:r>
    </w:p>
    <w:p>
      <w:pPr>
        <w:pStyle w:val="4"/>
        <w:ind w:firstLine="562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总体绩效目标完成情况分析</w:t>
      </w:r>
    </w:p>
    <w:p>
      <w:pPr>
        <w:bidi w:val="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本项目2023年度绩效目标实际完成情况如下：通过全省法院业务费的投入，保障聘用人员工资福利，改善办公办案条件，提高工作积极性，增强人民群众对案件审判执行工作的满意度，业务费执行率为100%，圆满完成预期目标。</w:t>
      </w:r>
    </w:p>
    <w:p>
      <w:pPr>
        <w:pStyle w:val="4"/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各项指标完成情况分析</w:t>
      </w:r>
    </w:p>
    <w:p>
      <w:pPr>
        <w:bidi w:val="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（1）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成本</w:t>
      </w:r>
      <w:r>
        <w:rPr>
          <w:rFonts w:hint="eastAsia"/>
          <w:b/>
          <w:bCs/>
          <w:sz w:val="32"/>
          <w:szCs w:val="32"/>
          <w:highlight w:val="none"/>
        </w:rPr>
        <w:t>指标</w:t>
      </w:r>
    </w:p>
    <w:p>
      <w:pPr>
        <w:ind w:firstLine="560"/>
        <w:rPr>
          <w:rFonts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经济成本1</w:t>
      </w:r>
      <w:r>
        <w:rPr>
          <w:rFonts w:hint="eastAsia" w:cs="仿宋_GB2312"/>
          <w:sz w:val="32"/>
          <w:szCs w:val="32"/>
          <w:highlight w:val="none"/>
        </w:rPr>
        <w:t>个二级指标。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</w:rPr>
        <w:t>0分，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cs="仿宋_GB2312"/>
          <w:sz w:val="32"/>
          <w:szCs w:val="32"/>
          <w:highlight w:val="none"/>
        </w:rPr>
        <w:t>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cs="仿宋_GB2312"/>
          <w:sz w:val="32"/>
          <w:szCs w:val="32"/>
          <w:highlight w:val="none"/>
        </w:rPr>
        <w:t>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</w:rPr>
        <w:t>成本控制情况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我院本年度成本控制在定额标准内，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rPr>
          <w:rFonts w:hint="eastAsia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业务费总额控制率：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年度指标=100%，实际完成100%，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bidi w:val="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（1）产出指标</w:t>
      </w:r>
    </w:p>
    <w:p>
      <w:pPr>
        <w:ind w:firstLine="560"/>
        <w:rPr>
          <w:rFonts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产出指标下设数量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cs="仿宋_GB2312"/>
          <w:sz w:val="32"/>
          <w:szCs w:val="32"/>
          <w:highlight w:val="none"/>
        </w:rPr>
        <w:t>质量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、时效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</w:rPr>
        <w:t>个二级指标。总分值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</w:rPr>
        <w:t>0分，得分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cs="仿宋_GB2312"/>
          <w:sz w:val="32"/>
          <w:szCs w:val="32"/>
          <w:highlight w:val="none"/>
        </w:rPr>
        <w:t>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ind w:firstLine="562"/>
        <w:rPr>
          <w:rFonts w:cs="仿宋_GB2312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①数量指标</w:t>
      </w:r>
    </w:p>
    <w:p>
      <w:pPr>
        <w:ind w:firstLine="560"/>
        <w:rPr>
          <w:rFonts w:hint="eastAsia"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数量指标下设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分值13.4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13.4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pStyle w:val="18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设备购置数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年度目标=25台，实际完成=30台，</w:t>
      </w:r>
      <w:r>
        <w:rPr>
          <w:rFonts w:hint="eastAsia" w:hAnsi="宋体"/>
          <w:color w:val="auto"/>
          <w:sz w:val="32"/>
          <w:szCs w:val="32"/>
          <w:highlight w:val="none"/>
        </w:rPr>
        <w:t>该指标分值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color w:val="auto"/>
          <w:sz w:val="32"/>
          <w:szCs w:val="32"/>
          <w:highlight w:val="none"/>
        </w:rPr>
        <w:t>分，自评得分为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color w:val="auto"/>
          <w:sz w:val="32"/>
          <w:szCs w:val="32"/>
          <w:highlight w:val="none"/>
        </w:rPr>
        <w:t>分，得分率为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  <w:lang w:val="en-US" w:eastAsia="zh-CN"/>
        </w:rPr>
        <w:t>结案率：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年度目标≥90%，实际完成91.48%，</w:t>
      </w:r>
      <w:r>
        <w:rPr>
          <w:rFonts w:hint="eastAsia" w:hAnsi="宋体"/>
          <w:color w:val="auto"/>
          <w:sz w:val="32"/>
          <w:szCs w:val="32"/>
          <w:highlight w:val="none"/>
        </w:rPr>
        <w:t>该指标分值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2.76</w:t>
      </w:r>
      <w:r>
        <w:rPr>
          <w:rFonts w:hint="eastAsia" w:hAnsi="宋体"/>
          <w:color w:val="auto"/>
          <w:sz w:val="32"/>
          <w:szCs w:val="32"/>
          <w:highlight w:val="none"/>
        </w:rPr>
        <w:t>分，自评得分为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2.76</w:t>
      </w:r>
      <w:r>
        <w:rPr>
          <w:rFonts w:hint="eastAsia" w:hAnsi="宋体"/>
          <w:color w:val="auto"/>
          <w:sz w:val="32"/>
          <w:szCs w:val="32"/>
          <w:highlight w:val="none"/>
        </w:rPr>
        <w:t>分，得分率为</w:t>
      </w:r>
      <w:r>
        <w:rPr>
          <w:rFonts w:hint="eastAsia" w:hAnsi="宋体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维修改造项目数：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年度目标=2项，实际完成率2项，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物业管理面积：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年度目标=14399平方米，实际完成14399平方米，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信息化运维服务完成率：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年度目标=100%，实际完成100%，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bidi w:val="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②</w:t>
      </w:r>
      <w:r>
        <w:rPr>
          <w:rFonts w:hint="eastAsia"/>
          <w:b/>
          <w:bCs/>
          <w:sz w:val="32"/>
          <w:szCs w:val="32"/>
          <w:highlight w:val="none"/>
        </w:rPr>
        <w:t>质量指标</w:t>
      </w:r>
    </w:p>
    <w:p>
      <w:pPr>
        <w:bidi w:val="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质量指标下设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sz w:val="32"/>
          <w:szCs w:val="32"/>
          <w:highlight w:val="none"/>
        </w:rPr>
        <w:t>个三级指标，指标</w:t>
      </w:r>
      <w:r>
        <w:rPr>
          <w:rFonts w:hint="eastAsia"/>
          <w:sz w:val="32"/>
          <w:szCs w:val="32"/>
          <w:highlight w:val="none"/>
          <w:lang w:val="en-US" w:eastAsia="zh-CN"/>
        </w:rPr>
        <w:t>分值合计13.3</w:t>
      </w:r>
      <w:r>
        <w:rPr>
          <w:rFonts w:hint="eastAsia"/>
          <w:sz w:val="32"/>
          <w:szCs w:val="32"/>
          <w:highlight w:val="no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13.3</w:t>
      </w:r>
      <w:r>
        <w:rPr>
          <w:rFonts w:hint="eastAsia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highlight w:val="none"/>
          <w:lang w:val="en-US" w:eastAsia="zh-CN"/>
        </w:rPr>
        <w:t>100%</w:t>
      </w:r>
      <w:r>
        <w:rPr>
          <w:rFonts w:hint="eastAsia"/>
          <w:sz w:val="32"/>
          <w:szCs w:val="32"/>
          <w:highlight w:val="none"/>
        </w:rPr>
        <w:t>。</w:t>
      </w:r>
    </w:p>
    <w:p>
      <w:pPr>
        <w:ind w:firstLine="562"/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购置装备验收合格率：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年度目标=100%，实际完成100%，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ind w:firstLine="562"/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/>
          <w:b/>
          <w:bCs/>
          <w:sz w:val="32"/>
          <w:szCs w:val="32"/>
          <w:highlight w:val="none"/>
          <w:lang w:val="en-US" w:eastAsia="zh-CN"/>
        </w:rPr>
        <w:t>维修维护项目验收合格率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年度目标=100%，实际完成100%，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物业管理合格率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年度目标=100%，实际完成100%，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信息化运维服务验收合格率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年度目标=100%，实际完成100%，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一审服判息诉率</w:t>
      </w: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年度目标≥90%，实际完成90%，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pStyle w:val="8"/>
        <w:ind w:firstLine="560"/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  <w:t>③时效指标</w:t>
      </w:r>
    </w:p>
    <w:p>
      <w:pPr>
        <w:ind w:firstLine="56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时效</w:t>
      </w:r>
      <w:r>
        <w:rPr>
          <w:rFonts w:hint="eastAsia"/>
          <w:sz w:val="32"/>
          <w:szCs w:val="32"/>
          <w:highlight w:val="none"/>
        </w:rPr>
        <w:t>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分值合计13.3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13.3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办案经费支付及时率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年度目标=100%，实际完成100%。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法定审限内结案率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年度目标≥90%，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实际完成91.48%。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ind w:firstLine="562"/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维修修护及时性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我院本年度维修修护及时完成率达到100%。该指标分值2.66分，自评得分2.66分，得分率为100%。</w:t>
      </w:r>
    </w:p>
    <w:p>
      <w:pPr>
        <w:ind w:firstLine="562"/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信息化运维工作及时性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我院本年度信息化运维工作及时完成率达到100%。该指标分值2.66分，自评得分2.66分，得分率为100%。</w:t>
      </w:r>
    </w:p>
    <w:p>
      <w:pPr>
        <w:ind w:firstLine="562"/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装备购置及时性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我院本年度装备购置及时完成率达到100%。该指标分值2.66分，自评得分2.66分，得分率为100%。</w:t>
      </w:r>
    </w:p>
    <w:p>
      <w:p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highlight w:val="none"/>
        </w:rPr>
        <w:t>）效益指标</w:t>
      </w:r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本项目效益指标主要考虑</w:t>
      </w:r>
      <w:r>
        <w:rPr>
          <w:rFonts w:hint="eastAsia"/>
          <w:sz w:val="32"/>
          <w:szCs w:val="32"/>
          <w:highlight w:val="none"/>
          <w:lang w:eastAsia="zh-CN"/>
        </w:rPr>
        <w:t>经济效益、</w:t>
      </w:r>
      <w:r>
        <w:rPr>
          <w:rFonts w:hint="eastAsia"/>
          <w:sz w:val="32"/>
          <w:szCs w:val="32"/>
          <w:highlight w:val="none"/>
        </w:rPr>
        <w:t>社会效益</w:t>
      </w:r>
      <w:r>
        <w:rPr>
          <w:rFonts w:hint="eastAsia"/>
          <w:sz w:val="32"/>
          <w:szCs w:val="32"/>
          <w:highlight w:val="none"/>
          <w:lang w:eastAsia="zh-CN"/>
        </w:rPr>
        <w:t>、生态效益指标</w:t>
      </w:r>
      <w:r>
        <w:rPr>
          <w:rFonts w:hint="eastAsia"/>
          <w:sz w:val="32"/>
          <w:szCs w:val="32"/>
          <w:highlight w:val="none"/>
          <w:lang w:val="en-US" w:eastAsia="zh-CN"/>
        </w:rPr>
        <w:t>3个二级指标</w:t>
      </w:r>
      <w:r>
        <w:rPr>
          <w:rFonts w:hint="eastAsia"/>
          <w:sz w:val="32"/>
          <w:szCs w:val="32"/>
          <w:highlight w:val="none"/>
        </w:rPr>
        <w:t>。总分值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0分，得分率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</w:rPr>
        <w:t>①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经济效益指标</w:t>
      </w:r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经济效益指标</w:t>
      </w:r>
      <w:r>
        <w:rPr>
          <w:rFonts w:hint="eastAsia"/>
          <w:sz w:val="32"/>
          <w:szCs w:val="32"/>
          <w:highlight w:val="none"/>
        </w:rPr>
        <w:t>下设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挽回经济损失效果：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以高度的政治责任感坚决扛牢防范化解金融风险责任，组建工作专班，设立绿色通道，快立快审快执。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指标分值合计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分，得分率为100%</w:t>
      </w:r>
    </w:p>
    <w:p>
      <w:pPr>
        <w:bidi w:val="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②社会效益指标</w:t>
      </w:r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社会效益指标下设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分值合计10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pStyle w:val="18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维护社会稳定：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紧紧围绕全县中心工作，从细从实抓好保安全、护稳定、促发展等各项工作。妥善调处审理商铺租金纠纷、劳动合同争议、农民工维权等易发多发、社会关注度高的涉稳案件推进各类矛盾纠纷排查化解，全力创造稳定的社会环境。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助力文明城市创建。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分，得分率为100%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ind w:firstLine="56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有效保障审判服务：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深入贯彻总体国家安全观，纵深推进常态化扫黑除恶，坚决守住国家政治安全和社会大局稳定底线，依法惩治打击各类犯罪活动。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指标分值合计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分，得分率为100%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③</w:t>
      </w: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生态效益指标</w:t>
      </w:r>
    </w:p>
    <w:p>
      <w:pP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生态效益</w:t>
      </w:r>
      <w:r>
        <w:rPr>
          <w:rFonts w:hint="eastAsia"/>
          <w:sz w:val="32"/>
          <w:szCs w:val="32"/>
          <w:highlight w:val="none"/>
        </w:rPr>
        <w:t>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分值合计5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ind w:firstLine="560"/>
        <w:rPr>
          <w:rFonts w:hint="eastAsia" w:hAnsi="宋体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  <w:lang w:val="en-US" w:eastAsia="zh-CN"/>
        </w:rPr>
        <w:t>打击生态犯罪，维护生态秩序：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我院依法惩治环境资源刑事犯罪，织密生态环境司法保护网。该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numPr>
          <w:ilvl w:val="255"/>
          <w:numId w:val="0"/>
        </w:num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highlight w:val="none"/>
        </w:rPr>
        <w:t>）满意度指标</w:t>
      </w:r>
    </w:p>
    <w:p>
      <w:pPr>
        <w:pStyle w:val="18"/>
        <w:rPr>
          <w:rFonts w:hint="eastAsia" w:ascii="Times New Roman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当事人满意程度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/>
          <w:b/>
          <w:bCs/>
          <w:sz w:val="32"/>
          <w:szCs w:val="32"/>
          <w:highlight w:val="none"/>
        </w:rPr>
        <w:t>干警满意程度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2023年度我院在院党组的正确领导和悉心指导下，坚持以审判需求为导向、以司法能力建设为核心、以社会责任为目标，忠实履职尽责，主动担当作为，通过满意度调查，当事人对法院工作满意，干警对单位工作满意。该指标分值合计10分，自评得分10分，得分率为100%。</w:t>
      </w:r>
    </w:p>
    <w:p>
      <w:pPr>
        <w:pStyle w:val="4"/>
        <w:ind w:firstLine="562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4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无。</w:t>
      </w:r>
    </w:p>
    <w:p>
      <w:pPr>
        <w:pStyle w:val="2"/>
        <w:rPr>
          <w:sz w:val="32"/>
          <w:szCs w:val="32"/>
          <w:highlight w:val="none"/>
        </w:rPr>
      </w:pPr>
      <w:bookmarkStart w:id="82" w:name="_Toc24771"/>
      <w:r>
        <w:rPr>
          <w:rFonts w:hint="eastAsia"/>
          <w:sz w:val="32"/>
          <w:szCs w:val="32"/>
          <w:highlight w:val="none"/>
        </w:rPr>
        <w:t>五、部门管理的省对市县转移支付绩效自评情况分析</w:t>
      </w:r>
      <w:bookmarkEnd w:id="75"/>
      <w:bookmarkEnd w:id="76"/>
      <w:bookmarkEnd w:id="77"/>
      <w:bookmarkEnd w:id="78"/>
      <w:bookmarkEnd w:id="79"/>
      <w:bookmarkEnd w:id="82"/>
      <w:r>
        <w:rPr>
          <w:rFonts w:hint="eastAsia"/>
          <w:sz w:val="32"/>
          <w:szCs w:val="32"/>
          <w:highlight w:val="none"/>
        </w:rPr>
        <w:tab/>
      </w:r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年，我院转移支付自评项目为1个，通过自评，结果为“优”，自评情况分析如下：</w:t>
      </w:r>
    </w:p>
    <w:p>
      <w:pPr>
        <w:pStyle w:val="3"/>
        <w:ind w:firstLine="643"/>
        <w:rPr>
          <w:sz w:val="32"/>
          <w:szCs w:val="32"/>
          <w:highlight w:val="none"/>
        </w:rPr>
      </w:pPr>
      <w:bookmarkStart w:id="83" w:name="_Toc12566"/>
      <w:bookmarkStart w:id="84" w:name="_Toc6868"/>
      <w:bookmarkStart w:id="85" w:name="_Toc31419"/>
      <w:bookmarkStart w:id="86" w:name="_Toc19580"/>
      <w:r>
        <w:rPr>
          <w:rFonts w:hint="eastAsia"/>
          <w:sz w:val="32"/>
          <w:szCs w:val="32"/>
          <w:highlight w:val="none"/>
        </w:rPr>
        <w:t>（一）中央政法转移支付资金</w:t>
      </w:r>
      <w:bookmarkEnd w:id="83"/>
      <w:bookmarkEnd w:id="84"/>
      <w:bookmarkEnd w:id="85"/>
      <w:bookmarkEnd w:id="86"/>
    </w:p>
    <w:p>
      <w:pPr>
        <w:rPr>
          <w:sz w:val="32"/>
          <w:szCs w:val="32"/>
          <w:highlight w:val="none"/>
        </w:rPr>
      </w:pPr>
      <w:bookmarkStart w:id="87" w:name="_Toc32543"/>
      <w:bookmarkStart w:id="88" w:name="_Toc6252"/>
      <w:bookmarkStart w:id="89" w:name="_Toc26665"/>
      <w:r>
        <w:rPr>
          <w:rFonts w:hint="eastAsia"/>
          <w:sz w:val="32"/>
          <w:szCs w:val="32"/>
          <w:highlight w:val="none"/>
        </w:rPr>
        <w:t>本次绩效自评综合评定202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中央政法转移支付资金</w:t>
      </w:r>
      <w:r>
        <w:rPr>
          <w:rFonts w:hint="eastAsia"/>
          <w:sz w:val="32"/>
          <w:szCs w:val="32"/>
          <w:highlight w:val="none"/>
        </w:rPr>
        <w:t>支出绩效得分为</w:t>
      </w:r>
      <w:r>
        <w:rPr>
          <w:rFonts w:hint="eastAsia"/>
          <w:sz w:val="32"/>
          <w:szCs w:val="32"/>
          <w:highlight w:val="none"/>
          <w:lang w:val="en-US" w:eastAsia="zh-CN"/>
        </w:rPr>
        <w:t>94.62</w:t>
      </w:r>
      <w:r>
        <w:rPr>
          <w:rFonts w:hint="eastAsia"/>
          <w:sz w:val="32"/>
          <w:szCs w:val="32"/>
          <w:highlight w:val="none"/>
        </w:rPr>
        <w:t>分，绩效等级为“优”。项目支出绩效评价包括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成本、</w:t>
      </w:r>
      <w:r>
        <w:rPr>
          <w:rFonts w:hint="eastAsia"/>
          <w:sz w:val="32"/>
          <w:szCs w:val="32"/>
          <w:highlight w:val="none"/>
        </w:rPr>
        <w:t>产出、效益、满意度</w:t>
      </w:r>
      <w:r>
        <w:rPr>
          <w:rFonts w:hint="eastAsia"/>
          <w:sz w:val="32"/>
          <w:szCs w:val="32"/>
          <w:highlight w:val="none"/>
          <w:lang w:val="en-US" w:eastAsia="zh-CN"/>
        </w:rPr>
        <w:t>五</w:t>
      </w:r>
      <w:r>
        <w:rPr>
          <w:rFonts w:hint="eastAsia"/>
          <w:sz w:val="32"/>
          <w:szCs w:val="32"/>
          <w:highlight w:val="none"/>
        </w:rPr>
        <w:t>个一级指标，下设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7</w:t>
      </w:r>
      <w:r>
        <w:rPr>
          <w:rFonts w:hint="eastAsia"/>
          <w:sz w:val="32"/>
          <w:szCs w:val="32"/>
          <w:highlight w:val="none"/>
        </w:rPr>
        <w:t>个二级指标和</w:t>
      </w:r>
      <w:r>
        <w:rPr>
          <w:rFonts w:hint="eastAsia"/>
          <w:sz w:val="32"/>
          <w:szCs w:val="32"/>
          <w:highlight w:val="none"/>
          <w:lang w:val="en-US" w:eastAsia="zh-CN"/>
        </w:rPr>
        <w:t>21</w:t>
      </w:r>
      <w:r>
        <w:rPr>
          <w:rFonts w:hint="eastAsia"/>
          <w:sz w:val="32"/>
          <w:szCs w:val="32"/>
          <w:highlight w:val="none"/>
        </w:rPr>
        <w:t>个三级指标。项目资金预算执行率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%，一级指标得分情况详见下表 ：</w:t>
      </w:r>
    </w:p>
    <w:tbl>
      <w:tblPr>
        <w:tblStyle w:val="20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成本指标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产出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36.55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91.38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效益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满意度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  <w:lang w:val="en-US" w:eastAsia="zh-CN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94.62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94.62%</w:t>
            </w:r>
          </w:p>
        </w:tc>
      </w:tr>
    </w:tbl>
    <w:p>
      <w:pPr>
        <w:pStyle w:val="4"/>
        <w:ind w:firstLine="562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项目支出预算执行情况</w:t>
      </w:r>
    </w:p>
    <w:p>
      <w:pPr>
        <w:ind w:firstLine="560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中央政法转移支付项目年初预算数</w:t>
      </w:r>
      <w:r>
        <w:rPr>
          <w:rFonts w:hint="eastAsia"/>
          <w:sz w:val="32"/>
          <w:szCs w:val="32"/>
          <w:highlight w:val="none"/>
          <w:lang w:eastAsia="zh-CN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178.00万元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全年预算数</w:t>
      </w:r>
      <w:r>
        <w:rPr>
          <w:rFonts w:hint="eastAsia"/>
          <w:sz w:val="32"/>
          <w:szCs w:val="32"/>
          <w:highlight w:val="none"/>
          <w:lang w:val="en-US" w:eastAsia="zh-CN"/>
        </w:rPr>
        <w:t>为230.00，</w:t>
      </w:r>
      <w:r>
        <w:rPr>
          <w:rFonts w:hint="eastAsia"/>
          <w:sz w:val="32"/>
          <w:szCs w:val="32"/>
          <w:highlight w:val="none"/>
        </w:rPr>
        <w:t>全年执行数为</w:t>
      </w:r>
      <w:r>
        <w:rPr>
          <w:rFonts w:hint="eastAsia"/>
          <w:sz w:val="32"/>
          <w:szCs w:val="32"/>
          <w:highlight w:val="none"/>
          <w:lang w:val="en-US" w:eastAsia="zh-CN"/>
        </w:rPr>
        <w:t>230.00</w:t>
      </w:r>
      <w:r>
        <w:rPr>
          <w:rFonts w:hint="eastAsia"/>
          <w:sz w:val="32"/>
          <w:szCs w:val="32"/>
          <w:highlight w:val="none"/>
        </w:rPr>
        <w:t>万元，</w:t>
      </w:r>
      <w:r>
        <w:rPr>
          <w:rFonts w:hint="eastAsia"/>
          <w:sz w:val="32"/>
          <w:szCs w:val="32"/>
          <w:highlight w:val="none"/>
          <w:lang w:eastAsia="zh-CN"/>
        </w:rPr>
        <w:t>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  <w:lang w:eastAsia="zh-CN"/>
        </w:rPr>
        <w:t>%，</w:t>
      </w:r>
      <w:r>
        <w:rPr>
          <w:rFonts w:hint="eastAsia"/>
          <w:sz w:val="32"/>
          <w:szCs w:val="32"/>
          <w:highlight w:val="none"/>
          <w:lang w:val="en-US" w:eastAsia="zh-CN"/>
        </w:rPr>
        <w:t>分值</w:t>
      </w:r>
      <w:r>
        <w:rPr>
          <w:rFonts w:hint="eastAsia"/>
          <w:sz w:val="32"/>
          <w:szCs w:val="32"/>
          <w:highlight w:val="none"/>
          <w:lang w:eastAsia="zh-CN"/>
        </w:rPr>
        <w:t>10分，得分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  <w:lang w:eastAsia="zh-CN"/>
        </w:rPr>
        <w:t>分。</w:t>
      </w:r>
    </w:p>
    <w:p>
      <w:pPr>
        <w:pStyle w:val="4"/>
        <w:ind w:firstLine="562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总体绩效目标完成情况分析</w:t>
      </w:r>
    </w:p>
    <w:p>
      <w:pPr>
        <w:bidi w:val="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通过中央政法资金的投入使用，提高办案经费保障水平，使队伍管理、文化建设、装备得到保障；通过合理使用资金，确保单位各项资产的安全有效使用及安全运行，提高了财政资金使用效率；保障了单位审判执行工作顺利开展，及时使用资金，加快预算执行进度，确保了各项工作的完成。</w:t>
      </w:r>
    </w:p>
    <w:p>
      <w:pPr>
        <w:pStyle w:val="4"/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各项指标完成情况分析</w:t>
      </w:r>
    </w:p>
    <w:p>
      <w:p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（1）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成本</w:t>
      </w:r>
      <w:r>
        <w:rPr>
          <w:rFonts w:hint="eastAsia"/>
          <w:b/>
          <w:bCs/>
          <w:sz w:val="32"/>
          <w:szCs w:val="32"/>
          <w:highlight w:val="none"/>
        </w:rPr>
        <w:t>指标</w:t>
      </w:r>
    </w:p>
    <w:p>
      <w:pPr>
        <w:ind w:firstLine="560"/>
        <w:rPr>
          <w:rFonts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经济成本1</w:t>
      </w:r>
      <w:r>
        <w:rPr>
          <w:rFonts w:hint="eastAsia" w:cs="仿宋_GB2312"/>
          <w:sz w:val="32"/>
          <w:szCs w:val="32"/>
          <w:highlight w:val="none"/>
        </w:rPr>
        <w:t>个二级指标。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</w:rPr>
        <w:t>0分，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cs="仿宋_GB2312"/>
          <w:sz w:val="32"/>
          <w:szCs w:val="32"/>
          <w:highlight w:val="none"/>
        </w:rPr>
        <w:t>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cs="仿宋_GB2312"/>
          <w:sz w:val="32"/>
          <w:szCs w:val="32"/>
          <w:highlight w:val="none"/>
        </w:rPr>
        <w:t>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</w:rPr>
        <w:t>成本控制情况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=100%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，实际维护=100%。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sz w:val="32"/>
          <w:szCs w:val="32"/>
          <w:highlight w:val="none"/>
        </w:rPr>
        <w:t>分，得分率100%。</w:t>
      </w:r>
    </w:p>
    <w:p>
      <w:pPr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资金支出真实有效性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院资金支出总体上审批程序合规、手续齐全，支出内容符合省财政预算批复规定的用途。</w:t>
      </w:r>
      <w:r>
        <w:rPr>
          <w:rFonts w:hint="eastAsia"/>
          <w:sz w:val="32"/>
          <w:szCs w:val="32"/>
          <w:highlight w:val="none"/>
          <w:lang w:val="en-US" w:eastAsia="zh-CN"/>
        </w:rPr>
        <w:t>该指标分值10分，自评得分为10分，得分率为100%。</w:t>
      </w:r>
    </w:p>
    <w:p>
      <w:p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highlight w:val="none"/>
        </w:rPr>
        <w:t>）产出指标</w:t>
      </w:r>
    </w:p>
    <w:p>
      <w:pPr>
        <w:ind w:firstLine="560"/>
        <w:rPr>
          <w:rFonts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</w:rPr>
        <w:t>产出指标下设数量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cs="仿宋_GB2312"/>
          <w:sz w:val="32"/>
          <w:szCs w:val="32"/>
          <w:highlight w:val="none"/>
        </w:rPr>
        <w:t>质量</w:t>
      </w:r>
      <w:r>
        <w:rPr>
          <w:rFonts w:hint="eastAsia" w:cs="仿宋_GB2312"/>
          <w:sz w:val="32"/>
          <w:szCs w:val="32"/>
          <w:highlight w:val="none"/>
          <w:lang w:eastAsia="zh-CN"/>
        </w:rPr>
        <w:t>、时效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</w:rPr>
        <w:t>个二级指标。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指标</w:t>
      </w:r>
      <w:r>
        <w:rPr>
          <w:rFonts w:hint="eastAsia" w:cs="仿宋_GB2312"/>
          <w:sz w:val="32"/>
          <w:szCs w:val="32"/>
          <w:highlight w:val="none"/>
        </w:rPr>
        <w:t>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</w:rPr>
        <w:t>0分，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cs="仿宋_GB2312"/>
          <w:sz w:val="32"/>
          <w:szCs w:val="32"/>
          <w:highlight w:val="none"/>
        </w:rPr>
        <w:t>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39.62</w:t>
      </w:r>
      <w:r>
        <w:rPr>
          <w:rFonts w:hint="eastAsia" w:cs="仿宋_GB2312"/>
          <w:sz w:val="32"/>
          <w:szCs w:val="32"/>
          <w:highlight w:val="none"/>
        </w:rPr>
        <w:t>分，得分率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99.05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ind w:firstLine="562"/>
        <w:rPr>
          <w:rFonts w:cs="仿宋_GB2312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①数量指标</w:t>
      </w:r>
    </w:p>
    <w:p>
      <w:pPr>
        <w:ind w:firstLine="56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数量指标下设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cs="仿宋_GB2312"/>
          <w:sz w:val="32"/>
          <w:szCs w:val="32"/>
          <w:highlight w:val="none"/>
        </w:rPr>
        <w:t>指标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分值18.51</w:t>
      </w:r>
      <w:r>
        <w:rPr>
          <w:rFonts w:hint="eastAsia" w:cs="仿宋_GB2312"/>
          <w:sz w:val="32"/>
          <w:szCs w:val="32"/>
          <w:highlight w:val="none"/>
        </w:rPr>
        <w:t>分，自评得分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18.13</w:t>
      </w:r>
      <w:r>
        <w:rPr>
          <w:rFonts w:hint="eastAsia" w:cs="仿宋_GB2312"/>
          <w:sz w:val="32"/>
          <w:szCs w:val="32"/>
          <w:highlight w:val="none"/>
        </w:rPr>
        <w:t>分，得分率为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97.95</w:t>
      </w:r>
      <w:r>
        <w:rPr>
          <w:rFonts w:hint="eastAsia" w:cs="仿宋_GB2312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车辆购置数：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0辆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，实际完成0辆。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公车维护次数：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=20次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，实际完成22次。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</w:rPr>
        <w:t>劳务项目数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=2项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，实际完成2项。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</w:rPr>
        <w:t>陪审员出庭及调解次数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=600次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，实际完成700次。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</w:rPr>
        <w:t>全年受理案件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7300件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，实际完成6422件，年度指标值设置偏低。加强绩效管理，提高绩效目标编制的科学性、准确性。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2.78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87.97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pStyle w:val="18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维修项目数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=2项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，实际完成2项。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bidi w:val="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②</w:t>
      </w:r>
      <w:r>
        <w:rPr>
          <w:rFonts w:hint="eastAsia"/>
          <w:b/>
          <w:bCs/>
          <w:sz w:val="32"/>
          <w:szCs w:val="32"/>
          <w:highlight w:val="none"/>
        </w:rPr>
        <w:t>质量指标</w:t>
      </w:r>
    </w:p>
    <w:p>
      <w:pPr>
        <w:ind w:firstLine="56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质量指标下设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分值12.28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12.28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案件结案率：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95%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，实际完成91.48%。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left="0" w:leftChars="0" w:firstLine="643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劳务项目完成率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=100%%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left="0" w:leftChars="0"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陪审员出庭及调解率：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left="0" w:leftChars="0" w:firstLine="643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维修项目验收合格率：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=100%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pStyle w:val="8"/>
        <w:ind w:firstLine="560"/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32"/>
          <w:szCs w:val="32"/>
          <w:highlight w:val="none"/>
          <w:lang w:val="en-US" w:eastAsia="zh-CN" w:bidi="ar-SA"/>
        </w:rPr>
        <w:t>③时效指标</w:t>
      </w:r>
    </w:p>
    <w:p>
      <w:pPr>
        <w:ind w:firstLine="56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时效</w:t>
      </w:r>
      <w:r>
        <w:rPr>
          <w:rFonts w:hint="eastAsia"/>
          <w:sz w:val="32"/>
          <w:szCs w:val="32"/>
          <w:highlight w:val="none"/>
        </w:rPr>
        <w:t>指标下设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分值9.21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9.21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bidi w:val="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按时完成维护项目：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90%。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sz w:val="32"/>
          <w:szCs w:val="32"/>
          <w:highlight w:val="none"/>
        </w:rPr>
      </w:pPr>
      <w:r>
        <w:rPr>
          <w:rFonts w:hint="default"/>
          <w:b/>
          <w:bCs/>
          <w:sz w:val="32"/>
          <w:szCs w:val="32"/>
          <w:highlight w:val="none"/>
          <w:lang w:val="en-US" w:eastAsia="zh-CN"/>
        </w:rPr>
        <w:t>案件法定期限内办结数量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=90%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pStyle w:val="18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公车维修及时性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=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0%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hint="eastAsia"/>
          <w:sz w:val="32"/>
          <w:szCs w:val="32"/>
          <w:highlight w:val="none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3.07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firstLine="562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highlight w:val="none"/>
        </w:rPr>
        <w:t>）效益指标</w:t>
      </w:r>
    </w:p>
    <w:p>
      <w:pPr>
        <w:ind w:firstLine="56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本项目效益指标主要考虑</w:t>
      </w:r>
      <w:r>
        <w:rPr>
          <w:rFonts w:hint="eastAsia"/>
          <w:sz w:val="32"/>
          <w:szCs w:val="32"/>
          <w:highlight w:val="none"/>
          <w:lang w:val="en-US" w:eastAsia="zh-CN"/>
        </w:rPr>
        <w:t>经济效益、</w:t>
      </w:r>
      <w:r>
        <w:rPr>
          <w:rFonts w:hint="eastAsia"/>
          <w:sz w:val="32"/>
          <w:szCs w:val="32"/>
          <w:highlight w:val="none"/>
        </w:rPr>
        <w:t>社会效益</w:t>
      </w:r>
      <w:r>
        <w:rPr>
          <w:rFonts w:hint="eastAsia"/>
          <w:sz w:val="32"/>
          <w:szCs w:val="32"/>
          <w:highlight w:val="none"/>
          <w:lang w:val="en-US" w:eastAsia="zh-CN"/>
        </w:rPr>
        <w:t>2个二级指标</w:t>
      </w:r>
      <w:r>
        <w:rPr>
          <w:rFonts w:hint="eastAsia"/>
          <w:sz w:val="32"/>
          <w:szCs w:val="32"/>
          <w:highlight w:val="none"/>
        </w:rPr>
        <w:t>。总分值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15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98</w:t>
      </w:r>
      <w:r>
        <w:rPr>
          <w:rFonts w:hint="eastAsia"/>
          <w:sz w:val="32"/>
          <w:szCs w:val="32"/>
          <w:highlight w:val="none"/>
        </w:rPr>
        <w:t>%。</w:t>
      </w:r>
    </w:p>
    <w:p>
      <w:pPr>
        <w:ind w:firstLine="562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</w:rPr>
        <w:t>①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经济效益指标</w:t>
      </w:r>
    </w:p>
    <w:p>
      <w:pPr>
        <w:ind w:firstLine="560"/>
        <w:rPr>
          <w:rFonts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经济效益指标</w:t>
      </w:r>
      <w:r>
        <w:rPr>
          <w:rFonts w:hint="eastAsia"/>
          <w:sz w:val="32"/>
          <w:szCs w:val="32"/>
          <w:highlight w:val="none"/>
        </w:rPr>
        <w:t>下设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分值15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66.67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ind w:firstLine="560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财务审核规范性：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符合国家财经法和财务管理制度。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分，得分率为100%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ind w:firstLine="562"/>
        <w:rPr>
          <w:rFonts w:hint="eastAsia" w:hAnsi="宋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32"/>
          <w:szCs w:val="32"/>
          <w:highlight w:val="none"/>
        </w:rPr>
        <w:t>资金使用规范性</w:t>
      </w:r>
      <w:r>
        <w:rPr>
          <w:rFonts w:hint="eastAsia" w:hAnsi="宋体" w:cs="宋体"/>
          <w:b/>
          <w:bCs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highlight w:val="none"/>
          <w:u w:val="none" w:color="000000"/>
          <w:vertAlign w:val="baseline"/>
          <w:lang w:eastAsia="zh-CN"/>
        </w:rPr>
        <w:t>年我院资金支出总体上审批程序合规、手续齐全，支出内容符合省财政预算批复规定的用途。</w:t>
      </w:r>
      <w:r>
        <w:rPr>
          <w:rFonts w:hint="eastAsia" w:hAnsi="宋体"/>
          <w:sz w:val="32"/>
          <w:szCs w:val="32"/>
          <w:highlight w:val="none"/>
        </w:rPr>
        <w:t>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Autospacing="0" w:afterAutospacing="0" w:line="560" w:lineRule="exact"/>
        <w:ind w:left="0" w:leftChars="0" w:firstLine="643" w:firstLineChars="200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32"/>
          <w:szCs w:val="32"/>
          <w:highlight w:val="none"/>
          <w:lang w:val="en-US" w:eastAsia="zh-CN"/>
        </w:rPr>
        <w:t>资金使用与预算指标相符率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年度指标值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hAnsi="宋体"/>
          <w:sz w:val="32"/>
          <w:szCs w:val="32"/>
          <w:highlight w:val="none"/>
        </w:rPr>
        <w:t>0%</w:t>
      </w:r>
      <w:r>
        <w:rPr>
          <w:rFonts w:hint="eastAsia" w:asci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，实际完成</w:t>
      </w:r>
      <w:r>
        <w:rPr>
          <w:rFonts w:hint="eastAsia" w:hAnsi="宋体"/>
          <w:sz w:val="32"/>
          <w:szCs w:val="32"/>
          <w:highlight w:val="none"/>
        </w:rPr>
        <w:t>100%</w:t>
      </w:r>
      <w:r>
        <w:rPr>
          <w:rFonts w:hint="eastAsia" w:hAnsi="宋体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系统问题，该项目指标得满分。</w:t>
      </w:r>
      <w:r>
        <w:rPr>
          <w:rFonts w:hint="eastAsia" w:ascii="Times New Roman" w:hAnsi="宋体" w:eastAsia="仿宋_GB2312" w:cs="宋体"/>
          <w:b w:val="0"/>
          <w:bCs w:val="0"/>
          <w:kern w:val="0"/>
          <w:sz w:val="32"/>
          <w:szCs w:val="32"/>
          <w:highlight w:val="no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宋体" w:eastAsia="仿宋_GB2312" w:cs="宋体"/>
          <w:b w:val="0"/>
          <w:bCs w:val="0"/>
          <w:kern w:val="0"/>
          <w:sz w:val="32"/>
          <w:szCs w:val="32"/>
          <w:highlight w:val="none"/>
        </w:rPr>
        <w:t>分，自评得分</w:t>
      </w:r>
      <w:r>
        <w:rPr>
          <w:rFonts w:hint="eastAsia" w:ascii="Times New Roman" w:hAnsi="宋体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宋体" w:eastAsia="仿宋_GB2312" w:cs="宋体"/>
          <w:b w:val="0"/>
          <w:bCs w:val="0"/>
          <w:kern w:val="0"/>
          <w:sz w:val="32"/>
          <w:szCs w:val="32"/>
          <w:highlight w:val="none"/>
        </w:rPr>
        <w:t>分。</w:t>
      </w:r>
    </w:p>
    <w:p>
      <w:pPr>
        <w:bidi w:val="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②社会效益指标</w:t>
      </w:r>
    </w:p>
    <w:p>
      <w:pPr>
        <w:ind w:firstLine="560"/>
        <w:rPr>
          <w:rFonts w:hint="eastAsia"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社会效益指标下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个三级指标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bookmarkStart w:id="97" w:name="_GoBack"/>
      <w:bookmarkEnd w:id="97"/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>
      <w:pPr>
        <w:pStyle w:val="18"/>
        <w:rPr>
          <w:rFonts w:hint="eastAsia" w:hAnsi="宋体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有效保障审判服务：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2023年我院依法开展刑事审判，全力维护社会稳定；妥善解决民商纠纷，积极化解社会矛盾；加强行政审判工作，促进法制政府建设；全力破解执行难题，兑现涉诉合法权益，不断提高人民群众对法院信任度。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该指标分值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分，自评得分为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%。</w:t>
      </w:r>
    </w:p>
    <w:p>
      <w:pPr>
        <w:numPr>
          <w:ilvl w:val="255"/>
          <w:numId w:val="0"/>
        </w:numPr>
        <w:ind w:firstLine="562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highlight w:val="none"/>
        </w:rPr>
        <w:t>）满意度指标</w:t>
      </w:r>
    </w:p>
    <w:p>
      <w:pPr>
        <w:pStyle w:val="18"/>
        <w:rPr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服务群众对审批工作满意度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/>
          <w:b/>
          <w:bCs/>
          <w:sz w:val="32"/>
          <w:szCs w:val="32"/>
          <w:highlight w:val="none"/>
        </w:rPr>
        <w:t>判出法庭工作人员满意度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我院在院党组的正确领导和悉心指导下，坚持以审判需求为导向、以司法能力建设为核心、以社会责任为目标，忠实履职尽责，主动担当作为，通过满意度调查，服务群众对审批工作满意度，判出法庭工作人员满意度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/>
          <w:sz w:val="32"/>
          <w:szCs w:val="32"/>
          <w:highlight w:val="none"/>
        </w:rPr>
        <w:t>指标分值合计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>
      <w:pPr>
        <w:pStyle w:val="4"/>
        <w:ind w:firstLine="562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4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</w:p>
    <w:p>
      <w:pPr>
        <w:bidi w:val="0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部分指标未达到目标值: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全年受理案件，年度指标值设置偏高。加强绩效管理，提高绩效目标编制的科学性、准确性。资金使用与预算指标相符率因</w:t>
      </w:r>
      <w:r>
        <w:rPr>
          <w:rFonts w:hint="eastAsia"/>
          <w:sz w:val="32"/>
          <w:szCs w:val="32"/>
          <w:highlight w:val="none"/>
          <w:lang w:val="en-US" w:eastAsia="zh-CN"/>
        </w:rPr>
        <w:t>系统问题，该项目指标得满分。</w:t>
      </w:r>
    </w:p>
    <w:p>
      <w:pPr>
        <w:pStyle w:val="2"/>
        <w:rPr>
          <w:sz w:val="32"/>
          <w:szCs w:val="32"/>
          <w:highlight w:val="none"/>
        </w:rPr>
      </w:pPr>
      <w:bookmarkStart w:id="90" w:name="_Toc31318"/>
      <w:r>
        <w:rPr>
          <w:rFonts w:hint="eastAsia"/>
          <w:sz w:val="32"/>
          <w:szCs w:val="32"/>
          <w:highlight w:val="none"/>
        </w:rPr>
        <w:t>六、绩效自评结果拟应用和公开情况</w:t>
      </w:r>
      <w:bookmarkEnd w:id="80"/>
      <w:bookmarkEnd w:id="81"/>
      <w:bookmarkEnd w:id="87"/>
      <w:bookmarkEnd w:id="88"/>
      <w:bookmarkEnd w:id="89"/>
      <w:bookmarkEnd w:id="90"/>
    </w:p>
    <w:p>
      <w:pPr>
        <w:widowControl/>
        <w:ind w:firstLine="560"/>
        <w:jc w:val="left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</w:rPr>
        <w:t>绩效自评结果的应用是</w:t>
      </w:r>
      <w:r>
        <w:rPr>
          <w:rFonts w:hint="eastAsia" w:hAnsi="宋体"/>
          <w:sz w:val="32"/>
          <w:szCs w:val="32"/>
          <w:highlight w:val="none"/>
          <w:lang w:eastAsia="zh-CN"/>
        </w:rPr>
        <w:t>部门</w:t>
      </w:r>
      <w:r>
        <w:rPr>
          <w:rFonts w:hint="eastAsia" w:hAnsi="宋体"/>
          <w:sz w:val="32"/>
          <w:szCs w:val="32"/>
          <w:highlight w:val="none"/>
        </w:rPr>
        <w:t>完善政策和改进管理的重要依据，</w:t>
      </w:r>
      <w:r>
        <w:rPr>
          <w:rFonts w:hint="eastAsia" w:hAnsi="宋体"/>
          <w:sz w:val="32"/>
          <w:szCs w:val="32"/>
          <w:highlight w:val="none"/>
          <w:lang w:eastAsia="zh-CN"/>
        </w:rPr>
        <w:t>部门</w:t>
      </w:r>
      <w:r>
        <w:rPr>
          <w:rFonts w:hint="eastAsia" w:hAnsi="宋体"/>
          <w:sz w:val="32"/>
          <w:szCs w:val="32"/>
          <w:highlight w:val="none"/>
        </w:rPr>
        <w:t>要加强评价结果的应用。根据政策文件规定，</w:t>
      </w:r>
      <w:r>
        <w:rPr>
          <w:rFonts w:hint="eastAsia" w:hAnsi="宋体"/>
          <w:sz w:val="32"/>
          <w:szCs w:val="32"/>
          <w:highlight w:val="none"/>
          <w:lang w:eastAsia="zh-CN"/>
        </w:rPr>
        <w:t>我院</w:t>
      </w:r>
      <w:r>
        <w:rPr>
          <w:rFonts w:hint="eastAsia" w:hAnsi="宋体"/>
          <w:sz w:val="32"/>
          <w:szCs w:val="32"/>
          <w:highlight w:val="none"/>
        </w:rPr>
        <w:t>绩效自评结果将编入</w:t>
      </w: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年度决算中，随同</w:t>
      </w:r>
      <w:r>
        <w:rPr>
          <w:rFonts w:hint="eastAsia" w:hAnsi="宋体"/>
          <w:sz w:val="32"/>
          <w:szCs w:val="32"/>
          <w:highlight w:val="none"/>
          <w:lang w:eastAsia="zh-CN"/>
        </w:rPr>
        <w:t>202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宋体"/>
          <w:sz w:val="32"/>
          <w:szCs w:val="32"/>
          <w:highlight w:val="none"/>
        </w:rPr>
        <w:t>年度</w:t>
      </w:r>
      <w:r>
        <w:rPr>
          <w:rFonts w:hint="eastAsia" w:hAnsi="宋体"/>
          <w:sz w:val="32"/>
          <w:szCs w:val="32"/>
          <w:highlight w:val="none"/>
          <w:lang w:eastAsia="zh-CN"/>
        </w:rPr>
        <w:t>部门</w:t>
      </w:r>
      <w:r>
        <w:rPr>
          <w:rFonts w:hint="eastAsia" w:hAnsi="宋体"/>
          <w:sz w:val="32"/>
          <w:szCs w:val="32"/>
          <w:highlight w:val="none"/>
        </w:rPr>
        <w:t>决算同步公开。</w:t>
      </w:r>
    </w:p>
    <w:p>
      <w:pPr>
        <w:pStyle w:val="2"/>
        <w:rPr>
          <w:sz w:val="32"/>
          <w:szCs w:val="32"/>
          <w:highlight w:val="none"/>
        </w:rPr>
      </w:pPr>
      <w:bookmarkStart w:id="91" w:name="_Toc4491"/>
      <w:bookmarkStart w:id="92" w:name="_Toc17181"/>
      <w:bookmarkStart w:id="93" w:name="_Toc21490"/>
      <w:bookmarkStart w:id="94" w:name="_Toc40046066"/>
      <w:bookmarkStart w:id="95" w:name="_Toc6781"/>
      <w:bookmarkStart w:id="96" w:name="_Toc5032"/>
      <w:r>
        <w:rPr>
          <w:rFonts w:hint="eastAsia"/>
          <w:sz w:val="32"/>
          <w:szCs w:val="32"/>
          <w:highlight w:val="none"/>
        </w:rPr>
        <w:t>七、其他需要说明的问题</w:t>
      </w:r>
      <w:bookmarkEnd w:id="91"/>
      <w:bookmarkEnd w:id="92"/>
      <w:bookmarkEnd w:id="93"/>
      <w:bookmarkEnd w:id="94"/>
      <w:bookmarkEnd w:id="95"/>
      <w:bookmarkEnd w:id="96"/>
    </w:p>
    <w:p>
      <w:pPr>
        <w:widowControl/>
        <w:ind w:firstLine="560"/>
        <w:jc w:val="left"/>
        <w:rPr>
          <w:rFonts w:hint="eastAsia" w:hAnsi="宋体" w:eastAsia="仿宋_GB2312"/>
          <w:sz w:val="32"/>
          <w:szCs w:val="32"/>
          <w:lang w:eastAsia="zh-CN"/>
        </w:rPr>
      </w:pPr>
      <w:r>
        <w:rPr>
          <w:rFonts w:hint="eastAsia" w:hAnsi="宋体"/>
          <w:sz w:val="32"/>
          <w:szCs w:val="32"/>
        </w:rPr>
        <w:t>无</w:t>
      </w:r>
      <w:r>
        <w:rPr>
          <w:rFonts w:hint="eastAsia" w:hAnsi="宋体"/>
          <w:sz w:val="32"/>
          <w:szCs w:val="32"/>
          <w:lang w:eastAsia="zh-CN"/>
        </w:rPr>
        <w:t>。</w:t>
      </w:r>
    </w:p>
    <w:p>
      <w:pPr>
        <w:ind w:left="0" w:leftChars="0" w:firstLine="0" w:firstLineChars="0"/>
        <w:rPr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7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A5E6"/>
    <w:multiLevelType w:val="singleLevel"/>
    <w:tmpl w:val="0F65A5E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ZTA1YTFhYjcyN2RmYzI5NDE0MDRiNDQwMjJjY2UifQ==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43EB1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F2BDA"/>
    <w:rsid w:val="01183111"/>
    <w:rsid w:val="0125204F"/>
    <w:rsid w:val="016210FD"/>
    <w:rsid w:val="01865733"/>
    <w:rsid w:val="01A06E9D"/>
    <w:rsid w:val="01BB35F3"/>
    <w:rsid w:val="023A109F"/>
    <w:rsid w:val="02441F1E"/>
    <w:rsid w:val="0294218E"/>
    <w:rsid w:val="02AB6305"/>
    <w:rsid w:val="02D93C69"/>
    <w:rsid w:val="0305754E"/>
    <w:rsid w:val="03586C8C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6174AA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D1369DD"/>
    <w:rsid w:val="0D201355"/>
    <w:rsid w:val="0DD248FB"/>
    <w:rsid w:val="0DE74A3D"/>
    <w:rsid w:val="0DF0188C"/>
    <w:rsid w:val="0DF46805"/>
    <w:rsid w:val="0E071816"/>
    <w:rsid w:val="0E130328"/>
    <w:rsid w:val="0E14510B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E7ED7"/>
    <w:rsid w:val="0FC91CB4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F942BB"/>
    <w:rsid w:val="14055456"/>
    <w:rsid w:val="1410241B"/>
    <w:rsid w:val="146A4AEC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9A0A5A"/>
    <w:rsid w:val="16EA10E2"/>
    <w:rsid w:val="171A2DA3"/>
    <w:rsid w:val="17364B64"/>
    <w:rsid w:val="17400B06"/>
    <w:rsid w:val="17914727"/>
    <w:rsid w:val="17A22D12"/>
    <w:rsid w:val="17A41D79"/>
    <w:rsid w:val="17D45E88"/>
    <w:rsid w:val="18657FD3"/>
    <w:rsid w:val="187F540D"/>
    <w:rsid w:val="18CA4D24"/>
    <w:rsid w:val="19167A27"/>
    <w:rsid w:val="192F298D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913C2A"/>
    <w:rsid w:val="1AB901AA"/>
    <w:rsid w:val="1ABA3711"/>
    <w:rsid w:val="1ACC2EC5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201C2D22"/>
    <w:rsid w:val="20347EDD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C541CF"/>
    <w:rsid w:val="22F26762"/>
    <w:rsid w:val="230443DA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AB104A"/>
    <w:rsid w:val="25B4378E"/>
    <w:rsid w:val="25D37B28"/>
    <w:rsid w:val="25E12217"/>
    <w:rsid w:val="26323CB8"/>
    <w:rsid w:val="26555BF8"/>
    <w:rsid w:val="269A7D3C"/>
    <w:rsid w:val="270E5FB0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A33B3B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F56335"/>
    <w:rsid w:val="2DF9286A"/>
    <w:rsid w:val="2ED6443A"/>
    <w:rsid w:val="2EE138F7"/>
    <w:rsid w:val="2F0C4BE3"/>
    <w:rsid w:val="2F377CAB"/>
    <w:rsid w:val="2F4D1ED1"/>
    <w:rsid w:val="2FCB61DD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F146C2"/>
    <w:rsid w:val="351358AA"/>
    <w:rsid w:val="35303AB8"/>
    <w:rsid w:val="35324607"/>
    <w:rsid w:val="35E019E6"/>
    <w:rsid w:val="363277FD"/>
    <w:rsid w:val="3639699D"/>
    <w:rsid w:val="365E57FF"/>
    <w:rsid w:val="366A70C8"/>
    <w:rsid w:val="36AF7935"/>
    <w:rsid w:val="36B928EF"/>
    <w:rsid w:val="36D901FE"/>
    <w:rsid w:val="37164F30"/>
    <w:rsid w:val="372B7BCD"/>
    <w:rsid w:val="375D1400"/>
    <w:rsid w:val="376728C4"/>
    <w:rsid w:val="376E08C8"/>
    <w:rsid w:val="379067CC"/>
    <w:rsid w:val="38021539"/>
    <w:rsid w:val="380A28CA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8B731D"/>
    <w:rsid w:val="3A946897"/>
    <w:rsid w:val="3A976B41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8C2637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B62723"/>
    <w:rsid w:val="41C474D0"/>
    <w:rsid w:val="41C8474B"/>
    <w:rsid w:val="41CD47B2"/>
    <w:rsid w:val="423B584A"/>
    <w:rsid w:val="43166C1A"/>
    <w:rsid w:val="43291B47"/>
    <w:rsid w:val="432F247C"/>
    <w:rsid w:val="43625A2A"/>
    <w:rsid w:val="437F06E0"/>
    <w:rsid w:val="43C31F9B"/>
    <w:rsid w:val="43D14C90"/>
    <w:rsid w:val="44093E52"/>
    <w:rsid w:val="4441199E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81B63B6"/>
    <w:rsid w:val="483A6A4A"/>
    <w:rsid w:val="487550B7"/>
    <w:rsid w:val="48975FDF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20143BB"/>
    <w:rsid w:val="520E29DF"/>
    <w:rsid w:val="5237602E"/>
    <w:rsid w:val="52397BDB"/>
    <w:rsid w:val="524A0ED8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3071D9"/>
    <w:rsid w:val="543C16DA"/>
    <w:rsid w:val="54843081"/>
    <w:rsid w:val="54CE139D"/>
    <w:rsid w:val="54E720BB"/>
    <w:rsid w:val="551B4A12"/>
    <w:rsid w:val="5588094F"/>
    <w:rsid w:val="558A2919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960718"/>
    <w:rsid w:val="58B80B09"/>
    <w:rsid w:val="58C500FD"/>
    <w:rsid w:val="58DC7930"/>
    <w:rsid w:val="590C03A2"/>
    <w:rsid w:val="593E3D0B"/>
    <w:rsid w:val="596334BB"/>
    <w:rsid w:val="59727BBE"/>
    <w:rsid w:val="59964C22"/>
    <w:rsid w:val="59A03A97"/>
    <w:rsid w:val="59A97E57"/>
    <w:rsid w:val="5A112DD4"/>
    <w:rsid w:val="5A4A24F3"/>
    <w:rsid w:val="5A5B1C29"/>
    <w:rsid w:val="5A7F2300"/>
    <w:rsid w:val="5A825F68"/>
    <w:rsid w:val="5AED49A0"/>
    <w:rsid w:val="5AFE65A3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611791"/>
    <w:rsid w:val="5D755C5D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5FBD12F8"/>
    <w:rsid w:val="600414DC"/>
    <w:rsid w:val="603319A6"/>
    <w:rsid w:val="605F1472"/>
    <w:rsid w:val="60A12843"/>
    <w:rsid w:val="60BA744E"/>
    <w:rsid w:val="60BB23FA"/>
    <w:rsid w:val="60FB49D2"/>
    <w:rsid w:val="61D474C9"/>
    <w:rsid w:val="62662E4A"/>
    <w:rsid w:val="62950A8E"/>
    <w:rsid w:val="629774D1"/>
    <w:rsid w:val="62BE64F4"/>
    <w:rsid w:val="62C9714A"/>
    <w:rsid w:val="635B3466"/>
    <w:rsid w:val="637B00FA"/>
    <w:rsid w:val="63DC4C88"/>
    <w:rsid w:val="63EE5101"/>
    <w:rsid w:val="64234172"/>
    <w:rsid w:val="6431668F"/>
    <w:rsid w:val="64803EF5"/>
    <w:rsid w:val="64835103"/>
    <w:rsid w:val="64970BAF"/>
    <w:rsid w:val="64AA6F1D"/>
    <w:rsid w:val="64C50052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D76A40"/>
    <w:rsid w:val="68F20812"/>
    <w:rsid w:val="69021FA8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7C13D5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8C5C0C"/>
    <w:rsid w:val="6D8D7335"/>
    <w:rsid w:val="6DF95048"/>
    <w:rsid w:val="6E0472B5"/>
    <w:rsid w:val="6E09753D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5E0709"/>
    <w:rsid w:val="74962374"/>
    <w:rsid w:val="74FB38D2"/>
    <w:rsid w:val="750E0A19"/>
    <w:rsid w:val="75606932"/>
    <w:rsid w:val="75685790"/>
    <w:rsid w:val="756E5918"/>
    <w:rsid w:val="75712C55"/>
    <w:rsid w:val="757B7431"/>
    <w:rsid w:val="75D7226C"/>
    <w:rsid w:val="76332FB4"/>
    <w:rsid w:val="76740D50"/>
    <w:rsid w:val="768E46C3"/>
    <w:rsid w:val="769C1001"/>
    <w:rsid w:val="76EB38E3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9280186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0F7502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700DD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6"/>
    <w:basedOn w:val="1"/>
    <w:next w:val="1"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99"/>
    <w:rPr>
      <w:szCs w:val="21"/>
    </w:rPr>
  </w:style>
  <w:style w:type="paragraph" w:styleId="9">
    <w:name w:val="Body Text Indent"/>
    <w:basedOn w:val="1"/>
    <w:qFormat/>
    <w:uiPriority w:val="0"/>
    <w:pPr>
      <w:ind w:left="200" w:leftChars="200"/>
    </w:pPr>
    <w:rPr>
      <w:szCs w:val="21"/>
    </w:rPr>
  </w:style>
  <w:style w:type="paragraph" w:styleId="10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11">
    <w:name w:val="Body Text Indent 2"/>
    <w:basedOn w:val="1"/>
    <w:next w:val="10"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index 1"/>
    <w:basedOn w:val="1"/>
    <w:next w:val="1"/>
    <w:qFormat/>
    <w:uiPriority w:val="0"/>
  </w:style>
  <w:style w:type="paragraph" w:styleId="19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Body Text First Indent 2"/>
    <w:basedOn w:val="1"/>
    <w:qFormat/>
    <w:uiPriority w:val="0"/>
    <w:pPr>
      <w:ind w:left="420" w:leftChars="200" w:firstLine="420" w:firstLineChars="200"/>
    </w:pPr>
  </w:style>
  <w:style w:type="paragraph" w:customStyle="1" w:styleId="26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customStyle="1" w:styleId="27">
    <w:name w:val="BodyTextIndent"/>
    <w:basedOn w:val="1"/>
    <w:qFormat/>
    <w:uiPriority w:val="0"/>
    <w:pPr>
      <w:widowControl/>
      <w:ind w:left="200" w:left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28">
    <w:name w:val="页眉 字符"/>
    <w:basedOn w:val="22"/>
    <w:link w:val="13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2"/>
    <w:qFormat/>
    <w:uiPriority w:val="99"/>
    <w:rPr>
      <w:sz w:val="18"/>
      <w:szCs w:val="18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1">
    <w:name w:val="标题 1 字符"/>
    <w:basedOn w:val="22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2">
    <w:name w:val="标题 2 字符"/>
    <w:basedOn w:val="22"/>
    <w:link w:val="3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3">
    <w:name w:val="标题 3 字符"/>
    <w:basedOn w:val="22"/>
    <w:link w:val="4"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4">
    <w:name w:val="font0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">
    <w:name w:val="批注文字 字符"/>
    <w:basedOn w:val="22"/>
    <w:link w:val="7"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36">
    <w:name w:val="批注主题 字符"/>
    <w:basedOn w:val="35"/>
    <w:link w:val="19"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37">
    <w:name w:val="NormalIndent"/>
    <w:basedOn w:val="1"/>
    <w:qFormat/>
    <w:uiPriority w:val="99"/>
    <w:pPr>
      <w:ind w:firstLine="420" w:firstLineChars="200"/>
      <w:textAlignment w:val="baseline"/>
    </w:pPr>
    <w:rPr>
      <w:szCs w:val="21"/>
    </w:rPr>
  </w:style>
  <w:style w:type="character" w:customStyle="1" w:styleId="38">
    <w:name w:val="content1"/>
    <w:basedOn w:val="22"/>
    <w:qFormat/>
    <w:uiPriority w:val="0"/>
    <w:rPr>
      <w:rFonts w:hint="default"/>
      <w:sz w:val="21"/>
    </w:rPr>
  </w:style>
  <w:style w:type="paragraph" w:customStyle="1" w:styleId="39">
    <w:name w:val="Char2"/>
    <w:basedOn w:val="1"/>
    <w:qFormat/>
    <w:uiPriority w:val="0"/>
    <w:rPr>
      <w:rFonts w:ascii="Courier" w:hAnsi="Courier" w:cs="Courier"/>
      <w:szCs w:val="21"/>
    </w:rPr>
  </w:style>
  <w:style w:type="character" w:customStyle="1" w:styleId="40">
    <w:name w:val="NormalCharacter"/>
    <w:semiHidden/>
    <w:qFormat/>
    <w:uiPriority w:val="0"/>
  </w:style>
  <w:style w:type="paragraph" w:customStyle="1" w:styleId="41">
    <w:name w:val="Normal Indent1"/>
    <w:basedOn w:val="1"/>
    <w:qFormat/>
    <w:uiPriority w:val="99"/>
    <w:pPr>
      <w:ind w:firstLine="420"/>
    </w:p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11851</Words>
  <Characters>13646</Characters>
  <Lines>132</Lines>
  <Paragraphs>37</Paragraphs>
  <TotalTime>10</TotalTime>
  <ScaleCrop>false</ScaleCrop>
  <LinksUpToDate>false</LinksUpToDate>
  <CharactersWithSpaces>13711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超人不会飞</cp:lastModifiedBy>
  <cp:lastPrinted>2021-04-25T06:46:00Z</cp:lastPrinted>
  <dcterms:modified xsi:type="dcterms:W3CDTF">2024-03-31T09:55:46Z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C0F2268E3CD64D409070F7A84AC56315</vt:lpwstr>
  </property>
</Properties>
</file>