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年度平凉市中级人民法院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平凉市中级人民法院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pPr>
        <w:ind w:firstLine="560"/>
        <w:jc w:val="left"/>
      </w:pPr>
    </w:p>
    <w:p>
      <w:pPr>
        <w:pStyle w:val="32"/>
        <w:spacing w:line="360" w:lineRule="auto"/>
        <w:ind w:firstLine="560"/>
        <w:jc w:val="center"/>
        <w:rPr>
          <w:rFonts w:ascii="仿宋_GB2312" w:hAnsi="仿宋_GB2312" w:eastAsia="仿宋_GB2312" w:cs="黑体"/>
          <w:color w:val="auto"/>
          <w:kern w:val="2"/>
          <w:sz w:val="28"/>
          <w:szCs w:val="22"/>
          <w:lang w:val="zh-CN"/>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start="1"/>
          <w:cols w:space="720" w:num="1"/>
          <w:docGrid w:type="lines" w:linePitch="312" w:charSpace="0"/>
        </w:sectPr>
      </w:pPr>
    </w:p>
    <w:p>
      <w:pPr>
        <w:spacing w:line="360" w:lineRule="auto"/>
        <w:ind w:firstLine="0" w:firstLineChars="0"/>
        <w:jc w:val="center"/>
        <w:rPr>
          <w:rFonts w:ascii="仿宋_GB2312" w:hAnsi="仿宋_GB2312" w:eastAsia="仿宋_GB2312" w:cs="黑体"/>
          <w:kern w:val="2"/>
          <w:sz w:val="28"/>
          <w:szCs w:val="22"/>
          <w:lang w:val="en-US" w:eastAsia="zh-CN" w:bidi="ar-SA"/>
        </w:rPr>
      </w:pPr>
      <w:r>
        <w:rPr>
          <w:rFonts w:ascii="黑体" w:hAnsi="黑体" w:eastAsia="黑体"/>
          <w:color w:val="auto"/>
          <w:lang w:val="zh-CN"/>
        </w:rPr>
        <w:t>目录</w:t>
      </w:r>
      <w:r>
        <w:fldChar w:fldCharType="begin"/>
      </w:r>
      <w:r>
        <w:instrText xml:space="preserve"> TOC \o "1-2" \h \z \u </w:instrText>
      </w:r>
      <w:r>
        <w:fldChar w:fldCharType="separate"/>
      </w:r>
    </w:p>
    <w:p>
      <w:pPr>
        <w:pStyle w:val="19"/>
        <w:tabs>
          <w:tab w:val="right" w:leader="dot" w:pos="8306"/>
          <w:tab w:val="clear" w:pos="8296"/>
        </w:tabs>
      </w:pPr>
      <w:r>
        <w:fldChar w:fldCharType="begin"/>
      </w:r>
      <w:r>
        <w:instrText xml:space="preserve"> HYPERLINK \l _Toc24432 </w:instrText>
      </w:r>
      <w:r>
        <w:fldChar w:fldCharType="separate"/>
      </w:r>
      <w:r>
        <w:rPr>
          <w:rFonts w:hint="eastAsia"/>
          <w:lang w:val="en-US" w:eastAsia="zh-CN"/>
        </w:rPr>
        <w:t>一、</w:t>
      </w:r>
      <w:r>
        <w:rPr>
          <w:rFonts w:hint="eastAsia"/>
        </w:rPr>
        <w:t>基本情况</w:t>
      </w:r>
      <w:r>
        <w:tab/>
      </w:r>
      <w:r>
        <w:fldChar w:fldCharType="begin"/>
      </w:r>
      <w:r>
        <w:instrText xml:space="preserve"> PAGEREF _Toc24432 \h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_Toc23231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rPr>
          <w:rFonts w:hint="eastAsia"/>
          <w:lang w:val="en-US" w:eastAsia="zh-CN"/>
        </w:rPr>
        <w:t xml:space="preserve">  </w:t>
      </w:r>
      <w:r>
        <w:tab/>
      </w:r>
      <w:r>
        <w:fldChar w:fldCharType="begin"/>
      </w:r>
      <w:r>
        <w:instrText xml:space="preserve"> PAGEREF _Toc23231 \h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_Toc13357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_Toc13357 \h </w:instrText>
      </w:r>
      <w:r>
        <w:fldChar w:fldCharType="separate"/>
      </w:r>
      <w:r>
        <w:t>1</w:t>
      </w:r>
      <w:r>
        <w:fldChar w:fldCharType="end"/>
      </w:r>
      <w:r>
        <w:fldChar w:fldCharType="end"/>
      </w:r>
    </w:p>
    <w:p>
      <w:pPr>
        <w:pStyle w:val="19"/>
        <w:tabs>
          <w:tab w:val="right" w:leader="dot" w:pos="8306"/>
          <w:tab w:val="clear" w:pos="8296"/>
        </w:tabs>
      </w:pPr>
      <w:r>
        <w:fldChar w:fldCharType="begin"/>
      </w:r>
      <w:r>
        <w:instrText xml:space="preserve"> HYPERLINK \l _Toc11717 </w:instrText>
      </w:r>
      <w:r>
        <w:fldChar w:fldCharType="separate"/>
      </w:r>
      <w:r>
        <w:rPr>
          <w:rFonts w:hint="eastAsia"/>
          <w:lang w:val="en-US" w:eastAsia="zh-CN"/>
        </w:rPr>
        <w:t>二、绩效自评工作组织开展情况</w:t>
      </w:r>
      <w:r>
        <w:tab/>
      </w:r>
      <w:r>
        <w:fldChar w:fldCharType="begin"/>
      </w:r>
      <w:r>
        <w:instrText xml:space="preserve"> PAGEREF _Toc11717 \h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_Toc14208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_Toc14208 \h </w:instrText>
      </w:r>
      <w:r>
        <w:fldChar w:fldCharType="separate"/>
      </w:r>
      <w:r>
        <w:t>1</w:t>
      </w:r>
      <w:r>
        <w:fldChar w:fldCharType="end"/>
      </w:r>
      <w:r>
        <w:fldChar w:fldCharType="end"/>
      </w:r>
    </w:p>
    <w:p>
      <w:pPr>
        <w:pStyle w:val="20"/>
        <w:tabs>
          <w:tab w:val="right" w:leader="dot" w:pos="8306"/>
          <w:tab w:val="clear" w:pos="8296"/>
        </w:tabs>
      </w:pPr>
      <w:r>
        <w:fldChar w:fldCharType="begin"/>
      </w:r>
      <w:r>
        <w:instrText xml:space="preserve"> HYPERLINK \l _Toc24119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_Toc24119 \h </w:instrText>
      </w:r>
      <w:r>
        <w:fldChar w:fldCharType="separate"/>
      </w:r>
      <w:r>
        <w:t>2</w:t>
      </w:r>
      <w:r>
        <w:fldChar w:fldCharType="end"/>
      </w:r>
      <w:r>
        <w:fldChar w:fldCharType="end"/>
      </w:r>
    </w:p>
    <w:p>
      <w:pPr>
        <w:pStyle w:val="20"/>
        <w:tabs>
          <w:tab w:val="right" w:leader="dot" w:pos="8306"/>
          <w:tab w:val="clear" w:pos="8296"/>
        </w:tabs>
      </w:pPr>
      <w:r>
        <w:fldChar w:fldCharType="begin"/>
      </w:r>
      <w:r>
        <w:instrText xml:space="preserve"> HYPERLINK \l _Toc26638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_Toc26638 \h </w:instrText>
      </w:r>
      <w:r>
        <w:fldChar w:fldCharType="separate"/>
      </w:r>
      <w:r>
        <w:t>2</w:t>
      </w:r>
      <w:r>
        <w:fldChar w:fldCharType="end"/>
      </w:r>
      <w:r>
        <w:fldChar w:fldCharType="end"/>
      </w:r>
    </w:p>
    <w:p>
      <w:pPr>
        <w:pStyle w:val="19"/>
        <w:tabs>
          <w:tab w:val="right" w:leader="dot" w:pos="8306"/>
          <w:tab w:val="clear" w:pos="8296"/>
        </w:tabs>
      </w:pPr>
      <w:r>
        <w:fldChar w:fldCharType="begin"/>
      </w:r>
      <w:r>
        <w:instrText xml:space="preserve"> HYPERLINK \l _Toc13189 </w:instrText>
      </w:r>
      <w:r>
        <w:fldChar w:fldCharType="separate"/>
      </w:r>
      <w:r>
        <w:rPr>
          <w:rFonts w:hint="eastAsia"/>
        </w:rPr>
        <w:t>三、部门整体支出绩效自评情况分析</w:t>
      </w:r>
      <w:r>
        <w:tab/>
      </w:r>
      <w:r>
        <w:fldChar w:fldCharType="begin"/>
      </w:r>
      <w:r>
        <w:instrText xml:space="preserve"> PAGEREF _Toc13189 \h </w:instrText>
      </w:r>
      <w:r>
        <w:fldChar w:fldCharType="separate"/>
      </w:r>
      <w:r>
        <w:t>3</w:t>
      </w:r>
      <w:r>
        <w:fldChar w:fldCharType="end"/>
      </w:r>
      <w:r>
        <w:fldChar w:fldCharType="end"/>
      </w:r>
    </w:p>
    <w:p>
      <w:pPr>
        <w:pStyle w:val="20"/>
        <w:tabs>
          <w:tab w:val="right" w:leader="dot" w:pos="8306"/>
          <w:tab w:val="clear" w:pos="8296"/>
        </w:tabs>
      </w:pPr>
      <w:r>
        <w:fldChar w:fldCharType="begin"/>
      </w:r>
      <w:r>
        <w:instrText xml:space="preserve"> HYPERLINK \l _Toc11612 </w:instrText>
      </w:r>
      <w:r>
        <w:fldChar w:fldCharType="separate"/>
      </w:r>
      <w:r>
        <w:rPr>
          <w:rFonts w:hint="eastAsia"/>
        </w:rPr>
        <w:t>（一）部门决算情况</w:t>
      </w:r>
      <w:r>
        <w:tab/>
      </w:r>
      <w:r>
        <w:fldChar w:fldCharType="begin"/>
      </w:r>
      <w:r>
        <w:instrText xml:space="preserve"> PAGEREF _Toc11612 \h </w:instrText>
      </w:r>
      <w:r>
        <w:fldChar w:fldCharType="separate"/>
      </w:r>
      <w:r>
        <w:t>3</w:t>
      </w:r>
      <w:r>
        <w:fldChar w:fldCharType="end"/>
      </w:r>
      <w:r>
        <w:fldChar w:fldCharType="end"/>
      </w:r>
    </w:p>
    <w:p>
      <w:pPr>
        <w:pStyle w:val="20"/>
        <w:tabs>
          <w:tab w:val="right" w:leader="dot" w:pos="8306"/>
          <w:tab w:val="clear" w:pos="8296"/>
        </w:tabs>
      </w:pPr>
      <w:r>
        <w:fldChar w:fldCharType="begin"/>
      </w:r>
      <w:r>
        <w:instrText xml:space="preserve"> HYPERLINK \l _Toc9618 </w:instrText>
      </w:r>
      <w:r>
        <w:fldChar w:fldCharType="separate"/>
      </w:r>
      <w:r>
        <w:rPr>
          <w:rFonts w:hint="eastAsia"/>
        </w:rPr>
        <w:t>（二）总体绩效目标完成情况分析</w:t>
      </w:r>
      <w:r>
        <w:tab/>
      </w:r>
      <w:r>
        <w:fldChar w:fldCharType="begin"/>
      </w:r>
      <w:r>
        <w:instrText xml:space="preserve"> PAGEREF _Toc9618 \h </w:instrText>
      </w:r>
      <w:r>
        <w:fldChar w:fldCharType="separate"/>
      </w:r>
      <w:r>
        <w:t>3</w:t>
      </w:r>
      <w:r>
        <w:fldChar w:fldCharType="end"/>
      </w:r>
      <w:r>
        <w:fldChar w:fldCharType="end"/>
      </w:r>
    </w:p>
    <w:p>
      <w:pPr>
        <w:pStyle w:val="20"/>
        <w:tabs>
          <w:tab w:val="right" w:leader="dot" w:pos="8306"/>
          <w:tab w:val="clear" w:pos="8296"/>
        </w:tabs>
      </w:pPr>
      <w:r>
        <w:fldChar w:fldCharType="begin"/>
      </w:r>
      <w:r>
        <w:instrText xml:space="preserve"> HYPERLINK \l _Toc23660 </w:instrText>
      </w:r>
      <w:r>
        <w:fldChar w:fldCharType="separate"/>
      </w:r>
      <w:r>
        <w:rPr>
          <w:rFonts w:hint="eastAsia"/>
        </w:rPr>
        <w:t>（三）各项指标完成情况分析</w:t>
      </w:r>
      <w:r>
        <w:tab/>
      </w:r>
      <w:r>
        <w:fldChar w:fldCharType="begin"/>
      </w:r>
      <w:r>
        <w:instrText xml:space="preserve"> PAGEREF _Toc23660 \h </w:instrText>
      </w:r>
      <w:r>
        <w:fldChar w:fldCharType="separate"/>
      </w:r>
      <w:r>
        <w:t>4</w:t>
      </w:r>
      <w:r>
        <w:fldChar w:fldCharType="end"/>
      </w:r>
      <w:r>
        <w:fldChar w:fldCharType="end"/>
      </w:r>
    </w:p>
    <w:p>
      <w:pPr>
        <w:pStyle w:val="20"/>
        <w:tabs>
          <w:tab w:val="right" w:leader="dot" w:pos="8306"/>
          <w:tab w:val="clear" w:pos="8296"/>
        </w:tabs>
      </w:pPr>
      <w:r>
        <w:fldChar w:fldCharType="begin"/>
      </w:r>
      <w:r>
        <w:instrText xml:space="preserve"> HYPERLINK \l _Toc10079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_Toc10079 \h </w:instrText>
      </w:r>
      <w:r>
        <w:fldChar w:fldCharType="separate"/>
      </w:r>
      <w:r>
        <w:t>11</w:t>
      </w:r>
      <w:r>
        <w:fldChar w:fldCharType="end"/>
      </w:r>
      <w:r>
        <w:fldChar w:fldCharType="end"/>
      </w:r>
    </w:p>
    <w:p>
      <w:pPr>
        <w:pStyle w:val="19"/>
        <w:tabs>
          <w:tab w:val="right" w:leader="dot" w:pos="8306"/>
          <w:tab w:val="clear" w:pos="8296"/>
        </w:tabs>
      </w:pPr>
      <w:r>
        <w:fldChar w:fldCharType="begin"/>
      </w:r>
      <w:r>
        <w:instrText xml:space="preserve"> HYPERLINK \l _Toc20021 </w:instrText>
      </w:r>
      <w:r>
        <w:fldChar w:fldCharType="separate"/>
      </w:r>
      <w:r>
        <w:rPr>
          <w:rFonts w:hint="eastAsia"/>
          <w:lang w:val="en-US" w:eastAsia="zh-CN"/>
        </w:rPr>
        <w:t>四、部门预算项目支出绩效自评情况分析</w:t>
      </w:r>
      <w:r>
        <w:tab/>
      </w:r>
      <w:r>
        <w:fldChar w:fldCharType="begin"/>
      </w:r>
      <w:r>
        <w:instrText xml:space="preserve"> PAGEREF _Toc20021 \h </w:instrText>
      </w:r>
      <w:r>
        <w:fldChar w:fldCharType="separate"/>
      </w:r>
      <w:r>
        <w:t>11</w:t>
      </w:r>
      <w:r>
        <w:fldChar w:fldCharType="end"/>
      </w:r>
      <w:r>
        <w:fldChar w:fldCharType="end"/>
      </w:r>
    </w:p>
    <w:p>
      <w:pPr>
        <w:pStyle w:val="20"/>
        <w:tabs>
          <w:tab w:val="right" w:leader="dot" w:pos="8306"/>
          <w:tab w:val="clear" w:pos="8296"/>
        </w:tabs>
      </w:pPr>
      <w:r>
        <w:fldChar w:fldCharType="begin"/>
      </w:r>
      <w:r>
        <w:instrText xml:space="preserve"> HYPERLINK \l _Toc18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_Toc18 \h </w:instrText>
      </w:r>
      <w:r>
        <w:fldChar w:fldCharType="separate"/>
      </w:r>
      <w:r>
        <w:t>11</w:t>
      </w:r>
      <w:r>
        <w:fldChar w:fldCharType="end"/>
      </w:r>
      <w:r>
        <w:fldChar w:fldCharType="end"/>
      </w:r>
    </w:p>
    <w:p>
      <w:pPr>
        <w:pStyle w:val="19"/>
        <w:tabs>
          <w:tab w:val="right" w:leader="dot" w:pos="8306"/>
          <w:tab w:val="clear" w:pos="8296"/>
        </w:tabs>
      </w:pPr>
      <w:r>
        <w:fldChar w:fldCharType="begin"/>
      </w:r>
      <w:r>
        <w:instrText xml:space="preserve"> HYPERLINK \l _Toc9805 </w:instrText>
      </w:r>
      <w:r>
        <w:fldChar w:fldCharType="separate"/>
      </w:r>
      <w:r>
        <w:rPr>
          <w:rFonts w:hint="eastAsia"/>
          <w:lang w:val="en-US" w:eastAsia="zh-CN"/>
        </w:rPr>
        <w:t>五、绩效自评结果拟应用和公开情况</w:t>
      </w:r>
      <w:r>
        <w:tab/>
      </w:r>
      <w:r>
        <w:rPr>
          <w:rFonts w:hint="eastAsia"/>
          <w:lang w:val="en-US" w:eastAsia="zh-CN"/>
        </w:rPr>
        <w:t>1</w:t>
      </w:r>
      <w:r>
        <w:fldChar w:fldCharType="end"/>
      </w:r>
      <w:r>
        <w:rPr>
          <w:rFonts w:hint="eastAsia"/>
          <w:lang w:val="en-US" w:eastAsia="zh-CN"/>
        </w:rPr>
        <w:t>6</w:t>
      </w:r>
    </w:p>
    <w:p>
      <w:pPr>
        <w:pStyle w:val="19"/>
        <w:tabs>
          <w:tab w:val="right" w:leader="dot" w:pos="8306"/>
          <w:tab w:val="clear" w:pos="8296"/>
        </w:tabs>
      </w:pPr>
      <w:r>
        <w:fldChar w:fldCharType="begin"/>
      </w:r>
      <w:r>
        <w:instrText xml:space="preserve"> HYPERLINK \l _Toc24763 </w:instrText>
      </w:r>
      <w:r>
        <w:fldChar w:fldCharType="separate"/>
      </w:r>
      <w:r>
        <w:rPr>
          <w:rFonts w:hint="eastAsia"/>
          <w:lang w:val="en-US" w:eastAsia="zh-CN"/>
        </w:rPr>
        <w:t>六、其他需要说明的问题</w:t>
      </w:r>
      <w:r>
        <w:tab/>
      </w:r>
      <w:r>
        <w:rPr>
          <w:rFonts w:hint="eastAsia"/>
          <w:lang w:val="en-US" w:eastAsia="zh-CN"/>
        </w:rPr>
        <w:t>1</w:t>
      </w:r>
      <w:r>
        <w:fldChar w:fldCharType="end"/>
      </w:r>
      <w:r>
        <w:rPr>
          <w:rFonts w:hint="eastAsia"/>
          <w:lang w:val="en-US" w:eastAsia="zh-CN"/>
        </w:rPr>
        <w:t>6</w:t>
      </w:r>
      <w:bookmarkStart w:id="75" w:name="_GoBack"/>
      <w:bookmarkEnd w:id="75"/>
    </w:p>
    <w:p>
      <w:pPr>
        <w:pStyle w:val="32"/>
        <w:spacing w:line="360" w:lineRule="auto"/>
        <w:ind w:firstLine="560" w:firstLineChars="0"/>
        <w:jc w:val="center"/>
      </w:pPr>
      <w:r>
        <w:fldChar w:fldCharType="end"/>
      </w:r>
    </w:p>
    <w:p>
      <w:pPr>
        <w:widowControl/>
        <w:spacing w:line="240" w:lineRule="auto"/>
        <w:ind w:firstLine="0" w:firstLineChars="0"/>
        <w:jc w:val="center"/>
        <w:rPr>
          <w:rFonts w:hint="eastAsia" w:ascii="宋体" w:hAnsi="宋体" w:eastAsia="宋体" w:cs="Arial"/>
          <w:b/>
          <w:bCs/>
          <w:sz w:val="44"/>
          <w:szCs w:val="44"/>
        </w:rPr>
        <w:sectPr>
          <w:footerReference r:id="rId10" w:type="default"/>
          <w:pgSz w:w="11906" w:h="16838"/>
          <w:pgMar w:top="1440" w:right="1800" w:bottom="1440" w:left="1800" w:header="851" w:footer="992" w:gutter="0"/>
          <w:pgNumType w:start="1"/>
          <w:cols w:space="720" w:num="1"/>
          <w:docGrid w:type="lines" w:linePitch="312" w:charSpace="0"/>
        </w:sectPr>
      </w:pPr>
      <w:bookmarkStart w:id="0" w:name="_Toc4040"/>
      <w:bookmarkStart w:id="1" w:name="_Toc13158"/>
      <w:bookmarkStart w:id="2" w:name="_Toc28671"/>
      <w:bookmarkStart w:id="3" w:name="_Toc22477"/>
      <w:bookmarkStart w:id="4" w:name="_Toc18188"/>
    </w:p>
    <w:p>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平凉市中级人民法院2023年度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3"/>
        <w:keepNext/>
        <w:keepLines/>
        <w:widowControl w:val="0"/>
        <w:numPr>
          <w:numId w:val="0"/>
        </w:numPr>
        <w:wordWrap/>
        <w:adjustRightInd/>
        <w:snapToGrid/>
        <w:spacing w:before="0" w:after="0" w:line="360" w:lineRule="auto"/>
        <w:ind w:leftChars="0"/>
        <w:jc w:val="both"/>
        <w:textAlignment w:val="auto"/>
      </w:pPr>
      <w:bookmarkStart w:id="5" w:name="_Toc24432"/>
      <w:r>
        <w:rPr>
          <w:rFonts w:hint="eastAsia"/>
          <w:lang w:val="en-US" w:eastAsia="zh-CN"/>
        </w:rPr>
        <w:t>一、</w:t>
      </w:r>
      <w:r>
        <w:rPr>
          <w:rFonts w:hint="eastAsia"/>
        </w:rPr>
        <w:t>基本情况</w:t>
      </w:r>
      <w:bookmarkEnd w:id="2"/>
      <w:bookmarkEnd w:id="3"/>
      <w:bookmarkEnd w:id="4"/>
      <w:bookmarkEnd w:id="5"/>
    </w:p>
    <w:p>
      <w:pPr>
        <w:pStyle w:val="4"/>
        <w:keepNext/>
        <w:keepLines/>
        <w:widowControl w:val="0"/>
        <w:numPr>
          <w:numId w:val="0"/>
        </w:numPr>
        <w:wordWrap/>
        <w:adjustRightInd/>
        <w:snapToGrid/>
        <w:spacing w:before="0" w:after="0"/>
        <w:ind w:firstLine="643" w:firstLineChars="200"/>
        <w:jc w:val="both"/>
        <w:textAlignment w:val="auto"/>
      </w:pPr>
      <w:bookmarkStart w:id="6" w:name="_Toc18868"/>
      <w:bookmarkStart w:id="7" w:name="_Toc23231"/>
      <w:bookmarkStart w:id="8" w:name="_Toc24636"/>
      <w:bookmarkStart w:id="9" w:name="_Toc819"/>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pPr>
        <w:widowControl w:val="0"/>
        <w:wordWrap/>
        <w:adjustRightInd/>
        <w:snapToGrid/>
        <w:ind w:firstLine="560" w:firstLineChars="200"/>
        <w:jc w:val="both"/>
        <w:textAlignment w:val="auto"/>
        <w:outlineLvl w:val="9"/>
        <w:rPr>
          <w:rFonts w:hint="eastAsia"/>
        </w:rPr>
      </w:pPr>
      <w:bookmarkStart w:id="10" w:name="_Toc25335"/>
      <w:bookmarkStart w:id="11" w:name="_Toc20782"/>
      <w:bookmarkStart w:id="12" w:name="_Toc7151"/>
      <w:r>
        <w:rPr>
          <w:rFonts w:hint="default"/>
          <w:lang w:val="en-US" w:eastAsia="zh-CN"/>
        </w:rPr>
        <w:t>平凉市中级人民法院是国家审判机关，依法独立行使审判权，对市人民代表大会及其常务委员会负责并报告工作</w:t>
      </w:r>
      <w:r>
        <w:rPr>
          <w:rFonts w:hint="eastAsia"/>
        </w:rPr>
        <w:t>。</w:t>
      </w:r>
    </w:p>
    <w:p>
      <w:pPr>
        <w:widowControl w:val="0"/>
        <w:wordWrap/>
        <w:adjustRightInd/>
        <w:snapToGrid/>
        <w:ind w:firstLine="560" w:firstLineChars="200"/>
        <w:jc w:val="both"/>
        <w:textAlignment w:val="auto"/>
        <w:outlineLvl w:val="9"/>
        <w:rPr>
          <w:rFonts w:hint="eastAsia"/>
        </w:rPr>
      </w:pPr>
      <w:r>
        <w:rPr>
          <w:rFonts w:hint="default"/>
          <w:lang w:val="en-US" w:eastAsia="zh-CN"/>
        </w:rPr>
        <w:t>审判法律规定由中级法院管辖审判的刑事、民商事、行政等一审、二审案件。受理不服本地区基层人民法院判决、裁定的各类申诉、再审及上级法院指令由本院再审的案件及抗诉案件</w:t>
      </w:r>
    </w:p>
    <w:p>
      <w:pPr>
        <w:pStyle w:val="4"/>
        <w:keepNext/>
        <w:keepLines/>
        <w:widowControl w:val="0"/>
        <w:numPr>
          <w:numId w:val="0"/>
        </w:numPr>
        <w:wordWrap/>
        <w:adjustRightInd/>
        <w:snapToGrid/>
        <w:spacing w:before="0" w:after="0"/>
        <w:ind w:firstLine="643" w:firstLineChars="200"/>
        <w:jc w:val="both"/>
        <w:textAlignment w:val="auto"/>
        <w:rPr>
          <w:rFonts w:hint="eastAsia"/>
          <w:lang w:eastAsia="zh-CN"/>
        </w:rPr>
      </w:pPr>
      <w:bookmarkStart w:id="13" w:name="bookmark3"/>
      <w:bookmarkEnd w:id="13"/>
      <w:bookmarkStart w:id="14" w:name="_Toc13357"/>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4"/>
    </w:p>
    <w:p>
      <w:pPr>
        <w:widowControl w:val="0"/>
        <w:wordWrap/>
        <w:adjustRightInd/>
        <w:snapToGrid/>
        <w:ind w:firstLine="560" w:firstLineChars="200"/>
        <w:jc w:val="both"/>
        <w:textAlignment w:val="auto"/>
        <w:outlineLvl w:val="9"/>
        <w:rPr>
          <w:rFonts w:hint="eastAsia"/>
          <w:lang w:val="en-US" w:eastAsia="zh-CN"/>
        </w:rPr>
      </w:pPr>
      <w:bookmarkStart w:id="15" w:name="_Toc18193"/>
      <w:bookmarkStart w:id="16" w:name="_Toc4574"/>
      <w:bookmarkStart w:id="17" w:name="_Toc13794"/>
      <w:r>
        <w:rPr>
          <w:rFonts w:hint="default"/>
          <w:lang w:val="en-US" w:eastAsia="zh-CN"/>
        </w:rPr>
        <w:t>院机关内设机构19个，包括：办公室，政治部、研究室、监察室、审判管理办公室、司法行政装备处、刑事审判第一庭、刑事审判第二庭、民事审判第一庭、民事审判第二庭、民事审判第三庭、行政审判庭、赔偿委员会办公室、立案庭、信访督查室、审判监督庭、执行局、法警队、法医技术室。另外，还有市纪委派驻市法院纪检组</w:t>
      </w:r>
      <w:r>
        <w:rPr>
          <w:rFonts w:hint="eastAsia"/>
          <w:lang w:val="en-US" w:eastAsia="zh-CN"/>
        </w:rPr>
        <w:t>。</w:t>
      </w:r>
    </w:p>
    <w:p>
      <w:pPr>
        <w:pStyle w:val="3"/>
        <w:keepNext/>
        <w:keepLines/>
        <w:widowControl w:val="0"/>
        <w:numPr>
          <w:numId w:val="0"/>
        </w:numPr>
        <w:wordWrap/>
        <w:adjustRightInd/>
        <w:snapToGrid/>
        <w:spacing w:before="0" w:after="0" w:line="360" w:lineRule="auto"/>
        <w:ind w:leftChars="0" w:firstLine="643" w:firstLineChars="200"/>
        <w:jc w:val="both"/>
        <w:textAlignment w:val="auto"/>
        <w:rPr>
          <w:rFonts w:hint="eastAsia"/>
          <w:lang w:val="en-US" w:eastAsia="zh-CN"/>
        </w:rPr>
      </w:pPr>
      <w:bookmarkStart w:id="18" w:name="_Toc11717"/>
      <w:r>
        <w:rPr>
          <w:rFonts w:hint="eastAsia"/>
          <w:lang w:val="en-US" w:eastAsia="zh-CN"/>
        </w:rPr>
        <w:t>二、绩效自评工作组织开展情况</w:t>
      </w:r>
      <w:bookmarkEnd w:id="15"/>
      <w:bookmarkEnd w:id="16"/>
      <w:bookmarkEnd w:id="17"/>
      <w:bookmarkEnd w:id="18"/>
    </w:p>
    <w:p>
      <w:pPr>
        <w:pStyle w:val="4"/>
        <w:keepNext/>
        <w:keepLines/>
        <w:widowControl w:val="0"/>
        <w:numPr>
          <w:numId w:val="0"/>
        </w:numPr>
        <w:wordWrap/>
        <w:adjustRightInd/>
        <w:snapToGrid/>
        <w:spacing w:before="0" w:after="0"/>
        <w:ind w:firstLine="643" w:firstLineChars="200"/>
        <w:jc w:val="both"/>
        <w:textAlignment w:val="auto"/>
        <w:rPr>
          <w:rFonts w:hint="eastAsia"/>
          <w:lang w:eastAsia="zh-CN"/>
        </w:rPr>
      </w:pPr>
      <w:bookmarkStart w:id="19" w:name="_Toc14208"/>
      <w:bookmarkStart w:id="20" w:name="_Toc31965"/>
      <w:bookmarkStart w:id="21" w:name="_Toc11147"/>
      <w:bookmarkStart w:id="22" w:name="_Toc4177"/>
      <w:r>
        <w:rPr>
          <w:rFonts w:hint="eastAsia"/>
          <w:lang w:eastAsia="zh-CN"/>
        </w:rPr>
        <w:t>（</w:t>
      </w:r>
      <w:r>
        <w:rPr>
          <w:rFonts w:hint="eastAsia"/>
          <w:lang w:val="en-US" w:eastAsia="zh-CN"/>
        </w:rPr>
        <w:t>一</w:t>
      </w:r>
      <w:r>
        <w:rPr>
          <w:rFonts w:hint="eastAsia"/>
          <w:lang w:eastAsia="zh-CN"/>
        </w:rPr>
        <w:t>）自评工作组织管理情况</w:t>
      </w:r>
      <w:bookmarkEnd w:id="19"/>
    </w:p>
    <w:p>
      <w:pPr>
        <w:widowControl w:val="0"/>
        <w:wordWrap/>
        <w:adjustRightInd/>
        <w:snapToGrid/>
        <w:ind w:firstLine="560" w:firstLineChars="200"/>
        <w:jc w:val="both"/>
        <w:textAlignment w:val="auto"/>
        <w:outlineLvl w:val="9"/>
      </w:pPr>
      <w:r>
        <w:rPr>
          <w:rFonts w:hint="eastAsia"/>
          <w:lang w:val="en-US" w:eastAsia="zh-CN"/>
        </w:rPr>
        <w:t>我院十分重视此次绩效评价工作，要求财务部门严格按照省上有关文件精神，科学分析，精准评价，确保绩效评价客观公正。工作启动后，严格按照《</w:t>
      </w:r>
      <w:r>
        <w:rPr>
          <w:rFonts w:hint="default"/>
          <w:lang w:val="en-US" w:eastAsia="zh-CN"/>
        </w:rPr>
        <w:t>关于全面实施预算绩效管理的意见》（中发〔2018〕34号）</w:t>
      </w:r>
      <w:r>
        <w:rPr>
          <w:rFonts w:hint="eastAsia"/>
          <w:lang w:val="en-US" w:eastAsia="zh-CN"/>
        </w:rPr>
        <w:t>、中共甘肃省委甘肃省人民政府《关于全面实施预算绩效管理的实施意见》（甘发〔</w:t>
      </w:r>
      <w:r>
        <w:rPr>
          <w:rFonts w:hint="default"/>
          <w:lang w:val="en-US" w:eastAsia="zh-CN"/>
        </w:rPr>
        <w:t>2018〕32号）</w:t>
      </w:r>
      <w:r>
        <w:rPr>
          <w:rFonts w:hint="eastAsia"/>
          <w:lang w:val="en-US" w:eastAsia="zh-CN"/>
        </w:rPr>
        <w:t>、</w:t>
      </w:r>
      <w:r>
        <w:rPr>
          <w:rFonts w:hint="default"/>
          <w:lang w:val="en-US" w:eastAsia="zh-CN"/>
        </w:rPr>
        <w:t>《甘肃省省级预算绩效管理办法》《甘肃省省级项目支出绩效单位自评工作规程》（甘财绩〔2020〕5号）等文件的要求，联合各相关</w:t>
      </w:r>
      <w:r>
        <w:rPr>
          <w:rFonts w:hint="eastAsia"/>
          <w:lang w:val="en-US" w:eastAsia="zh-CN"/>
        </w:rPr>
        <w:t>业务部门</w:t>
      </w:r>
      <w:r>
        <w:rPr>
          <w:rFonts w:hint="default"/>
          <w:lang w:val="en-US" w:eastAsia="zh-CN"/>
        </w:rPr>
        <w:t>共同完成此次自评</w:t>
      </w:r>
      <w:r>
        <w:rPr>
          <w:rFonts w:hint="eastAsia"/>
          <w:lang w:val="en-US" w:eastAsia="zh-CN"/>
        </w:rPr>
        <w:t>工作。自评工作遵循科学公正、统筹兼顾、激励约束和公开透明的原则，以我院2023年初设定的绩效目标及相关法律法规、政策要求、行业规划、部门职责等为依据，运用定量和定性相结合的评价方法，对我院2023年度省级预算执行情况的经济性、效率性、效益性进行客观公正的分析评价</w:t>
      </w:r>
      <w:r>
        <w:rPr>
          <w:rFonts w:hint="eastAsia"/>
        </w:rPr>
        <w:t>。</w:t>
      </w:r>
    </w:p>
    <w:p>
      <w:pPr>
        <w:pStyle w:val="4"/>
        <w:keepNext/>
        <w:keepLines/>
        <w:widowControl w:val="0"/>
        <w:numPr>
          <w:numId w:val="0"/>
        </w:numPr>
        <w:wordWrap/>
        <w:adjustRightInd/>
        <w:snapToGrid/>
        <w:spacing w:before="0" w:after="0"/>
        <w:ind w:firstLine="643" w:firstLineChars="200"/>
        <w:jc w:val="both"/>
        <w:textAlignment w:val="auto"/>
        <w:rPr>
          <w:rFonts w:hint="eastAsia"/>
          <w:lang w:eastAsia="zh-CN"/>
        </w:rPr>
      </w:pPr>
      <w:bookmarkStart w:id="23" w:name="_Toc28216"/>
      <w:bookmarkStart w:id="24" w:name="_Toc24119"/>
      <w:bookmarkStart w:id="25" w:name="_Toc13356"/>
      <w:bookmarkStart w:id="26" w:name="_Toc29448"/>
      <w:bookmarkStart w:id="27" w:name="_Toc26980"/>
      <w:r>
        <w:rPr>
          <w:rFonts w:hint="eastAsia"/>
          <w:lang w:eastAsia="zh-CN"/>
        </w:rPr>
        <w:t>（</w:t>
      </w:r>
      <w:r>
        <w:rPr>
          <w:rFonts w:hint="eastAsia"/>
          <w:lang w:val="en-US" w:eastAsia="zh-CN"/>
        </w:rPr>
        <w:t>二</w:t>
      </w:r>
      <w:r>
        <w:rPr>
          <w:rFonts w:hint="eastAsia"/>
          <w:lang w:eastAsia="zh-CN"/>
        </w:rPr>
        <w:t>）自评对象和范围</w:t>
      </w:r>
      <w:bookmarkEnd w:id="23"/>
      <w:bookmarkEnd w:id="24"/>
      <w:bookmarkEnd w:id="25"/>
      <w:bookmarkEnd w:id="26"/>
      <w:bookmarkEnd w:id="27"/>
    </w:p>
    <w:p>
      <w:pPr>
        <w:widowControl w:val="0"/>
        <w:wordWrap/>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pPr>
        <w:pStyle w:val="4"/>
        <w:keepNext/>
        <w:keepLines/>
        <w:widowControl w:val="0"/>
        <w:numPr>
          <w:numId w:val="0"/>
        </w:numPr>
        <w:wordWrap/>
        <w:adjustRightInd/>
        <w:snapToGrid/>
        <w:spacing w:before="0" w:after="0"/>
        <w:ind w:firstLine="643" w:firstLineChars="200"/>
        <w:jc w:val="both"/>
        <w:textAlignment w:val="auto"/>
        <w:rPr>
          <w:rFonts w:hint="eastAsia"/>
          <w:lang w:eastAsia="zh-CN"/>
        </w:rPr>
      </w:pPr>
      <w:bookmarkStart w:id="28" w:name="_Toc22785"/>
      <w:bookmarkStart w:id="29" w:name="_Toc26638"/>
      <w:bookmarkStart w:id="30" w:name="_Toc25429"/>
      <w:bookmarkStart w:id="31" w:name="_Toc25203"/>
      <w:bookmarkStart w:id="32" w:name="_Toc18694"/>
      <w:r>
        <w:rPr>
          <w:rFonts w:hint="eastAsia"/>
          <w:lang w:eastAsia="zh-CN"/>
        </w:rPr>
        <w:t>（</w:t>
      </w:r>
      <w:r>
        <w:rPr>
          <w:rFonts w:hint="eastAsia"/>
          <w:lang w:val="en-US" w:eastAsia="zh-CN"/>
        </w:rPr>
        <w:t>三</w:t>
      </w:r>
      <w:r>
        <w:rPr>
          <w:rFonts w:hint="eastAsia"/>
          <w:lang w:eastAsia="zh-CN"/>
        </w:rPr>
        <w:t>）自评工作程序</w:t>
      </w:r>
      <w:bookmarkEnd w:id="28"/>
      <w:bookmarkEnd w:id="29"/>
      <w:bookmarkEnd w:id="30"/>
      <w:bookmarkEnd w:id="31"/>
      <w:bookmarkEnd w:id="32"/>
    </w:p>
    <w:p>
      <w:pPr>
        <w:widowControl w:val="0"/>
        <w:wordWrap/>
        <w:adjustRightInd/>
        <w:snapToGrid/>
        <w:ind w:firstLine="560" w:firstLineChars="200"/>
        <w:jc w:val="both"/>
        <w:textAlignment w:val="auto"/>
      </w:pPr>
      <w:r>
        <w:rPr>
          <w:rFonts w:hint="eastAsia"/>
        </w:rPr>
        <w:t>本次绩效自评工作主要包括以下工作程序：</w:t>
      </w:r>
    </w:p>
    <w:p>
      <w:pPr>
        <w:widowControl w:val="0"/>
        <w:numPr>
          <w:numId w:val="0"/>
        </w:numPr>
        <w:wordWrap/>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widowControl w:val="0"/>
        <w:numPr>
          <w:numId w:val="0"/>
        </w:numPr>
        <w:wordWrap/>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pPr>
        <w:widowControl w:val="0"/>
        <w:wordWrap/>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pPr>
        <w:widowControl w:val="0"/>
        <w:wordWrap/>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pPr>
        <w:pStyle w:val="3"/>
        <w:keepNext/>
        <w:keepLines/>
        <w:widowControl w:val="0"/>
        <w:wordWrap/>
        <w:adjustRightInd/>
        <w:snapToGrid/>
        <w:spacing w:before="0" w:after="0"/>
        <w:textAlignment w:val="auto"/>
      </w:pPr>
      <w:bookmarkStart w:id="33" w:name="_Toc26000"/>
      <w:bookmarkStart w:id="34" w:name="_Toc31556"/>
      <w:bookmarkStart w:id="35" w:name="_Toc17042"/>
      <w:bookmarkStart w:id="36" w:name="_Toc13189"/>
      <w:r>
        <w:rPr>
          <w:rFonts w:hint="eastAsia"/>
        </w:rPr>
        <w:t>三、部门整体支出绩效自评情况分析</w:t>
      </w:r>
      <w:bookmarkEnd w:id="33"/>
      <w:bookmarkEnd w:id="34"/>
      <w:bookmarkEnd w:id="35"/>
      <w:bookmarkEnd w:id="36"/>
      <w:r>
        <w:tab/>
      </w:r>
    </w:p>
    <w:p>
      <w:pPr>
        <w:pStyle w:val="4"/>
        <w:keepNext/>
        <w:keepLines/>
        <w:widowControl w:val="0"/>
        <w:wordWrap/>
        <w:adjustRightInd/>
        <w:snapToGrid/>
        <w:spacing w:before="0" w:after="0"/>
        <w:ind w:firstLine="643"/>
        <w:textAlignment w:val="auto"/>
        <w:rPr>
          <w:rFonts w:hint="eastAsia"/>
          <w:lang w:eastAsia="zh-CN"/>
        </w:rPr>
      </w:pPr>
      <w:bookmarkStart w:id="37" w:name="_Toc8171"/>
      <w:bookmarkStart w:id="38" w:name="_Toc3483"/>
      <w:bookmarkStart w:id="39" w:name="_Toc32623"/>
      <w:bookmarkStart w:id="40" w:name="_Toc11612"/>
      <w:r>
        <w:rPr>
          <w:rFonts w:hint="eastAsia"/>
        </w:rPr>
        <w:t>（一）部门决算情况</w:t>
      </w:r>
      <w:bookmarkEnd w:id="37"/>
      <w:bookmarkEnd w:id="38"/>
      <w:bookmarkEnd w:id="39"/>
      <w:bookmarkEnd w:id="40"/>
    </w:p>
    <w:p>
      <w:pPr>
        <w:widowControl w:val="0"/>
        <w:wordWrap/>
        <w:adjustRightInd/>
        <w:snapToGrid/>
        <w:ind w:firstLine="560"/>
        <w:textAlignment w:val="auto"/>
        <w:rPr>
          <w:rFonts w:hint="default"/>
          <w:lang w:val="en-US" w:eastAsia="zh-CN"/>
        </w:rPr>
      </w:pPr>
      <w:r>
        <w:rPr>
          <w:rFonts w:hint="eastAsia"/>
          <w:lang w:val="en-US" w:eastAsia="zh-CN"/>
        </w:rPr>
        <w:t>2023年度平凉市中级人民法院年初预算3074.84万元</w:t>
      </w:r>
      <w:r>
        <w:rPr>
          <w:rFonts w:hint="eastAsia"/>
          <w:lang w:eastAsia="zh-CN"/>
        </w:rPr>
        <w:t>，</w:t>
      </w:r>
      <w:r>
        <w:rPr>
          <w:rFonts w:hint="eastAsia"/>
        </w:rPr>
        <w:t>全年预算</w:t>
      </w:r>
      <w:r>
        <w:rPr>
          <w:rFonts w:hint="eastAsia"/>
          <w:lang w:eastAsia="zh-CN"/>
        </w:rPr>
        <w:t>数</w:t>
      </w:r>
      <w:r>
        <w:rPr>
          <w:rFonts w:hint="eastAsia"/>
          <w:lang w:val="en-US" w:eastAsia="zh-CN"/>
        </w:rPr>
        <w:t>4236.20万元，实际支出数4236.20万元，</w:t>
      </w:r>
      <w:r>
        <w:rPr>
          <w:rFonts w:hint="eastAsia"/>
        </w:rPr>
        <w:t>部门整体支出预算执行率为</w:t>
      </w:r>
      <w:r>
        <w:rPr>
          <w:rFonts w:hint="eastAsia"/>
          <w:lang w:val="en-US" w:eastAsia="zh-CN"/>
        </w:rPr>
        <w:t>100.00%。</w:t>
      </w:r>
    </w:p>
    <w:p>
      <w:pPr>
        <w:pStyle w:val="4"/>
        <w:keepNext/>
        <w:keepLines/>
        <w:widowControl w:val="0"/>
        <w:wordWrap/>
        <w:adjustRightInd/>
        <w:snapToGrid/>
        <w:spacing w:before="0" w:after="0"/>
        <w:ind w:firstLine="643"/>
        <w:textAlignment w:val="auto"/>
        <w:rPr>
          <w:rFonts w:hint="eastAsia"/>
        </w:rPr>
      </w:pPr>
      <w:bookmarkStart w:id="41" w:name="_Toc22782"/>
      <w:bookmarkStart w:id="42" w:name="_Toc21423"/>
      <w:bookmarkStart w:id="43" w:name="_Toc10769"/>
      <w:bookmarkStart w:id="44" w:name="_Toc9618"/>
      <w:r>
        <w:rPr>
          <w:rFonts w:hint="eastAsia"/>
        </w:rPr>
        <w:t>（二）总体绩效目标完成情况分析</w:t>
      </w:r>
      <w:bookmarkEnd w:id="41"/>
      <w:bookmarkEnd w:id="42"/>
      <w:bookmarkEnd w:id="43"/>
      <w:bookmarkEnd w:id="44"/>
    </w:p>
    <w:p>
      <w:pPr>
        <w:widowControl w:val="0"/>
        <w:wordWrap/>
        <w:adjustRightInd/>
        <w:snapToGrid/>
        <w:ind w:firstLine="560"/>
        <w:textAlignment w:val="auto"/>
        <w:rPr>
          <w:rFonts w:hint="eastAsia"/>
          <w:lang w:val="en-US" w:eastAsia="zh-CN"/>
        </w:rPr>
      </w:pPr>
      <w:r>
        <w:rPr>
          <w:rFonts w:hint="eastAsia"/>
          <w:lang w:val="en-US" w:eastAsia="zh-CN"/>
        </w:rPr>
        <w:t>经综合评价与分析，平凉市中级人民法院2023年度部门整体支出绩效评价最终得分为95.43分，评价结果为“优秀”。最终评分结果如下表所示：</w:t>
      </w:r>
    </w:p>
    <w:p>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7"/>
        <w:tblW w:w="9039"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rPr>
              <w:t>一级指标</w:t>
            </w:r>
          </w:p>
        </w:tc>
        <w:tc>
          <w:tcPr>
            <w:tcW w:w="167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rPr>
              <w:t>分值</w:t>
            </w:r>
          </w:p>
        </w:tc>
        <w:tc>
          <w:tcPr>
            <w:tcW w:w="156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rPr>
              <w:t>自评得分</w:t>
            </w:r>
          </w:p>
        </w:tc>
        <w:tc>
          <w:tcPr>
            <w:tcW w:w="226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rPr>
              <w:t>预算执行率</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rPr>
              <w:t>10</w:t>
            </w:r>
          </w:p>
        </w:tc>
        <w:tc>
          <w:tcPr>
            <w:tcW w:w="1560" w:type="dxa"/>
            <w:vAlign w:val="center"/>
          </w:tcPr>
          <w:p>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10</w:t>
            </w:r>
          </w:p>
        </w:tc>
        <w:tc>
          <w:tcPr>
            <w:tcW w:w="2268" w:type="dxa"/>
            <w:vAlign w:val="center"/>
          </w:tcPr>
          <w:p>
            <w:pPr>
              <w:widowControl/>
              <w:ind w:left="0" w:leftChars="0"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rPr>
              <w:t>部门管理</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rPr>
              <w:t>20</w:t>
            </w:r>
          </w:p>
        </w:tc>
        <w:tc>
          <w:tcPr>
            <w:tcW w:w="1560" w:type="dxa"/>
            <w:vAlign w:val="center"/>
          </w:tcPr>
          <w:p>
            <w:pPr>
              <w:widowControl/>
              <w:ind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color w:val="000000"/>
                <w:kern w:val="0"/>
                <w:sz w:val="22"/>
                <w:lang w:val="en-US" w:eastAsia="zh-CN"/>
              </w:rPr>
              <w:t>19.27</w:t>
            </w:r>
          </w:p>
        </w:tc>
        <w:tc>
          <w:tcPr>
            <w:tcW w:w="2268" w:type="dxa"/>
            <w:vAlign w:val="center"/>
          </w:tcPr>
          <w:p>
            <w:pPr>
              <w:widowControl/>
              <w:ind w:left="0" w:leftChars="0"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rPr>
              <w:t>96.35%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rPr>
              <w:t>履职效果</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rPr>
              <w:t>60</w:t>
            </w:r>
          </w:p>
        </w:tc>
        <w:tc>
          <w:tcPr>
            <w:tcW w:w="1560" w:type="dxa"/>
            <w:vAlign w:val="center"/>
          </w:tcPr>
          <w:p>
            <w:pPr>
              <w:widowControl/>
              <w:ind w:left="0" w:leftChars="0" w:firstLine="0" w:firstLineChars="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56.16</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val="en-US" w:eastAsia="zh-CN"/>
              </w:rPr>
              <w:t>93.60</w:t>
            </w:r>
            <w:r>
              <w:rPr>
                <w:rFonts w:hint="eastAsia" w:ascii="宋体" w:hAnsi="宋体" w:eastAsia="宋体" w:cs="宋体"/>
                <w:color w:val="000000"/>
                <w:kern w:val="0"/>
                <w:sz w:val="22"/>
                <w:lang/>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lang/>
              </w:rPr>
              <w:t>能力建设</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rPr>
              <w:t>10</w:t>
            </w:r>
          </w:p>
        </w:tc>
        <w:tc>
          <w:tcPr>
            <w:tcW w:w="1560"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rPr>
              <w:t>10</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lang/>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rPr>
              <w:t>合计</w:t>
            </w:r>
          </w:p>
        </w:tc>
        <w:tc>
          <w:tcPr>
            <w:tcW w:w="167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lang/>
              </w:rPr>
              <w:t>100</w:t>
            </w:r>
          </w:p>
        </w:tc>
        <w:tc>
          <w:tcPr>
            <w:tcW w:w="1560" w:type="dxa"/>
            <w:shd w:val="clear" w:color="auto" w:fill="BDD6EE"/>
            <w:vAlign w:val="center"/>
          </w:tcPr>
          <w:p>
            <w:pPr>
              <w:widowControl/>
              <w:ind w:firstLine="0" w:firstLineChars="0"/>
              <w:jc w:val="center"/>
              <w:textAlignment w:val="center"/>
              <w:rPr>
                <w:rFonts w:hint="default" w:ascii="宋体" w:hAnsi="宋体" w:eastAsia="宋体" w:cs="宋体"/>
                <w:b/>
                <w:bCs/>
                <w:color w:val="000000"/>
                <w:kern w:val="0"/>
                <w:sz w:val="22"/>
                <w:lang w:val="en-US"/>
              </w:rPr>
            </w:pPr>
            <w:r>
              <w:rPr>
                <w:rFonts w:hint="eastAsia" w:ascii="宋体" w:hAnsi="宋体" w:eastAsia="宋体" w:cs="宋体"/>
                <w:b/>
                <w:bCs/>
                <w:color w:val="000000"/>
                <w:kern w:val="0"/>
                <w:sz w:val="22"/>
                <w:lang w:val="en-US" w:eastAsia="zh-CN"/>
              </w:rPr>
              <w:t>95.43</w:t>
            </w:r>
          </w:p>
        </w:tc>
        <w:tc>
          <w:tcPr>
            <w:tcW w:w="2268" w:type="dxa"/>
            <w:shd w:val="clear" w:color="auto" w:fill="BDD6EE"/>
            <w:vAlign w:val="center"/>
          </w:tcPr>
          <w:p>
            <w:pPr>
              <w:widowControl/>
              <w:ind w:firstLine="0" w:firstLineChars="0"/>
              <w:jc w:val="center"/>
              <w:textAlignment w:val="center"/>
              <w:rPr>
                <w:rFonts w:hint="eastAsia" w:ascii="宋体" w:hAnsi="宋体" w:eastAsia="宋体" w:cs="宋体"/>
                <w:b/>
                <w:bCs/>
                <w:color w:val="000000"/>
                <w:kern w:val="0"/>
                <w:sz w:val="22"/>
                <w:lang/>
              </w:rPr>
            </w:pPr>
            <w:r>
              <w:rPr>
                <w:rFonts w:hint="eastAsia" w:ascii="宋体" w:hAnsi="宋体" w:eastAsia="宋体" w:cs="宋体"/>
                <w:b/>
                <w:bCs/>
                <w:color w:val="000000"/>
                <w:kern w:val="0"/>
                <w:sz w:val="22"/>
                <w:lang w:val="en-US" w:eastAsia="zh-CN"/>
              </w:rPr>
              <w:t>95.43</w:t>
            </w:r>
            <w:r>
              <w:rPr>
                <w:rFonts w:hint="eastAsia" w:ascii="宋体" w:hAnsi="宋体" w:eastAsia="宋体" w:cs="宋体"/>
                <w:b/>
                <w:bCs/>
                <w:color w:val="000000"/>
                <w:kern w:val="0"/>
                <w:sz w:val="22"/>
                <w:lang/>
              </w:rPr>
              <w:t>%</w:t>
            </w:r>
          </w:p>
        </w:tc>
      </w:tr>
    </w:tbl>
    <w:p>
      <w:pPr>
        <w:wordWrap/>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pPr>
        <w:widowControl/>
        <w:numPr>
          <w:numId w:val="0"/>
        </w:numPr>
        <w:wordWrap/>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pPr>
        <w:widowControl/>
        <w:numPr>
          <w:numId w:val="0"/>
        </w:numPr>
        <w:wordWrap/>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）提高审判办案质效，使案件法定审限内结案率达到</w:t>
      </w:r>
      <w:r>
        <w:rPr>
          <w:rFonts w:hint="eastAsia"/>
          <w:b w:val="0"/>
          <w:bCs w:val="0"/>
          <w:lang w:val="en-US" w:eastAsia="zh-CN"/>
        </w:rPr>
        <w:t>90</w:t>
      </w:r>
      <w:r>
        <w:rPr>
          <w:rFonts w:hint="eastAsia"/>
          <w:b w:val="0"/>
          <w:bCs w:val="0"/>
          <w:lang w:eastAsia="zh-CN"/>
        </w:rPr>
        <w:t>%以上。</w:t>
      </w:r>
    </w:p>
    <w:p>
      <w:pPr>
        <w:pStyle w:val="30"/>
        <w:widowControl w:val="0"/>
        <w:numPr>
          <w:numId w:val="0"/>
        </w:numPr>
        <w:wordWrap/>
        <w:adjustRightInd/>
        <w:snapToGrid/>
        <w:ind w:firstLine="560" w:firstLineChars="200"/>
        <w:jc w:val="both"/>
        <w:textAlignment w:val="auto"/>
        <w:outlineLvl w:val="9"/>
        <w:rPr>
          <w:rFonts w:hint="eastAsia" w:ascii="仿宋_GB2312" w:hAnsi="仿宋_GB2312" w:eastAsia="仿宋_GB2312" w:cs="黑体"/>
          <w:b w:val="0"/>
          <w:bCs w:val="0"/>
          <w:kern w:val="2"/>
          <w:sz w:val="28"/>
          <w:szCs w:val="22"/>
          <w:lang w:val="en-US" w:eastAsia="zh-CN" w:bidi="ar-SA"/>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pPr>
        <w:wordWrap/>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pPr>
        <w:widowControl w:val="0"/>
        <w:wordWrap/>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r>
        <w:rPr>
          <w:rFonts w:hint="eastAsia"/>
          <w:lang w:val="en-US" w:eastAsia="zh-CN"/>
        </w:rPr>
        <w:t>法定审限内结案率达到100.00%。</w:t>
      </w:r>
    </w:p>
    <w:p>
      <w:pPr>
        <w:pStyle w:val="30"/>
        <w:widowControl w:val="0"/>
        <w:wordWrap/>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pPr>
        <w:pStyle w:val="4"/>
        <w:keepNext/>
        <w:keepLines/>
        <w:widowControl w:val="0"/>
        <w:wordWrap/>
        <w:adjustRightInd/>
        <w:snapToGrid/>
        <w:spacing w:before="0" w:after="0"/>
        <w:ind w:firstLine="643"/>
        <w:textAlignment w:val="auto"/>
        <w:rPr>
          <w:rFonts w:hint="eastAsia"/>
        </w:rPr>
      </w:pPr>
      <w:bookmarkStart w:id="45" w:name="_Toc17819"/>
      <w:bookmarkStart w:id="46" w:name="_Toc18553"/>
      <w:bookmarkStart w:id="47" w:name="_Toc7799"/>
      <w:bookmarkStart w:id="48" w:name="_Toc23660"/>
      <w:r>
        <w:rPr>
          <w:rFonts w:hint="eastAsia"/>
        </w:rPr>
        <w:t>（三）各项指标完成情况分析</w:t>
      </w:r>
      <w:bookmarkEnd w:id="45"/>
      <w:bookmarkEnd w:id="46"/>
      <w:bookmarkEnd w:id="47"/>
      <w:bookmarkEnd w:id="48"/>
    </w:p>
    <w:p>
      <w:pPr>
        <w:pStyle w:val="5"/>
        <w:keepNext/>
        <w:keepLines/>
        <w:widowControl w:val="0"/>
        <w:wordWrap/>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pPr>
        <w:rPr>
          <w:rFonts w:hint="eastAsia"/>
        </w:rPr>
      </w:pPr>
      <w:r>
        <w:rPr>
          <w:rFonts w:hint="eastAsia"/>
          <w:lang w:eastAsia="zh-CN"/>
        </w:rPr>
        <w:t>根据《平凉市中级人民法院</w:t>
      </w:r>
      <w:r>
        <w:rPr>
          <w:rFonts w:hint="eastAsia"/>
          <w:lang w:val="en-US" w:eastAsia="zh-CN"/>
        </w:rPr>
        <w:t>2023年度决算报表</w:t>
      </w:r>
      <w:r>
        <w:rPr>
          <w:rFonts w:hint="eastAsia"/>
          <w:lang w:eastAsia="zh-CN"/>
        </w:rPr>
        <w:t>》及相关资料，</w:t>
      </w:r>
      <w:r>
        <w:rPr>
          <w:rFonts w:hint="eastAsia"/>
        </w:rPr>
        <w:t>我院</w:t>
      </w:r>
      <w:r>
        <w:rPr>
          <w:rFonts w:hint="eastAsia"/>
          <w:lang w:eastAsia="zh-CN"/>
        </w:rPr>
        <w:t>2023年</w:t>
      </w:r>
      <w:r>
        <w:rPr>
          <w:rFonts w:hint="eastAsia"/>
          <w:lang w:val="en-US" w:eastAsia="zh-CN"/>
        </w:rPr>
        <w:t>年初预算3074.84万元</w:t>
      </w:r>
      <w:r>
        <w:rPr>
          <w:rFonts w:hint="eastAsia"/>
          <w:lang w:eastAsia="zh-CN"/>
        </w:rPr>
        <w:t>，</w:t>
      </w:r>
      <w:r>
        <w:rPr>
          <w:rFonts w:hint="eastAsia"/>
        </w:rPr>
        <w:t>全年预算</w:t>
      </w:r>
      <w:r>
        <w:rPr>
          <w:rFonts w:hint="eastAsia"/>
          <w:lang w:eastAsia="zh-CN"/>
        </w:rPr>
        <w:t>数</w:t>
      </w:r>
      <w:r>
        <w:rPr>
          <w:rFonts w:hint="eastAsia"/>
          <w:lang w:val="en-US" w:eastAsia="zh-CN"/>
        </w:rPr>
        <w:t>4236.20万元，实际支出数4236.20万元，</w:t>
      </w:r>
      <w:r>
        <w:rPr>
          <w:rFonts w:hint="eastAsia"/>
        </w:rPr>
        <w:t>部门整体支出预算执行率为</w:t>
      </w:r>
      <w:r>
        <w:rPr>
          <w:rFonts w:hint="eastAsia"/>
          <w:lang w:val="en-US" w:eastAsia="zh-CN"/>
        </w:rPr>
        <w:t>100.00%。</w:t>
      </w:r>
      <w:r>
        <w:rPr>
          <w:rFonts w:hint="eastAsia"/>
        </w:rPr>
        <w:t>该指标分值10分，自评得分为</w:t>
      </w:r>
      <w:r>
        <w:rPr>
          <w:rFonts w:hint="eastAsia"/>
          <w:lang w:val="en-US" w:eastAsia="zh-CN"/>
        </w:rPr>
        <w:t>10</w:t>
      </w:r>
      <w:r>
        <w:rPr>
          <w:rFonts w:hint="eastAsia"/>
        </w:rPr>
        <w:t>分，得分率为</w:t>
      </w:r>
      <w:r>
        <w:rPr>
          <w:rFonts w:hint="eastAsia"/>
          <w:lang w:val="en-US" w:eastAsia="zh-CN"/>
        </w:rPr>
        <w:t>100.00%</w:t>
      </w:r>
      <w:r>
        <w:rPr>
          <w:rFonts w:hint="eastAsia"/>
        </w:rPr>
        <w:t>。</w:t>
      </w:r>
    </w:p>
    <w:p>
      <w:pPr>
        <w:pStyle w:val="5"/>
        <w:keepNext/>
        <w:keepLines/>
        <w:widowControl w:val="0"/>
        <w:wordWrap/>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19.27</w:t>
      </w:r>
      <w:r>
        <w:rPr>
          <w:rFonts w:hint="eastAsia"/>
          <w:highlight w:val="none"/>
        </w:rPr>
        <w:t>分，得分率</w:t>
      </w:r>
      <w:r>
        <w:rPr>
          <w:rFonts w:hint="eastAsia"/>
          <w:highlight w:val="none"/>
          <w:lang w:val="en-US" w:eastAsia="zh-CN"/>
        </w:rPr>
        <w:t>96.35%</w:t>
      </w:r>
      <w:r>
        <w:rPr>
          <w:rFonts w:hint="eastAsia"/>
          <w:highlight w:val="none"/>
        </w:rPr>
        <w:t>。</w:t>
      </w:r>
      <w:r>
        <w:rPr>
          <w:rFonts w:hint="eastAsia"/>
          <w:lang w:val="en-US" w:eastAsia="zh-CN"/>
        </w:rPr>
        <w:t>具体如下表：</w:t>
      </w:r>
    </w:p>
    <w:tbl>
      <w:tblPr>
        <w:tblStyle w:val="27"/>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708"/>
        <w:gridCol w:w="2655"/>
        <w:gridCol w:w="1245"/>
        <w:gridCol w:w="1065"/>
        <w:gridCol w:w="525"/>
        <w:gridCol w:w="800"/>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二级指标</w:t>
            </w:r>
          </w:p>
        </w:tc>
        <w:tc>
          <w:tcPr>
            <w:tcW w:w="2655"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三级指标</w:t>
            </w:r>
          </w:p>
        </w:tc>
        <w:tc>
          <w:tcPr>
            <w:tcW w:w="1245"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年度</w:t>
            </w:r>
          </w:p>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指标值</w:t>
            </w:r>
          </w:p>
        </w:tc>
        <w:tc>
          <w:tcPr>
            <w:tcW w:w="1065"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实际</w:t>
            </w:r>
          </w:p>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完成值</w:t>
            </w:r>
          </w:p>
        </w:tc>
        <w:tc>
          <w:tcPr>
            <w:tcW w:w="525"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分值</w:t>
            </w:r>
          </w:p>
        </w:tc>
        <w:tc>
          <w:tcPr>
            <w:tcW w:w="800"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自评得分</w:t>
            </w:r>
          </w:p>
        </w:tc>
        <w:tc>
          <w:tcPr>
            <w:tcW w:w="1071"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Merge w:val="restart"/>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资金投入</w:t>
            </w: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基本支出预算执行率</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100.00%</w:t>
            </w:r>
          </w:p>
        </w:tc>
        <w:tc>
          <w:tcPr>
            <w:tcW w:w="525" w:type="dxa"/>
            <w:vAlign w:val="center"/>
          </w:tcPr>
          <w:p>
            <w:pPr>
              <w:widowControl/>
              <w:ind w:left="0" w:leftChars="0" w:firstLine="0" w:firstLineChars="0"/>
              <w:jc w:val="left"/>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71"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Merge w:val="continue"/>
            <w:vAlign w:val="center"/>
          </w:tcPr>
          <w:p>
            <w:pPr>
              <w:jc w:val="center"/>
              <w:rPr>
                <w:rFonts w:hint="eastAsia" w:ascii="宋体" w:hAnsi="宋体" w:eastAsia="宋体" w:cs="宋体"/>
                <w:i w:val="0"/>
                <w:iCs w:val="0"/>
                <w:color w:val="000000"/>
                <w:kern w:val="0"/>
                <w:sz w:val="24"/>
                <w:szCs w:val="24"/>
                <w:u w:val="none"/>
                <w:lang w:val="en-US" w:eastAsia="zh-CN"/>
              </w:rPr>
            </w:pP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项目支出预算执行率</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100.00%</w:t>
            </w:r>
          </w:p>
        </w:tc>
        <w:tc>
          <w:tcPr>
            <w:tcW w:w="52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7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Merge w:val="continue"/>
            <w:vAlign w:val="center"/>
          </w:tcPr>
          <w:p>
            <w:pPr>
              <w:jc w:val="center"/>
              <w:rPr>
                <w:rFonts w:hint="eastAsia" w:ascii="宋体" w:hAnsi="宋体" w:eastAsia="宋体" w:cs="宋体"/>
                <w:i w:val="0"/>
                <w:iCs w:val="0"/>
                <w:color w:val="000000"/>
                <w:kern w:val="0"/>
                <w:sz w:val="24"/>
                <w:szCs w:val="24"/>
                <w:u w:val="none"/>
                <w:lang w:val="en-US" w:eastAsia="zh-CN"/>
              </w:rPr>
            </w:pP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“三公经费”控制率</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70.41%</w:t>
            </w:r>
          </w:p>
        </w:tc>
        <w:tc>
          <w:tcPr>
            <w:tcW w:w="52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 xml:space="preserve">1.41 </w:t>
            </w:r>
          </w:p>
        </w:tc>
        <w:tc>
          <w:tcPr>
            <w:tcW w:w="107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70.50%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Merge w:val="continue"/>
            <w:vAlign w:val="center"/>
          </w:tcPr>
          <w:p>
            <w:pPr>
              <w:jc w:val="center"/>
              <w:rPr>
                <w:rFonts w:hint="eastAsia" w:ascii="宋体" w:hAnsi="宋体" w:eastAsia="宋体" w:cs="宋体"/>
                <w:i w:val="0"/>
                <w:iCs w:val="0"/>
                <w:color w:val="000000"/>
                <w:kern w:val="0"/>
                <w:sz w:val="24"/>
                <w:szCs w:val="24"/>
                <w:u w:val="none"/>
                <w:lang w:val="en-US" w:eastAsia="zh-CN"/>
              </w:rPr>
            </w:pP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结转结余变动率</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=0%</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0%</w:t>
            </w:r>
          </w:p>
        </w:tc>
        <w:tc>
          <w:tcPr>
            <w:tcW w:w="52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7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Merge w:val="restart"/>
            <w:vAlign w:val="center"/>
          </w:tcPr>
          <w:p>
            <w:pPr>
              <w:widowControl/>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333333"/>
                <w:kern w:val="0"/>
                <w:sz w:val="22"/>
                <w:szCs w:val="22"/>
                <w:u w:val="none"/>
                <w:lang w:val="en-US" w:eastAsia="zh-CN"/>
              </w:rPr>
              <w:t>财务管理</w:t>
            </w: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财务管理制度健全性</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健全</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健全</w:t>
            </w:r>
          </w:p>
        </w:tc>
        <w:tc>
          <w:tcPr>
            <w:tcW w:w="525"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2</w:t>
            </w:r>
          </w:p>
        </w:tc>
        <w:tc>
          <w:tcPr>
            <w:tcW w:w="1071"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Merge w:val="continue"/>
            <w:vAlign w:val="center"/>
          </w:tcPr>
          <w:p>
            <w:pPr>
              <w:jc w:val="center"/>
              <w:rPr>
                <w:rFonts w:hint="eastAsia" w:ascii="宋体" w:hAnsi="宋体" w:eastAsia="宋体" w:cs="宋体"/>
                <w:color w:val="000000"/>
                <w:kern w:val="0"/>
                <w:sz w:val="24"/>
                <w:szCs w:val="28"/>
                <w:highlight w:val="none"/>
                <w:lang w:val="en-US" w:eastAsia="zh-CN" w:bidi="ar-SA"/>
              </w:rPr>
            </w:pP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资金使用规范性</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规范</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规范</w:t>
            </w:r>
          </w:p>
        </w:tc>
        <w:tc>
          <w:tcPr>
            <w:tcW w:w="52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7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Align w:val="center"/>
          </w:tcPr>
          <w:p>
            <w:pPr>
              <w:widowControl/>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333333"/>
                <w:kern w:val="0"/>
                <w:sz w:val="22"/>
                <w:szCs w:val="22"/>
                <w:u w:val="none"/>
                <w:lang w:val="en-US" w:eastAsia="zh-CN"/>
              </w:rPr>
              <w:t>采购管理</w:t>
            </w: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政府采购规范性</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规范</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规范</w:t>
            </w:r>
          </w:p>
        </w:tc>
        <w:tc>
          <w:tcPr>
            <w:tcW w:w="525"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2</w:t>
            </w:r>
          </w:p>
        </w:tc>
        <w:tc>
          <w:tcPr>
            <w:tcW w:w="1071"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资产管理</w:t>
            </w: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资产管理规范性</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规范</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规范</w:t>
            </w:r>
          </w:p>
        </w:tc>
        <w:tc>
          <w:tcPr>
            <w:tcW w:w="52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7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43" w:hRule="atLeast"/>
          <w:tblHeader/>
          <w:jc w:val="center"/>
        </w:trPr>
        <w:tc>
          <w:tcPr>
            <w:tcW w:w="1708"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人员管理</w:t>
            </w: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在职人员控制率</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92.86%</w:t>
            </w:r>
          </w:p>
        </w:tc>
        <w:tc>
          <w:tcPr>
            <w:tcW w:w="52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 xml:space="preserve">1.86 </w:t>
            </w:r>
          </w:p>
        </w:tc>
        <w:tc>
          <w:tcPr>
            <w:tcW w:w="107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93.00%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重点工作管理</w:t>
            </w:r>
          </w:p>
        </w:tc>
        <w:tc>
          <w:tcPr>
            <w:tcW w:w="265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重点工作管理制度健全性</w:t>
            </w:r>
          </w:p>
        </w:tc>
        <w:tc>
          <w:tcPr>
            <w:tcW w:w="124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健全</w:t>
            </w:r>
          </w:p>
        </w:tc>
        <w:tc>
          <w:tcPr>
            <w:tcW w:w="106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健全</w:t>
            </w:r>
          </w:p>
        </w:tc>
        <w:tc>
          <w:tcPr>
            <w:tcW w:w="52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800"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7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708" w:type="dxa"/>
            <w:shd w:val="clear" w:color="auto" w:fill="BDD6EE"/>
            <w:vAlign w:val="center"/>
          </w:tcPr>
          <w:p>
            <w:pPr>
              <w:widowControl/>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合计</w:t>
            </w:r>
          </w:p>
        </w:tc>
        <w:tc>
          <w:tcPr>
            <w:tcW w:w="265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45" w:type="dxa"/>
            <w:shd w:val="clear" w:color="auto" w:fill="BDD6EE"/>
            <w:vAlign w:val="center"/>
          </w:tcPr>
          <w:p>
            <w:pPr>
              <w:widowControl/>
              <w:wordWrap/>
              <w:adjustRightInd/>
              <w:snapToGrid/>
              <w:ind w:left="0" w:leftChars="0" w:firstLine="0" w:firstLineChars="0"/>
              <w:jc w:val="both"/>
              <w:textAlignment w:val="center"/>
              <w:rPr>
                <w:rFonts w:hint="eastAsia" w:ascii="宋体" w:hAnsi="宋体" w:eastAsia="宋体" w:cs="宋体"/>
                <w:b/>
                <w:color w:val="000000"/>
                <w:kern w:val="0"/>
                <w:sz w:val="22"/>
                <w:szCs w:val="22"/>
                <w:highlight w:val="none"/>
                <w:lang w:val="en-US" w:eastAsia="zh-CN" w:bidi="ar-SA"/>
              </w:rPr>
            </w:pPr>
          </w:p>
        </w:tc>
        <w:tc>
          <w:tcPr>
            <w:tcW w:w="106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525" w:type="dxa"/>
            <w:shd w:val="clear" w:color="auto" w:fill="BDD6EE"/>
            <w:vAlign w:val="center"/>
          </w:tcPr>
          <w:p>
            <w:pPr>
              <w:widowControl/>
              <w:wordWrap/>
              <w:adjustRightInd/>
              <w:snapToGrid/>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00" w:type="dxa"/>
            <w:shd w:val="clear" w:color="auto" w:fill="BDD6EE"/>
            <w:vAlign w:val="center"/>
          </w:tcPr>
          <w:p>
            <w:pPr>
              <w:widowControl/>
              <w:ind w:left="0" w:leftChars="0" w:firstLine="0" w:firstLineChars="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b/>
                <w:color w:val="000000"/>
                <w:kern w:val="0"/>
                <w:sz w:val="22"/>
                <w:szCs w:val="22"/>
                <w:highlight w:val="none"/>
                <w:lang w:val="en-US" w:eastAsia="zh-CN" w:bidi="ar-SA"/>
              </w:rPr>
              <w:t>19.27</w:t>
            </w:r>
          </w:p>
        </w:tc>
        <w:tc>
          <w:tcPr>
            <w:tcW w:w="1071" w:type="dxa"/>
            <w:shd w:val="clear" w:color="auto" w:fill="BDD6EE"/>
            <w:vAlign w:val="center"/>
          </w:tcPr>
          <w:p>
            <w:pPr>
              <w:widowControl/>
              <w:wordWrap/>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96.35%</w:t>
            </w:r>
          </w:p>
        </w:tc>
      </w:tr>
    </w:tbl>
    <w:p>
      <w:pPr>
        <w:widowControl w:val="0"/>
        <w:wordWrap/>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数和</w:t>
      </w:r>
      <w:r>
        <w:rPr>
          <w:rFonts w:hint="eastAsia" w:hAnsi="宋体"/>
          <w:szCs w:val="28"/>
          <w:highlight w:val="none"/>
        </w:rPr>
        <w:t>实际支出数</w:t>
      </w:r>
      <w:r>
        <w:rPr>
          <w:rFonts w:hint="eastAsia" w:hAnsi="宋体"/>
          <w:szCs w:val="28"/>
          <w:highlight w:val="none"/>
          <w:lang w:val="en-US" w:eastAsia="zh-CN"/>
        </w:rPr>
        <w:t>均为2678.2</w:t>
      </w:r>
      <w:r>
        <w:rPr>
          <w:rFonts w:hint="eastAsia" w:hAnsi="宋体"/>
          <w:szCs w:val="28"/>
          <w:highlight w:val="none"/>
        </w:rPr>
        <w:t>万元，基本支出预算执行率为</w:t>
      </w:r>
      <w:r>
        <w:rPr>
          <w:rFonts w:hint="eastAsia" w:hAnsi="宋体"/>
          <w:szCs w:val="28"/>
          <w:highlight w:val="none"/>
          <w:lang w:val="en-US" w:eastAsia="zh-CN"/>
        </w:rPr>
        <w:t>100.00%</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eastAsia="zh-CN"/>
        </w:rPr>
        <w:t>100.00%</w:t>
      </w:r>
      <w:r>
        <w:rPr>
          <w:rFonts w:hint="eastAsia" w:hAnsi="宋体"/>
          <w:szCs w:val="28"/>
          <w:highlight w:val="none"/>
        </w:rPr>
        <w:t>。</w:t>
      </w:r>
    </w:p>
    <w:p>
      <w:pPr>
        <w:widowControl w:val="0"/>
        <w:wordWrap/>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我院</w:t>
      </w:r>
      <w:r>
        <w:rPr>
          <w:rFonts w:hint="eastAsia" w:hAnsi="宋体"/>
          <w:szCs w:val="28"/>
          <w:highlight w:val="none"/>
          <w:lang w:eastAsia="zh-CN"/>
        </w:rPr>
        <w:t>项目</w:t>
      </w:r>
      <w:r>
        <w:rPr>
          <w:rFonts w:hint="eastAsia" w:hAnsi="宋体"/>
          <w:szCs w:val="28"/>
          <w:highlight w:val="none"/>
        </w:rPr>
        <w:t>支出全年预算</w:t>
      </w:r>
      <w:r>
        <w:rPr>
          <w:rFonts w:hint="eastAsia" w:hAnsi="宋体"/>
          <w:szCs w:val="28"/>
          <w:highlight w:val="none"/>
          <w:lang w:val="en-US" w:eastAsia="zh-CN"/>
        </w:rPr>
        <w:t>数和</w:t>
      </w:r>
      <w:r>
        <w:rPr>
          <w:rFonts w:hint="eastAsia" w:hAnsi="宋体"/>
          <w:szCs w:val="28"/>
          <w:highlight w:val="none"/>
        </w:rPr>
        <w:t>实际支出数</w:t>
      </w:r>
      <w:r>
        <w:rPr>
          <w:rFonts w:hint="eastAsia" w:hAnsi="宋体"/>
          <w:szCs w:val="28"/>
          <w:highlight w:val="none"/>
          <w:lang w:eastAsia="zh-CN"/>
        </w:rPr>
        <w:t>均为</w:t>
      </w:r>
      <w:r>
        <w:rPr>
          <w:rFonts w:hint="eastAsia" w:hAnsi="宋体"/>
          <w:szCs w:val="28"/>
          <w:highlight w:val="none"/>
          <w:lang w:val="en-US" w:eastAsia="zh-CN"/>
        </w:rPr>
        <w:t>1558.00</w:t>
      </w:r>
      <w:r>
        <w:rPr>
          <w:rFonts w:hint="eastAsia" w:hAnsi="宋体"/>
          <w:szCs w:val="28"/>
          <w:highlight w:val="none"/>
        </w:rPr>
        <w:t>万元，项目支出预算执行率为</w:t>
      </w:r>
      <w:r>
        <w:rPr>
          <w:rFonts w:hint="eastAsia" w:hAnsi="宋体"/>
          <w:szCs w:val="28"/>
          <w:highlight w:val="none"/>
          <w:lang w:val="en-US" w:eastAsia="zh-CN"/>
        </w:rPr>
        <w:t>100.00%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2分，得</w:t>
      </w:r>
      <w:r>
        <w:rPr>
          <w:rFonts w:hint="eastAsia" w:hAnsi="宋体"/>
          <w:szCs w:val="28"/>
          <w:highlight w:val="none"/>
        </w:rPr>
        <w:t>分率为</w:t>
      </w:r>
      <w:r>
        <w:rPr>
          <w:rFonts w:hint="eastAsia" w:hAnsi="宋体"/>
          <w:szCs w:val="28"/>
          <w:highlight w:val="none"/>
          <w:lang w:val="en-US" w:eastAsia="zh-CN"/>
        </w:rPr>
        <w:t>100.00</w:t>
      </w:r>
      <w:r>
        <w:rPr>
          <w:rFonts w:hint="eastAsia" w:hAnsi="宋体"/>
          <w:szCs w:val="28"/>
          <w:highlight w:val="none"/>
        </w:rPr>
        <w:t>%。</w:t>
      </w:r>
    </w:p>
    <w:p>
      <w:pPr>
        <w:widowControl w:val="0"/>
        <w:wordWrap/>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全年预算数69.63万元，实际支出数49.02万元，</w:t>
      </w:r>
      <w:r>
        <w:rPr>
          <w:rFonts w:hint="eastAsia" w:hAnsi="宋体"/>
          <w:szCs w:val="28"/>
          <w:highlight w:val="none"/>
        </w:rPr>
        <w:t>“三公经费”控制率为</w:t>
      </w:r>
      <w:r>
        <w:rPr>
          <w:rFonts w:hint="eastAsia" w:hAnsi="宋体"/>
          <w:szCs w:val="28"/>
          <w:highlight w:val="none"/>
          <w:lang w:val="en-US" w:eastAsia="zh-CN"/>
        </w:rPr>
        <w:t>70.41%，年度目标值为100%</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1.41</w:t>
      </w:r>
      <w:r>
        <w:rPr>
          <w:rFonts w:hint="eastAsia" w:hAnsi="宋体"/>
          <w:szCs w:val="28"/>
          <w:highlight w:val="none"/>
        </w:rPr>
        <w:t>分，得分率为</w:t>
      </w:r>
      <w:r>
        <w:rPr>
          <w:rFonts w:hint="eastAsia" w:hAnsi="宋体"/>
          <w:szCs w:val="28"/>
          <w:highlight w:val="none"/>
          <w:lang w:eastAsia="zh-CN"/>
        </w:rPr>
        <w:t>96.35%</w:t>
      </w:r>
      <w:r>
        <w:rPr>
          <w:rFonts w:hint="eastAsia" w:hAnsi="宋体"/>
          <w:szCs w:val="28"/>
          <w:highlight w:val="none"/>
        </w:rPr>
        <w:t>。</w:t>
      </w:r>
    </w:p>
    <w:p>
      <w:pPr>
        <w:widowControl w:val="0"/>
        <w:wordWrap/>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3</w:t>
      </w:r>
      <w:r>
        <w:rPr>
          <w:rFonts w:hint="eastAsia" w:hAnsi="宋体"/>
          <w:szCs w:val="28"/>
          <w:highlight w:val="none"/>
        </w:rPr>
        <w:t>年结转结余资金变动率</w:t>
      </w:r>
      <w:r>
        <w:rPr>
          <w:rFonts w:hint="eastAsia" w:hAnsi="宋体"/>
          <w:szCs w:val="28"/>
          <w:highlight w:val="none"/>
          <w:lang w:val="en-US" w:eastAsia="zh-CN"/>
        </w:rPr>
        <w:t>0%，达到年度目标值</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w:t>
      </w:r>
      <w:r>
        <w:rPr>
          <w:rFonts w:hint="eastAsia" w:hAnsi="宋体"/>
          <w:szCs w:val="28"/>
        </w:rPr>
        <w:t>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pPr>
        <w:widowControl w:val="0"/>
        <w:wordWrap/>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eastAsia="zh-CN"/>
        </w:rPr>
        <w:t>100.00%</w:t>
      </w:r>
      <w:r>
        <w:rPr>
          <w:rFonts w:hint="eastAsia" w:hAnsi="宋体"/>
          <w:szCs w:val="28"/>
          <w:highlight w:val="none"/>
        </w:rPr>
        <w:t>。</w:t>
      </w:r>
    </w:p>
    <w:p>
      <w:pPr>
        <w:widowControl w:val="0"/>
        <w:wordWrap/>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pPr>
        <w:widowControl w:val="0"/>
        <w:wordWrap/>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pPr>
        <w:widowControl w:val="0"/>
        <w:wordWrap/>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pPr>
        <w:widowControl w:val="0"/>
        <w:wordWrap/>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，编制数</w:t>
      </w:r>
      <w:r>
        <w:rPr>
          <w:rFonts w:hint="eastAsia" w:hAnsi="宋体"/>
          <w:szCs w:val="28"/>
          <w:lang w:val="en-US" w:eastAsia="zh-CN"/>
        </w:rPr>
        <w:t>98人</w:t>
      </w:r>
      <w:r>
        <w:rPr>
          <w:rFonts w:hint="eastAsia" w:hAnsi="宋体"/>
          <w:szCs w:val="28"/>
          <w:lang w:eastAsia="zh-CN"/>
        </w:rPr>
        <w:t>，实有人数</w:t>
      </w:r>
      <w:r>
        <w:rPr>
          <w:rFonts w:hint="eastAsia" w:hAnsi="宋体"/>
          <w:szCs w:val="28"/>
          <w:lang w:val="en-US" w:eastAsia="zh-CN"/>
        </w:rPr>
        <w:t>91人 ,在职人员控制率92.86%，年度目标值为100.00%。</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1.86</w:t>
      </w:r>
      <w:r>
        <w:rPr>
          <w:rFonts w:hint="eastAsia" w:hAnsi="宋体"/>
          <w:szCs w:val="28"/>
        </w:rPr>
        <w:t>分，得分率为</w:t>
      </w:r>
      <w:r>
        <w:rPr>
          <w:rFonts w:hint="eastAsia" w:hAnsi="宋体"/>
          <w:szCs w:val="28"/>
          <w:lang w:val="en-US" w:eastAsia="zh-CN"/>
        </w:rPr>
        <w:t>93.00%</w:t>
      </w:r>
      <w:r>
        <w:rPr>
          <w:rFonts w:hint="eastAsia" w:hAnsi="宋体"/>
          <w:szCs w:val="28"/>
        </w:rPr>
        <w:t>。</w:t>
      </w:r>
    </w:p>
    <w:p>
      <w:pPr>
        <w:widowControl w:val="0"/>
        <w:wordWrap/>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w:t>
      </w:r>
      <w:r>
        <w:rPr>
          <w:rFonts w:hint="eastAsia" w:hAnsi="宋体"/>
          <w:szCs w:val="28"/>
          <w:lang w:eastAsia="zh-CN"/>
        </w:rPr>
        <w:t>100.00%</w:t>
      </w:r>
      <w:r>
        <w:rPr>
          <w:rFonts w:hint="eastAsia" w:hAnsi="宋体"/>
          <w:szCs w:val="28"/>
        </w:rPr>
        <w:t>。</w:t>
      </w:r>
    </w:p>
    <w:p>
      <w:pPr>
        <w:pStyle w:val="5"/>
        <w:keepNext/>
        <w:keepLines/>
        <w:widowControl w:val="0"/>
        <w:wordWrap/>
        <w:adjustRightInd/>
        <w:snapToGrid/>
        <w:ind w:firstLine="562"/>
        <w:textAlignment w:val="auto"/>
        <w:rPr>
          <w:rFonts w:hint="default"/>
          <w:lang w:val="en-US" w:eastAsia="zh-CN"/>
        </w:rPr>
      </w:pPr>
      <w:bookmarkStart w:id="49" w:name="_Toc40046032"/>
      <w:r>
        <w:rPr>
          <w:rFonts w:hint="eastAsia"/>
          <w:lang w:val="en-US" w:eastAsia="zh-CN"/>
        </w:rPr>
        <w:t>3.</w:t>
      </w:r>
      <w:r>
        <w:rPr>
          <w:rFonts w:hint="eastAsia"/>
        </w:rPr>
        <w:t>履职效果</w:t>
      </w:r>
      <w:bookmarkEnd w:id="49"/>
      <w:r>
        <w:rPr>
          <w:rFonts w:hint="eastAsia"/>
          <w:lang w:val="en-US" w:eastAsia="zh-CN"/>
        </w:rPr>
        <w:t>目标完成情况分析</w:t>
      </w:r>
    </w:p>
    <w:p>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部门效果、服务对象满意度3</w:t>
      </w:r>
      <w:r>
        <w:rPr>
          <w:rFonts w:hint="eastAsia"/>
          <w:highlight w:val="none"/>
        </w:rPr>
        <w:t>个二级指标，下设</w:t>
      </w:r>
      <w:r>
        <w:rPr>
          <w:rFonts w:hint="eastAsia"/>
          <w:highlight w:val="none"/>
          <w:lang w:val="en-US" w:eastAsia="zh-CN"/>
        </w:rPr>
        <w:t>17</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56.16</w:t>
      </w:r>
      <w:r>
        <w:rPr>
          <w:rFonts w:hint="eastAsia"/>
          <w:highlight w:val="none"/>
        </w:rPr>
        <w:t>分，</w:t>
      </w:r>
      <w:r>
        <w:rPr>
          <w:highlight w:val="none"/>
        </w:rPr>
        <w:t>得分率</w:t>
      </w:r>
      <w:r>
        <w:rPr>
          <w:rFonts w:hint="eastAsia"/>
          <w:highlight w:val="none"/>
          <w:lang w:val="en-US" w:eastAsia="zh-CN"/>
        </w:rPr>
        <w:t>93.60</w:t>
      </w:r>
      <w:r>
        <w:rPr>
          <w:highlight w:val="none"/>
        </w:rPr>
        <w:t>%</w:t>
      </w:r>
      <w:r>
        <w:rPr>
          <w:rFonts w:hint="eastAsia"/>
          <w:highlight w:val="none"/>
        </w:rPr>
        <w:t>。</w:t>
      </w:r>
      <w:r>
        <w:rPr>
          <w:rFonts w:hint="eastAsia"/>
          <w:b/>
          <w:bCs/>
          <w:lang w:eastAsia="zh-CN"/>
        </w:rPr>
        <w:tab/>
      </w:r>
    </w:p>
    <w:tbl>
      <w:tblPr>
        <w:tblStyle w:val="27"/>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83"/>
        <w:gridCol w:w="3405"/>
        <w:gridCol w:w="1125"/>
        <w:gridCol w:w="1050"/>
        <w:gridCol w:w="690"/>
        <w:gridCol w:w="915"/>
        <w:gridCol w:w="100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836" w:hRule="atLeast"/>
          <w:tblHeader/>
          <w:jc w:val="center"/>
        </w:trPr>
        <w:tc>
          <w:tcPr>
            <w:tcW w:w="883"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rPr>
              <w:t>二级指标</w:t>
            </w:r>
          </w:p>
        </w:tc>
        <w:tc>
          <w:tcPr>
            <w:tcW w:w="3405"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三级指标</w:t>
            </w:r>
          </w:p>
        </w:tc>
        <w:tc>
          <w:tcPr>
            <w:tcW w:w="1125"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年度</w:t>
            </w:r>
          </w:p>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指标值</w:t>
            </w:r>
          </w:p>
        </w:tc>
        <w:tc>
          <w:tcPr>
            <w:tcW w:w="1050"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实际</w:t>
            </w:r>
          </w:p>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完成值</w:t>
            </w:r>
          </w:p>
        </w:tc>
        <w:tc>
          <w:tcPr>
            <w:tcW w:w="690"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rPr>
              <w:t>分值</w:t>
            </w:r>
          </w:p>
        </w:tc>
        <w:tc>
          <w:tcPr>
            <w:tcW w:w="915"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rPr>
              <w:t>自评得分</w:t>
            </w:r>
          </w:p>
        </w:tc>
        <w:tc>
          <w:tcPr>
            <w:tcW w:w="1001"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bCs/>
                <w:i w:val="0"/>
                <w:iCs w:val="0"/>
                <w:color w:val="000000"/>
                <w:kern w:val="0"/>
                <w:sz w:val="24"/>
                <w:szCs w:val="24"/>
                <w:u w:val="none"/>
                <w:lang w:val="en-US" w:eastAsia="zh-CN"/>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68" w:hRule="atLeast"/>
          <w:tblHeader/>
          <w:jc w:val="center"/>
        </w:trPr>
        <w:tc>
          <w:tcPr>
            <w:tcW w:w="883" w:type="dxa"/>
            <w:vMerge w:val="restart"/>
            <w:vAlign w:val="center"/>
          </w:tcPr>
          <w:p>
            <w:pPr>
              <w:widowControl/>
              <w:ind w:left="0" w:leftChars="0" w:firstLine="0" w:firstLineChars="0"/>
              <w:jc w:val="both"/>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i w:val="0"/>
                <w:iCs w:val="0"/>
                <w:color w:val="333333"/>
                <w:kern w:val="0"/>
                <w:sz w:val="22"/>
                <w:szCs w:val="22"/>
                <w:u w:val="none"/>
                <w:lang w:val="en-US" w:eastAsia="zh-CN"/>
              </w:rPr>
              <w:t>部门履职目标</w:t>
            </w: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数量指标:民商事案件结案率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&gt;=90%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93.48%</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3.2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3.2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4"/>
                <w:szCs w:val="24"/>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数量指标:行政案件结案率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&gt;=90%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93.24%</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color w:val="000000"/>
                <w:kern w:val="0"/>
                <w:sz w:val="24"/>
                <w:szCs w:val="24"/>
                <w:highlight w:val="none"/>
                <w:lang w:val="en-US" w:eastAsia="zh-CN" w:bidi="ar-SA"/>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数量指标:刑事案件结案率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&gt;=90%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94.48%</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4"/>
                <w:szCs w:val="24"/>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数量指标：登记立案率（%）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&gt;=80%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98%</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质量指标：一审服判息诉率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&gt;=90%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35%</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1.21</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38.78%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质量指标：案件上诉率（%）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65.31%</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1.46</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46.79%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质量指标：发回改判率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&lt;=30%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16.33%</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default"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质量指标：案件受理准确率（%）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100.00%</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时效指标：法定审限内结案率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&gt;=90%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100.00%</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时效指标：判决文书送达及时性</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及时</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及时</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成本指标：成本控制情况</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预算范围内</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100.00%</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restart"/>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部门效果目标</w:t>
            </w: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经济效益指标:执行标的到位率</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&gt;=10%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37.01%</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default"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经济效益指标：挽回经济损失效果</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明显</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98%</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法治宣传内容知晓度</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知晓</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98%</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服务对象满意度</w:t>
            </w: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当事人满意度</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&gt;=90%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95%</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restart"/>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社会影响</w:t>
            </w: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单位获奖情况</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&gt;=1件</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4件</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2.85</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91.34%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340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违法违纪情况</w:t>
            </w:r>
          </w:p>
        </w:tc>
        <w:tc>
          <w:tcPr>
            <w:tcW w:w="11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=0</w:t>
            </w:r>
          </w:p>
        </w:tc>
        <w:tc>
          <w:tcPr>
            <w:tcW w:w="10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0</w:t>
            </w:r>
          </w:p>
        </w:tc>
        <w:tc>
          <w:tcPr>
            <w:tcW w:w="69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3.12</w:t>
            </w:r>
          </w:p>
        </w:tc>
        <w:tc>
          <w:tcPr>
            <w:tcW w:w="9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3.12</w:t>
            </w:r>
          </w:p>
        </w:tc>
        <w:tc>
          <w:tcPr>
            <w:tcW w:w="1001"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883" w:type="dxa"/>
            <w:shd w:val="clear" w:color="auto" w:fill="BDD6EE"/>
            <w:vAlign w:val="center"/>
          </w:tcPr>
          <w:p>
            <w:pPr>
              <w:widowControl/>
              <w:ind w:left="0" w:leftChars="0" w:firstLine="0" w:firstLineChars="0"/>
              <w:jc w:val="both"/>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bCs/>
                <w:i w:val="0"/>
                <w:iCs w:val="0"/>
                <w:color w:val="000000"/>
                <w:kern w:val="0"/>
                <w:sz w:val="24"/>
                <w:szCs w:val="24"/>
                <w:u w:val="none"/>
                <w:lang w:val="en-US" w:eastAsia="zh-CN"/>
              </w:rPr>
              <w:t>合计</w:t>
            </w:r>
          </w:p>
        </w:tc>
        <w:tc>
          <w:tcPr>
            <w:tcW w:w="3405" w:type="dxa"/>
            <w:shd w:val="clear" w:color="auto" w:fill="BDD6EE"/>
            <w:vAlign w:val="center"/>
          </w:tcPr>
          <w:p>
            <w:pPr>
              <w:widowControl/>
              <w:wordWrap/>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1125" w:type="dxa"/>
            <w:shd w:val="clear" w:color="auto" w:fill="BDD6EE"/>
            <w:vAlign w:val="center"/>
          </w:tcPr>
          <w:p>
            <w:pPr>
              <w:widowControl/>
              <w:wordWrap/>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1050" w:type="dxa"/>
            <w:shd w:val="clear" w:color="auto" w:fill="BDD6EE"/>
            <w:vAlign w:val="center"/>
          </w:tcPr>
          <w:p>
            <w:pPr>
              <w:widowControl/>
              <w:wordWrap/>
              <w:adjustRightInd/>
              <w:snapToGrid/>
              <w:ind w:firstLine="482" w:firstLineChars="200"/>
              <w:jc w:val="center"/>
              <w:textAlignment w:val="center"/>
              <w:rPr>
                <w:rFonts w:hint="eastAsia" w:ascii="宋体" w:hAnsi="宋体" w:eastAsia="宋体" w:cs="宋体"/>
                <w:b/>
                <w:color w:val="000000"/>
                <w:kern w:val="0"/>
                <w:sz w:val="24"/>
                <w:szCs w:val="24"/>
                <w:highlight w:val="none"/>
                <w:lang w:val="en-US" w:eastAsia="zh-CN" w:bidi="ar-SA"/>
              </w:rPr>
            </w:pPr>
          </w:p>
        </w:tc>
        <w:tc>
          <w:tcPr>
            <w:tcW w:w="690" w:type="dxa"/>
            <w:shd w:val="clear" w:color="auto" w:fill="BDD6EE"/>
            <w:vAlign w:val="center"/>
          </w:tcPr>
          <w:p>
            <w:pPr>
              <w:widowControl/>
              <w:wordWrap/>
              <w:adjustRightInd/>
              <w:snapToGrid/>
              <w:ind w:left="0" w:leftChars="0" w:firstLine="0" w:firstLineChars="0"/>
              <w:jc w:val="both"/>
              <w:textAlignment w:val="center"/>
              <w:rPr>
                <w:rFonts w:hint="eastAsia"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60</w:t>
            </w:r>
          </w:p>
        </w:tc>
        <w:tc>
          <w:tcPr>
            <w:tcW w:w="915"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56.16</w:t>
            </w:r>
          </w:p>
        </w:tc>
        <w:tc>
          <w:tcPr>
            <w:tcW w:w="1001" w:type="dxa"/>
            <w:shd w:val="clear" w:color="auto" w:fill="BDD6EE"/>
            <w:vAlign w:val="center"/>
          </w:tcPr>
          <w:p>
            <w:pPr>
              <w:widowControl/>
              <w:wordWrap/>
              <w:adjustRightInd/>
              <w:snapToGrid/>
              <w:ind w:left="0" w:leftChars="0" w:firstLine="0" w:firstLineChars="0"/>
              <w:jc w:val="both"/>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b/>
                <w:bCs/>
                <w:i w:val="0"/>
                <w:iCs w:val="0"/>
                <w:color w:val="000000"/>
                <w:kern w:val="0"/>
                <w:sz w:val="24"/>
                <w:szCs w:val="24"/>
                <w:u w:val="none"/>
                <w:lang w:val="en-US" w:eastAsia="zh-CN"/>
              </w:rPr>
              <w:t>93.60%</w:t>
            </w:r>
          </w:p>
        </w:tc>
      </w:tr>
    </w:tbl>
    <w:p>
      <w:pPr>
        <w:ind w:firstLine="562"/>
      </w:pPr>
      <w:r>
        <w:rPr>
          <w:rFonts w:hint="eastAsia"/>
          <w:b/>
          <w:bCs/>
        </w:rPr>
        <w:t>民商事案件结案率：</w:t>
      </w:r>
      <w:r>
        <w:rPr>
          <w:rFonts w:hint="eastAsia"/>
        </w:rPr>
        <w:t>我院民商事案件结案率年度指标值大于</w:t>
      </w:r>
      <w:r>
        <w:rPr>
          <w:rFonts w:hint="eastAsia"/>
          <w:lang w:eastAsia="zh-CN"/>
        </w:rPr>
        <w:t>等于</w:t>
      </w:r>
      <w:r>
        <w:rPr>
          <w:rFonts w:hint="eastAsia"/>
          <w:lang w:val="en-US" w:eastAsia="zh-CN"/>
        </w:rPr>
        <w:t>90</w:t>
      </w:r>
      <w:r>
        <w:rPr>
          <w:rFonts w:hint="eastAsia"/>
        </w:rPr>
        <w:t>%，实际完成</w:t>
      </w:r>
      <w:r>
        <w:rPr>
          <w:rFonts w:hint="eastAsia"/>
          <w:lang w:eastAsia="zh-CN"/>
        </w:rPr>
        <w:t>93.48%，</w:t>
      </w:r>
      <w:r>
        <w:rPr>
          <w:rFonts w:hint="eastAsia"/>
        </w:rPr>
        <w:t>该指标分值</w:t>
      </w:r>
      <w:r>
        <w:rPr>
          <w:rFonts w:hint="eastAsia"/>
          <w:lang w:val="en-US" w:eastAsia="zh-CN"/>
        </w:rPr>
        <w:t>3.2</w:t>
      </w:r>
      <w:r>
        <w:rPr>
          <w:rFonts w:hint="eastAsia"/>
        </w:rPr>
        <w:t>分，自评得分</w:t>
      </w:r>
      <w:r>
        <w:rPr>
          <w:rFonts w:hint="eastAsia"/>
          <w:lang w:val="en-US" w:eastAsia="zh-CN"/>
        </w:rPr>
        <w:t>3.2</w:t>
      </w:r>
      <w:r>
        <w:rPr>
          <w:rFonts w:hint="eastAsia"/>
        </w:rPr>
        <w:t>分，得分率为</w:t>
      </w:r>
      <w:r>
        <w:rPr>
          <w:rFonts w:hint="eastAsia"/>
          <w:lang w:eastAsia="zh-CN"/>
        </w:rPr>
        <w:t>100.00%</w:t>
      </w:r>
      <w:r>
        <w:rPr>
          <w:rFonts w:hint="eastAsia"/>
        </w:rPr>
        <w:t>。</w:t>
      </w:r>
    </w:p>
    <w:p>
      <w:pPr>
        <w:ind w:firstLine="562"/>
      </w:pPr>
      <w:r>
        <w:rPr>
          <w:rFonts w:hint="eastAsia"/>
          <w:b/>
          <w:bCs/>
        </w:rPr>
        <w:t>行政案件结案率：</w:t>
      </w:r>
      <w:r>
        <w:rPr>
          <w:rFonts w:hint="eastAsia"/>
        </w:rPr>
        <w:t>我院行政案件结案率年度指标值大于</w:t>
      </w:r>
      <w:r>
        <w:rPr>
          <w:rFonts w:hint="eastAsia"/>
          <w:lang w:eastAsia="zh-CN"/>
        </w:rPr>
        <w:t>等于</w:t>
      </w:r>
      <w:r>
        <w:rPr>
          <w:rFonts w:hint="eastAsia"/>
          <w:lang w:val="en-US" w:eastAsia="zh-CN"/>
        </w:rPr>
        <w:t>90</w:t>
      </w:r>
      <w:r>
        <w:rPr>
          <w:rFonts w:hint="eastAsia"/>
        </w:rPr>
        <w:t>%，实际完成</w:t>
      </w:r>
      <w:r>
        <w:rPr>
          <w:rFonts w:hint="eastAsia"/>
          <w:lang w:val="en-US" w:eastAsia="zh-CN"/>
        </w:rPr>
        <w:t>93.24%</w:t>
      </w:r>
      <w:r>
        <w:rPr>
          <w:rFonts w:hint="eastAsia"/>
        </w:rPr>
        <w:t>，该指标分值3.12分，自评得分3.12分，得分率为</w:t>
      </w:r>
      <w:r>
        <w:rPr>
          <w:rFonts w:hint="eastAsia"/>
          <w:lang w:eastAsia="zh-CN"/>
        </w:rPr>
        <w:t>100.00%</w:t>
      </w:r>
      <w:r>
        <w:rPr>
          <w:rFonts w:hint="eastAsia"/>
        </w:rPr>
        <w:t>。</w:t>
      </w:r>
    </w:p>
    <w:p>
      <w:pPr>
        <w:ind w:firstLine="562"/>
        <w:rPr>
          <w:rFonts w:hint="eastAsia"/>
        </w:rPr>
      </w:pPr>
      <w:r>
        <w:rPr>
          <w:rFonts w:hint="eastAsia"/>
          <w:b/>
          <w:bCs/>
        </w:rPr>
        <w:t>刑事案件结案率：</w:t>
      </w:r>
      <w:r>
        <w:rPr>
          <w:rFonts w:hint="eastAsia"/>
        </w:rPr>
        <w:t>我院刑事案件结案率实际完成</w:t>
      </w:r>
      <w:r>
        <w:rPr>
          <w:rFonts w:hint="eastAsia"/>
          <w:lang w:val="en-US" w:eastAsia="zh-CN"/>
        </w:rPr>
        <w:t>94.48%</w:t>
      </w:r>
      <w:r>
        <w:rPr>
          <w:rFonts w:hint="eastAsia"/>
        </w:rPr>
        <w:t>，</w:t>
      </w:r>
      <w:r>
        <w:rPr>
          <w:rFonts w:hint="eastAsia"/>
          <w:lang w:eastAsia="zh-CN"/>
        </w:rPr>
        <w:t>达到年度目标值</w:t>
      </w:r>
      <w:r>
        <w:rPr>
          <w:rFonts w:hint="eastAsia"/>
        </w:rPr>
        <w:t>，该指标分值3.12分，自评得分3.12分，得分率为</w:t>
      </w:r>
      <w:r>
        <w:rPr>
          <w:rFonts w:hint="eastAsia"/>
          <w:lang w:eastAsia="zh-CN"/>
        </w:rPr>
        <w:t>100.00%</w:t>
      </w:r>
      <w:r>
        <w:rPr>
          <w:rFonts w:hint="eastAsia"/>
        </w:rPr>
        <w:t>。</w:t>
      </w:r>
    </w:p>
    <w:p>
      <w:pPr>
        <w:ind w:firstLine="562"/>
        <w:rPr>
          <w:rFonts w:hint="eastAsia"/>
        </w:rPr>
      </w:pPr>
      <w:r>
        <w:rPr>
          <w:rFonts w:hint="eastAsia"/>
          <w:b/>
          <w:bCs/>
        </w:rPr>
        <w:t>登记立案</w:t>
      </w:r>
      <w:r>
        <w:rPr>
          <w:rFonts w:hint="eastAsia"/>
          <w:b/>
          <w:bCs/>
          <w:lang w:val="en-US" w:eastAsia="zh-CN"/>
        </w:rPr>
        <w:t>率</w:t>
      </w:r>
      <w:r>
        <w:rPr>
          <w:rFonts w:hint="eastAsia"/>
          <w:b/>
          <w:bCs/>
          <w:lang w:eastAsia="zh-CN"/>
        </w:rPr>
        <w:t>：</w:t>
      </w:r>
      <w:r>
        <w:rPr>
          <w:rFonts w:hint="eastAsia"/>
        </w:rPr>
        <w:t>我院登记立案率年度指标值大于</w:t>
      </w:r>
      <w:r>
        <w:rPr>
          <w:rFonts w:hint="eastAsia"/>
          <w:lang w:eastAsia="zh-CN"/>
        </w:rPr>
        <w:t>等于</w:t>
      </w:r>
      <w:r>
        <w:rPr>
          <w:rFonts w:hint="eastAsia"/>
          <w:lang w:val="en-US" w:eastAsia="zh-CN"/>
        </w:rPr>
        <w:t>80%</w:t>
      </w:r>
      <w:r>
        <w:rPr>
          <w:rFonts w:hint="eastAsia"/>
        </w:rPr>
        <w:t>，实际完成98%，该指标分值3.12分，自评得分3.12分，得分率为</w:t>
      </w:r>
      <w:r>
        <w:rPr>
          <w:rFonts w:hint="eastAsia"/>
          <w:lang w:val="en-US" w:eastAsia="zh-CN"/>
        </w:rPr>
        <w:t>100.00</w:t>
      </w:r>
      <w:r>
        <w:t>%</w:t>
      </w:r>
      <w:r>
        <w:rPr>
          <w:rFonts w:hint="eastAsia"/>
        </w:rPr>
        <w:t>。</w:t>
      </w:r>
    </w:p>
    <w:p>
      <w:pPr>
        <w:ind w:firstLine="562"/>
        <w:rPr>
          <w:rFonts w:hint="eastAsia"/>
        </w:rPr>
      </w:pPr>
      <w:r>
        <w:rPr>
          <w:rFonts w:hint="eastAsia"/>
          <w:b/>
          <w:bCs/>
          <w:lang w:eastAsia="zh-CN"/>
        </w:rPr>
        <w:t>一审服判息诉率：</w:t>
      </w:r>
      <w:r>
        <w:rPr>
          <w:rFonts w:hint="eastAsia"/>
        </w:rPr>
        <w:t>我院一审服判息诉率年度指标值大于</w:t>
      </w:r>
      <w:r>
        <w:rPr>
          <w:rFonts w:hint="eastAsia"/>
          <w:lang w:eastAsia="zh-CN"/>
        </w:rPr>
        <w:t>等于</w:t>
      </w:r>
      <w:r>
        <w:rPr>
          <w:rFonts w:hint="eastAsia"/>
          <w:lang w:val="en-US" w:eastAsia="zh-CN"/>
        </w:rPr>
        <w:t>90%</w:t>
      </w:r>
      <w:r>
        <w:rPr>
          <w:rFonts w:hint="eastAsia"/>
        </w:rPr>
        <w:t>，实际完成35%，该指标分值3.12分，自评得分1.21分，得分率为</w:t>
      </w:r>
      <w:r>
        <w:rPr>
          <w:rFonts w:hint="eastAsia"/>
          <w:lang w:val="en-US" w:eastAsia="zh-CN"/>
        </w:rPr>
        <w:t>38.78</w:t>
      </w:r>
      <w:r>
        <w:t>%</w:t>
      </w:r>
      <w:r>
        <w:rPr>
          <w:rFonts w:hint="eastAsia"/>
        </w:rPr>
        <w:t>。</w:t>
      </w:r>
    </w:p>
    <w:p>
      <w:pPr>
        <w:widowControl w:val="0"/>
        <w:wordWrap/>
        <w:adjustRightInd/>
        <w:snapToGrid/>
        <w:ind w:firstLine="560"/>
        <w:jc w:val="both"/>
        <w:textAlignment w:val="auto"/>
        <w:rPr>
          <w:rFonts w:hint="eastAsia" w:hAnsi="宋体"/>
          <w:b w:val="0"/>
          <w:bCs w:val="0"/>
          <w:szCs w:val="28"/>
          <w:lang w:val="en-US" w:eastAsia="zh-CN"/>
        </w:rPr>
      </w:pPr>
      <w:r>
        <w:rPr>
          <w:rFonts w:hint="eastAsia"/>
          <w:b/>
          <w:bCs/>
          <w:lang w:eastAsia="zh-CN"/>
        </w:rPr>
        <w:t>案件上诉率：</w:t>
      </w:r>
      <w:r>
        <w:rPr>
          <w:rFonts w:hint="eastAsia" w:hAnsi="宋体"/>
          <w:b w:val="0"/>
          <w:bCs w:val="0"/>
          <w:szCs w:val="28"/>
          <w:lang w:val="en-US" w:eastAsia="zh-CN"/>
        </w:rPr>
        <w:t>我院案件上诉率</w:t>
      </w:r>
      <w:r>
        <w:rPr>
          <w:rFonts w:hint="eastAsia"/>
        </w:rPr>
        <w:t>实际完成率</w:t>
      </w:r>
      <w:r>
        <w:rPr>
          <w:rFonts w:hint="eastAsia"/>
          <w:lang w:val="en-US" w:eastAsia="zh-CN"/>
        </w:rPr>
        <w:t>65.31%，年度目标值为20%</w:t>
      </w:r>
      <w:r>
        <w:rPr>
          <w:rFonts w:hint="eastAsia"/>
        </w:rPr>
        <w:t>。</w:t>
      </w:r>
      <w:r>
        <w:rPr>
          <w:rFonts w:hint="eastAsia"/>
          <w:b w:val="0"/>
          <w:bCs w:val="0"/>
        </w:rPr>
        <w:t>指标分值</w:t>
      </w:r>
      <w:r>
        <w:rPr>
          <w:rFonts w:hint="eastAsia"/>
        </w:rPr>
        <w:t>3.12分，自评得分1.46</w:t>
      </w:r>
      <w:r>
        <w:rPr>
          <w:rFonts w:hint="eastAsia"/>
          <w:b w:val="0"/>
          <w:bCs w:val="0"/>
        </w:rPr>
        <w:t>分</w:t>
      </w:r>
      <w:r>
        <w:rPr>
          <w:rFonts w:hint="eastAsia"/>
        </w:rPr>
        <w:t>，得分率为</w:t>
      </w:r>
      <w:r>
        <w:rPr>
          <w:rFonts w:hint="eastAsia"/>
          <w:lang w:val="en-US" w:eastAsia="zh-CN"/>
        </w:rPr>
        <w:t>46.79</w:t>
      </w:r>
      <w:r>
        <w:rPr>
          <w:rFonts w:hint="eastAsia"/>
          <w:lang w:eastAsia="zh-CN"/>
        </w:rPr>
        <w:t>%</w:t>
      </w:r>
      <w:r>
        <w:rPr>
          <w:rFonts w:hint="eastAsia"/>
        </w:rPr>
        <w:t>。</w:t>
      </w:r>
    </w:p>
    <w:p>
      <w:pPr>
        <w:ind w:firstLine="562"/>
        <w:rPr>
          <w:rFonts w:hint="eastAsia"/>
        </w:rPr>
      </w:pPr>
      <w:r>
        <w:rPr>
          <w:rFonts w:hint="eastAsia"/>
          <w:b/>
          <w:bCs/>
        </w:rPr>
        <w:t>发回改判率：</w:t>
      </w:r>
      <w:r>
        <w:rPr>
          <w:rFonts w:hint="eastAsia"/>
        </w:rPr>
        <w:t>发回改判率实际完成值</w:t>
      </w:r>
      <w:r>
        <w:rPr>
          <w:rFonts w:hint="eastAsia"/>
          <w:lang w:val="en-US" w:eastAsia="zh-CN"/>
        </w:rPr>
        <w:t>16.33%，年度目标值为小于等于30%</w:t>
      </w:r>
      <w:r>
        <w:rPr>
          <w:rFonts w:hint="eastAsia"/>
        </w:rPr>
        <w:t>。指标分值3.12分，自评得分3.12分，得分率为</w:t>
      </w:r>
      <w:r>
        <w:rPr>
          <w:rFonts w:hint="eastAsia"/>
          <w:lang w:val="en-US" w:eastAsia="zh-CN"/>
        </w:rPr>
        <w:t>100.00</w:t>
      </w:r>
      <w:r>
        <w:rPr>
          <w:rFonts w:hint="eastAsia"/>
          <w:lang w:eastAsia="zh-CN"/>
        </w:rPr>
        <w:t>%</w:t>
      </w:r>
      <w:r>
        <w:rPr>
          <w:rFonts w:hint="eastAsia"/>
        </w:rPr>
        <w:t>。</w:t>
      </w:r>
    </w:p>
    <w:p>
      <w:pPr>
        <w:ind w:firstLine="562"/>
        <w:rPr>
          <w:rFonts w:hint="eastAsia" w:cs="仿宋_GB2312"/>
          <w:b/>
          <w:bCs/>
          <w:sz w:val="28"/>
          <w:szCs w:val="28"/>
          <w:lang w:val="en-US" w:eastAsia="zh-CN"/>
        </w:rPr>
      </w:pPr>
      <w:r>
        <w:rPr>
          <w:rFonts w:hint="eastAsia"/>
          <w:b/>
          <w:bCs/>
        </w:rPr>
        <w:t>案件受理准确率</w:t>
      </w:r>
      <w:r>
        <w:rPr>
          <w:rFonts w:hint="eastAsia" w:cs="仿宋_GB2312"/>
          <w:b/>
          <w:bCs/>
          <w:sz w:val="28"/>
          <w:szCs w:val="28"/>
          <w:lang w:val="en-US" w:eastAsia="zh-CN"/>
        </w:rPr>
        <w:t>：</w:t>
      </w:r>
      <w:r>
        <w:rPr>
          <w:rFonts w:hint="eastAsia"/>
        </w:rPr>
        <w:t>案件受理准确率实际完成值</w:t>
      </w:r>
      <w:r>
        <w:rPr>
          <w:rFonts w:hint="eastAsia"/>
          <w:lang w:val="en-US" w:eastAsia="zh-CN"/>
        </w:rPr>
        <w:t>100.00%</w:t>
      </w:r>
      <w:r>
        <w:rPr>
          <w:rFonts w:hint="eastAsia"/>
          <w:lang w:eastAsia="zh-CN"/>
        </w:rPr>
        <w:t>，达到年度目标值</w:t>
      </w:r>
      <w:r>
        <w:rPr>
          <w:rFonts w:hint="eastAsia"/>
        </w:rPr>
        <w:t>。指标分值3.12分，自评得分3.12分，得分率为</w:t>
      </w:r>
      <w:r>
        <w:rPr>
          <w:rFonts w:hint="eastAsia"/>
          <w:lang w:eastAsia="zh-CN"/>
        </w:rPr>
        <w:t>100.00%</w:t>
      </w:r>
      <w:r>
        <w:rPr>
          <w:rFonts w:hint="eastAsia"/>
        </w:rPr>
        <w:t>。</w:t>
      </w:r>
    </w:p>
    <w:p>
      <w:pPr>
        <w:ind w:firstLine="562"/>
        <w:rPr>
          <w:rFonts w:hint="eastAsia" w:cs="仿宋_GB2312"/>
          <w:b/>
          <w:bCs/>
          <w:sz w:val="28"/>
          <w:szCs w:val="28"/>
          <w:lang w:val="en-US" w:eastAsia="zh-CN"/>
        </w:rPr>
      </w:pPr>
      <w:r>
        <w:rPr>
          <w:rFonts w:hint="eastAsia" w:cs="仿宋_GB2312"/>
          <w:b/>
          <w:bCs/>
          <w:sz w:val="28"/>
          <w:szCs w:val="28"/>
          <w:lang w:val="en-US" w:eastAsia="zh-CN"/>
        </w:rPr>
        <w:t>法定审限内结案率：</w:t>
      </w:r>
      <w:r>
        <w:rPr>
          <w:rFonts w:hint="eastAsia"/>
        </w:rPr>
        <w:t>法定审限内结案率实际完成值</w:t>
      </w:r>
      <w:r>
        <w:rPr>
          <w:rFonts w:hint="eastAsia"/>
          <w:lang w:val="en-US" w:eastAsia="zh-CN"/>
        </w:rPr>
        <w:t>100.00%</w:t>
      </w:r>
      <w:r>
        <w:rPr>
          <w:rFonts w:hint="eastAsia"/>
          <w:lang w:eastAsia="zh-CN"/>
        </w:rPr>
        <w:t>，达到年度目标值</w:t>
      </w:r>
      <w:r>
        <w:rPr>
          <w:rFonts w:hint="eastAsia"/>
        </w:rPr>
        <w:t>。指标分值3.12分，自评得分3.12分，得分率为</w:t>
      </w:r>
      <w:r>
        <w:rPr>
          <w:rFonts w:hint="eastAsia"/>
          <w:lang w:eastAsia="zh-CN"/>
        </w:rPr>
        <w:t>100.00%</w:t>
      </w:r>
      <w:r>
        <w:rPr>
          <w:rFonts w:hint="eastAsia"/>
        </w:rPr>
        <w:t>。</w:t>
      </w:r>
    </w:p>
    <w:p>
      <w:pPr>
        <w:ind w:firstLine="562"/>
        <w:rPr>
          <w:rFonts w:hint="eastAsia" w:cs="仿宋_GB2312"/>
          <w:b/>
          <w:bCs/>
          <w:sz w:val="28"/>
          <w:szCs w:val="28"/>
          <w:lang w:val="en-US" w:eastAsia="zh-CN"/>
        </w:rPr>
      </w:pPr>
      <w:r>
        <w:rPr>
          <w:rFonts w:hint="eastAsia" w:cs="仿宋_GB2312"/>
          <w:b/>
          <w:bCs/>
          <w:sz w:val="28"/>
          <w:szCs w:val="28"/>
          <w:lang w:val="en-US" w:eastAsia="zh-CN"/>
        </w:rPr>
        <w:t>判决文书送达及时性：</w:t>
      </w:r>
      <w:r>
        <w:rPr>
          <w:rFonts w:hint="eastAsia" w:cs="仿宋_GB2312"/>
          <w:b w:val="0"/>
          <w:bCs w:val="0"/>
          <w:sz w:val="28"/>
          <w:szCs w:val="28"/>
          <w:lang w:val="en-US" w:eastAsia="zh-CN"/>
        </w:rPr>
        <w:t>判决文书送达及时，该</w:t>
      </w:r>
      <w:r>
        <w:rPr>
          <w:rFonts w:hint="eastAsia"/>
          <w:b w:val="0"/>
          <w:bCs w:val="0"/>
        </w:rPr>
        <w:t>指标分</w:t>
      </w:r>
      <w:r>
        <w:rPr>
          <w:rFonts w:hint="eastAsia"/>
        </w:rPr>
        <w:t>值3.12分，自评得分3.12分，得分率为</w:t>
      </w:r>
      <w:r>
        <w:rPr>
          <w:rFonts w:hint="eastAsia"/>
          <w:lang w:eastAsia="zh-CN"/>
        </w:rPr>
        <w:t>100.00%</w:t>
      </w:r>
      <w:r>
        <w:rPr>
          <w:rFonts w:hint="eastAsia"/>
        </w:rPr>
        <w:t>。</w:t>
      </w:r>
    </w:p>
    <w:p>
      <w:pPr>
        <w:ind w:firstLine="562"/>
        <w:rPr>
          <w:rFonts w:hint="eastAsia"/>
          <w:b w:val="0"/>
          <w:bCs w:val="0"/>
        </w:rPr>
      </w:pPr>
      <w:r>
        <w:rPr>
          <w:rFonts w:hint="eastAsia" w:cs="仿宋_GB2312"/>
          <w:b/>
          <w:bCs/>
          <w:sz w:val="28"/>
          <w:szCs w:val="28"/>
          <w:lang w:val="en-US" w:eastAsia="zh-CN"/>
        </w:rPr>
        <w:t>成本控制情况：</w:t>
      </w:r>
      <w:r>
        <w:rPr>
          <w:rFonts w:hint="eastAsia" w:cs="仿宋_GB2312"/>
          <w:b w:val="0"/>
          <w:bCs w:val="0"/>
          <w:color w:val="auto"/>
          <w:kern w:val="2"/>
          <w:sz w:val="28"/>
          <w:szCs w:val="28"/>
          <w:lang w:val="en-US" w:eastAsia="zh-CN" w:bidi="ar-SA"/>
        </w:rPr>
        <w:t>成本控制</w:t>
      </w:r>
      <w:r>
        <w:rPr>
          <w:rFonts w:hint="eastAsia" w:cs="仿宋_GB2312"/>
          <w:b w:val="0"/>
          <w:bCs w:val="0"/>
          <w:sz w:val="28"/>
          <w:szCs w:val="28"/>
          <w:lang w:val="en-US" w:eastAsia="zh-CN"/>
        </w:rPr>
        <w:t>在</w:t>
      </w:r>
      <w:r>
        <w:rPr>
          <w:rFonts w:hint="eastAsia" w:cs="仿宋_GB2312"/>
          <w:b w:val="0"/>
          <w:bCs w:val="0"/>
          <w:color w:val="auto"/>
          <w:kern w:val="2"/>
          <w:sz w:val="28"/>
          <w:szCs w:val="28"/>
          <w:lang w:val="en-US" w:eastAsia="zh-CN" w:bidi="ar-SA"/>
        </w:rPr>
        <w:t>预算范围内。</w:t>
      </w:r>
      <w:r>
        <w:rPr>
          <w:rFonts w:hint="eastAsia" w:ascii="仿宋_GB2312" w:hAnsi="仿宋_GB2312" w:eastAsia="仿宋_GB2312" w:cs="仿宋_GB2312"/>
          <w:b w:val="0"/>
          <w:bCs w:val="0"/>
          <w:sz w:val="28"/>
          <w:szCs w:val="28"/>
        </w:rPr>
        <w:t>该指标分值</w:t>
      </w:r>
      <w:r>
        <w:rPr>
          <w:rFonts w:hint="eastAsia"/>
        </w:rPr>
        <w:t>3.12分，自评得分3.12</w:t>
      </w:r>
      <w:r>
        <w:rPr>
          <w:rFonts w:hint="eastAsia"/>
          <w:b w:val="0"/>
          <w:bCs w:val="0"/>
        </w:rPr>
        <w:t>分，得分率为</w:t>
      </w:r>
      <w:r>
        <w:rPr>
          <w:rFonts w:hint="eastAsia"/>
          <w:b w:val="0"/>
          <w:bCs w:val="0"/>
          <w:lang w:eastAsia="zh-CN"/>
        </w:rPr>
        <w:t>100.00%</w:t>
      </w:r>
      <w:r>
        <w:rPr>
          <w:rFonts w:hint="eastAsia"/>
          <w:b w:val="0"/>
          <w:bCs w:val="0"/>
        </w:rPr>
        <w:t>。</w:t>
      </w:r>
    </w:p>
    <w:p>
      <w:pPr>
        <w:ind w:firstLine="562"/>
        <w:rPr>
          <w:rFonts w:hint="eastAsia"/>
        </w:rPr>
      </w:pPr>
      <w:r>
        <w:rPr>
          <w:rFonts w:hint="eastAsia" w:cs="仿宋_GB2312"/>
          <w:b/>
          <w:bCs/>
          <w:sz w:val="28"/>
          <w:szCs w:val="28"/>
          <w:lang w:val="en-US" w:eastAsia="zh-CN"/>
        </w:rPr>
        <w:t>执行标的到位率：</w:t>
      </w:r>
      <w:r>
        <w:rPr>
          <w:rFonts w:hint="eastAsia"/>
        </w:rPr>
        <w:t>年度目标值</w:t>
      </w:r>
      <w:r>
        <w:rPr>
          <w:rFonts w:hint="eastAsia"/>
          <w:lang w:eastAsia="zh-CN"/>
        </w:rPr>
        <w:t>大于等于</w:t>
      </w:r>
      <w:r>
        <w:rPr>
          <w:rFonts w:hint="eastAsia"/>
          <w:lang w:val="en-US" w:eastAsia="zh-CN"/>
        </w:rPr>
        <w:t>10</w:t>
      </w:r>
      <w:r>
        <w:rPr>
          <w:rFonts w:hint="eastAsia"/>
        </w:rPr>
        <w:t>%，实际完成值</w:t>
      </w:r>
      <w:r>
        <w:rPr>
          <w:rFonts w:hint="eastAsia"/>
          <w:lang w:val="en-US" w:eastAsia="zh-CN"/>
        </w:rPr>
        <w:t>37.01%</w:t>
      </w:r>
      <w:r>
        <w:rPr>
          <w:rFonts w:hint="eastAsia" w:cs="仿宋_GB2312"/>
          <w:b w:val="0"/>
          <w:bCs w:val="0"/>
          <w:color w:val="auto"/>
          <w:kern w:val="2"/>
          <w:sz w:val="28"/>
          <w:szCs w:val="28"/>
          <w:lang w:val="en-US" w:eastAsia="zh-CN" w:bidi="ar-SA"/>
        </w:rPr>
        <w:t>。</w:t>
      </w:r>
      <w:r>
        <w:rPr>
          <w:rFonts w:hint="eastAsia" w:ascii="仿宋_GB2312" w:hAnsi="仿宋_GB2312" w:eastAsia="仿宋_GB2312" w:cs="仿宋_GB2312"/>
          <w:b w:val="0"/>
          <w:bCs w:val="0"/>
          <w:sz w:val="28"/>
          <w:szCs w:val="28"/>
        </w:rPr>
        <w:t>该指标分值</w:t>
      </w:r>
      <w:r>
        <w:rPr>
          <w:rFonts w:hint="eastAsia"/>
        </w:rPr>
        <w:t>3.12分，自评得分</w:t>
      </w:r>
      <w:r>
        <w:rPr>
          <w:rFonts w:hint="eastAsia"/>
          <w:lang w:val="en-US" w:eastAsia="zh-CN"/>
        </w:rPr>
        <w:t>3.12</w:t>
      </w:r>
      <w:r>
        <w:rPr>
          <w:rFonts w:hint="eastAsia"/>
        </w:rPr>
        <w:t>分，得分率为</w:t>
      </w:r>
      <w:r>
        <w:rPr>
          <w:rFonts w:hint="eastAsia"/>
          <w:lang w:val="en-US" w:eastAsia="zh-CN"/>
        </w:rPr>
        <w:t>100.00</w:t>
      </w:r>
      <w:r>
        <w:rPr>
          <w:rFonts w:hint="eastAsia"/>
        </w:rPr>
        <w:t>%。</w:t>
      </w:r>
    </w:p>
    <w:p>
      <w:pPr>
        <w:ind w:firstLine="562"/>
        <w:rPr>
          <w:rFonts w:hint="eastAsia"/>
          <w:b w:val="0"/>
          <w:bCs w:val="0"/>
        </w:rPr>
      </w:pPr>
      <w:r>
        <w:rPr>
          <w:rFonts w:hint="eastAsia" w:cs="仿宋_GB2312"/>
          <w:b/>
          <w:bCs/>
          <w:sz w:val="28"/>
          <w:szCs w:val="28"/>
          <w:lang w:val="en-US" w:eastAsia="zh-CN"/>
        </w:rPr>
        <w:t>挽回经济损失效果：</w:t>
      </w:r>
      <w:r>
        <w:rPr>
          <w:rFonts w:hint="eastAsia"/>
          <w:lang w:val="en-US" w:eastAsia="zh-CN"/>
        </w:rPr>
        <w:t>通过执行案件</w:t>
      </w:r>
      <w:r>
        <w:rPr>
          <w:rFonts w:hint="eastAsia"/>
        </w:rPr>
        <w:t>挽回经济损失效果</w:t>
      </w:r>
      <w:r>
        <w:rPr>
          <w:rFonts w:hint="eastAsia"/>
          <w:lang w:eastAsia="zh-CN"/>
        </w:rPr>
        <w:t>明显</w:t>
      </w:r>
      <w:r>
        <w:rPr>
          <w:rFonts w:hint="eastAsia" w:cs="仿宋_GB2312"/>
          <w:b w:val="0"/>
          <w:bCs w:val="0"/>
          <w:color w:val="auto"/>
          <w:kern w:val="2"/>
          <w:sz w:val="28"/>
          <w:szCs w:val="28"/>
          <w:lang w:val="en-US" w:eastAsia="zh-CN" w:bidi="ar-SA"/>
        </w:rPr>
        <w:t>。</w:t>
      </w:r>
      <w:r>
        <w:rPr>
          <w:rFonts w:hint="eastAsia" w:ascii="仿宋_GB2312" w:hAnsi="仿宋_GB2312" w:eastAsia="仿宋_GB2312" w:cs="仿宋_GB2312"/>
          <w:b w:val="0"/>
          <w:bCs w:val="0"/>
          <w:sz w:val="28"/>
          <w:szCs w:val="28"/>
        </w:rPr>
        <w:t>该指标分值</w:t>
      </w:r>
      <w:r>
        <w:rPr>
          <w:rFonts w:hint="eastAsia"/>
        </w:rPr>
        <w:t>3.12分，自评得分3.12</w:t>
      </w:r>
      <w:r>
        <w:rPr>
          <w:rFonts w:hint="eastAsia"/>
          <w:b w:val="0"/>
          <w:bCs w:val="0"/>
        </w:rPr>
        <w:t>分，得分率为</w:t>
      </w:r>
      <w:r>
        <w:rPr>
          <w:rFonts w:hint="eastAsia"/>
          <w:b w:val="0"/>
          <w:bCs w:val="0"/>
          <w:lang w:eastAsia="zh-CN"/>
        </w:rPr>
        <w:t>100.00%</w:t>
      </w:r>
      <w:r>
        <w:rPr>
          <w:rFonts w:hint="eastAsia"/>
          <w:b w:val="0"/>
          <w:bCs w:val="0"/>
        </w:rPr>
        <w:t>。</w:t>
      </w:r>
    </w:p>
    <w:p>
      <w:pPr>
        <w:widowControl w:val="0"/>
        <w:wordWrap/>
        <w:adjustRightInd/>
        <w:snapToGrid/>
        <w:ind w:left="0" w:leftChars="0" w:firstLine="562" w:firstLineChars="200"/>
        <w:jc w:val="both"/>
        <w:textAlignment w:val="auto"/>
        <w:rPr>
          <w:rFonts w:hint="eastAsia"/>
        </w:rPr>
      </w:pPr>
      <w:r>
        <w:rPr>
          <w:rFonts w:hint="eastAsia" w:ascii="仿宋_GB2312" w:hAnsi="宋体" w:eastAsia="仿宋_GB2312" w:cs="黑体"/>
          <w:b/>
          <w:bCs/>
          <w:kern w:val="2"/>
          <w:sz w:val="28"/>
          <w:szCs w:val="28"/>
          <w:lang w:val="en-US" w:eastAsia="zh-CN" w:bidi="ar-SA"/>
        </w:rPr>
        <w:t>法治宣传内容知晓度</w:t>
      </w:r>
      <w:r>
        <w:rPr>
          <w:rFonts w:hint="eastAsia" w:hAnsi="宋体" w:cs="黑体"/>
          <w:b/>
          <w:bCs/>
          <w:kern w:val="2"/>
          <w:sz w:val="28"/>
          <w:szCs w:val="28"/>
          <w:lang w:val="en-US" w:eastAsia="zh-CN" w:bidi="ar-SA"/>
        </w:rPr>
        <w:t>：</w:t>
      </w:r>
      <w:r>
        <w:rPr>
          <w:rFonts w:hint="eastAsia"/>
          <w:lang w:val="en-US" w:eastAsia="zh-CN"/>
        </w:rPr>
        <w:t>我院通过媒体等宣传，使法治宣传内容知晓度增加，达到目标值。</w:t>
      </w:r>
      <w:r>
        <w:rPr>
          <w:rFonts w:hint="eastAsia"/>
        </w:rPr>
        <w:t>该指标分值</w:t>
      </w:r>
      <w:r>
        <w:rPr>
          <w:rFonts w:hint="eastAsia"/>
          <w:lang w:val="en-US" w:eastAsia="zh-CN"/>
        </w:rPr>
        <w:t>3.12</w:t>
      </w:r>
      <w:r>
        <w:rPr>
          <w:rFonts w:hint="eastAsia"/>
        </w:rPr>
        <w:t>分，自评得分</w:t>
      </w:r>
      <w:r>
        <w:rPr>
          <w:rFonts w:hint="eastAsia"/>
          <w:lang w:val="en-US" w:eastAsia="zh-CN"/>
        </w:rPr>
        <w:t>3.12</w:t>
      </w:r>
      <w:r>
        <w:rPr>
          <w:rFonts w:hint="eastAsia"/>
        </w:rPr>
        <w:t>分，得分率</w:t>
      </w:r>
      <w:r>
        <w:rPr>
          <w:rFonts w:hint="eastAsia"/>
          <w:lang w:eastAsia="zh-CN"/>
        </w:rPr>
        <w:t>100.00%</w:t>
      </w:r>
      <w:r>
        <w:rPr>
          <w:rFonts w:hint="eastAsia"/>
        </w:rPr>
        <w:t>。</w:t>
      </w:r>
    </w:p>
    <w:p>
      <w:pPr>
        <w:widowControl w:val="0"/>
        <w:wordWrap/>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宋体" w:eastAsia="仿宋_GB2312" w:cs="黑体"/>
          <w:b/>
          <w:bCs/>
          <w:kern w:val="2"/>
          <w:sz w:val="28"/>
          <w:szCs w:val="28"/>
          <w:lang w:val="en-US" w:eastAsia="zh-CN" w:bidi="ar-SA"/>
        </w:rPr>
        <w:t>当事人满意度</w:t>
      </w:r>
      <w:r>
        <w:rPr>
          <w:rFonts w:hint="eastAsia" w:hAnsi="宋体" w:cs="黑体"/>
          <w:b/>
          <w:bCs/>
          <w:kern w:val="2"/>
          <w:sz w:val="28"/>
          <w:szCs w:val="28"/>
          <w:lang w:val="en-US" w:eastAsia="zh-CN" w:bidi="ar-SA"/>
        </w:rPr>
        <w:t>：</w:t>
      </w:r>
      <w:r>
        <w:rPr>
          <w:rFonts w:hint="eastAsia" w:ascii="仿宋_GB2312" w:hAnsi="宋体" w:eastAsia="仿宋_GB2312" w:cs="黑体"/>
          <w:b w:val="0"/>
          <w:bCs w:val="0"/>
          <w:kern w:val="2"/>
          <w:sz w:val="28"/>
          <w:szCs w:val="28"/>
          <w:lang w:val="en-US" w:eastAsia="zh-CN" w:bidi="ar-SA"/>
        </w:rPr>
        <w:t>案件当事人满意度指标指标根据我院向社会提供公共产品和服务的主要对象，案件当事人满意度</w:t>
      </w:r>
      <w:r>
        <w:rPr>
          <w:rFonts w:hint="eastAsia" w:cs="仿宋_GB2312"/>
          <w:color w:val="auto"/>
          <w:kern w:val="2"/>
          <w:sz w:val="28"/>
          <w:szCs w:val="28"/>
          <w:lang w:val="en-US" w:eastAsia="zh-CN" w:bidi="ar-SA"/>
        </w:rPr>
        <w:t>92%，达到目标值。</w:t>
      </w:r>
      <w:r>
        <w:rPr>
          <w:rFonts w:hint="eastAsia" w:ascii="仿宋_GB2312" w:hAnsi="仿宋_GB2312" w:eastAsia="仿宋_GB2312" w:cs="仿宋_GB2312"/>
          <w:sz w:val="28"/>
          <w:szCs w:val="28"/>
        </w:rPr>
        <w:t>该指标分值</w:t>
      </w:r>
      <w:r>
        <w:rPr>
          <w:rFonts w:hint="eastAsia" w:cs="仿宋_GB2312"/>
          <w:sz w:val="28"/>
          <w:szCs w:val="28"/>
          <w:lang w:val="en-US" w:eastAsia="zh-CN"/>
        </w:rPr>
        <w:t>10</w:t>
      </w:r>
      <w:r>
        <w:rPr>
          <w:rFonts w:hint="eastAsia" w:ascii="仿宋_GB2312" w:hAnsi="仿宋_GB2312" w:eastAsia="仿宋_GB2312" w:cs="仿宋_GB2312"/>
          <w:sz w:val="28"/>
          <w:szCs w:val="28"/>
        </w:rPr>
        <w:t>分，自评得分</w:t>
      </w:r>
      <w:r>
        <w:rPr>
          <w:rFonts w:hint="eastAsia" w:cs="仿宋_GB2312"/>
          <w:sz w:val="28"/>
          <w:szCs w:val="28"/>
          <w:lang w:val="en-US" w:eastAsia="zh-CN"/>
        </w:rPr>
        <w:t>10</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widowControl w:val="0"/>
        <w:wordWrap/>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宋体" w:eastAsia="仿宋_GB2312" w:cs="黑体"/>
          <w:b/>
          <w:bCs/>
          <w:kern w:val="2"/>
          <w:sz w:val="28"/>
          <w:szCs w:val="28"/>
          <w:lang w:val="en-US" w:eastAsia="zh-CN" w:bidi="ar-SA"/>
        </w:rPr>
        <w:t>单位获奖情况</w:t>
      </w:r>
      <w:r>
        <w:rPr>
          <w:rFonts w:hint="eastAsia" w:hAnsi="宋体" w:cs="黑体"/>
          <w:b/>
          <w:bCs/>
          <w:kern w:val="2"/>
          <w:sz w:val="28"/>
          <w:szCs w:val="28"/>
          <w:lang w:val="en-US" w:eastAsia="zh-CN" w:bidi="ar-SA"/>
        </w:rPr>
        <w:t>：</w:t>
      </w:r>
      <w:r>
        <w:rPr>
          <w:rFonts w:hint="eastAsia" w:hAnsi="宋体" w:cs="黑体"/>
          <w:b w:val="0"/>
          <w:bCs w:val="0"/>
          <w:kern w:val="2"/>
          <w:sz w:val="28"/>
          <w:szCs w:val="28"/>
          <w:lang w:val="en-US" w:eastAsia="zh-CN" w:bidi="ar-SA"/>
        </w:rPr>
        <w:t>本年单位获奖4项，年度目标值为大于等于1项，</w:t>
      </w:r>
      <w:r>
        <w:rPr>
          <w:rFonts w:hint="eastAsia" w:ascii="仿宋_GB2312" w:hAnsi="仿宋_GB2312" w:eastAsia="仿宋_GB2312" w:cs="仿宋_GB2312"/>
          <w:b w:val="0"/>
          <w:bCs w:val="0"/>
          <w:sz w:val="28"/>
          <w:szCs w:val="28"/>
        </w:rPr>
        <w:t>该</w:t>
      </w:r>
      <w:r>
        <w:rPr>
          <w:rFonts w:hint="eastAsia" w:ascii="仿宋_GB2312" w:hAnsi="仿宋_GB2312" w:eastAsia="仿宋_GB2312" w:cs="仿宋_GB2312"/>
          <w:sz w:val="28"/>
          <w:szCs w:val="28"/>
        </w:rPr>
        <w:t>指标分值</w:t>
      </w:r>
      <w:r>
        <w:rPr>
          <w:rFonts w:hint="eastAsia" w:cs="仿宋_GB2312"/>
          <w:sz w:val="28"/>
          <w:szCs w:val="28"/>
          <w:lang w:val="en-US" w:eastAsia="zh-CN"/>
        </w:rPr>
        <w:t>3.12</w:t>
      </w:r>
      <w:r>
        <w:rPr>
          <w:rFonts w:hint="eastAsia" w:ascii="仿宋_GB2312" w:hAnsi="仿宋_GB2312" w:eastAsia="仿宋_GB2312" w:cs="仿宋_GB2312"/>
          <w:sz w:val="28"/>
          <w:szCs w:val="28"/>
        </w:rPr>
        <w:t>分，自评得分</w:t>
      </w:r>
      <w:r>
        <w:rPr>
          <w:rFonts w:hint="eastAsia" w:cs="仿宋_GB2312"/>
          <w:sz w:val="28"/>
          <w:szCs w:val="28"/>
          <w:lang w:val="en-US" w:eastAsia="zh-CN"/>
        </w:rPr>
        <w:t>2.85</w:t>
      </w:r>
      <w:r>
        <w:rPr>
          <w:rFonts w:hint="eastAsia" w:ascii="仿宋_GB2312" w:hAnsi="仿宋_GB2312" w:eastAsia="仿宋_GB2312" w:cs="仿宋_GB2312"/>
          <w:sz w:val="28"/>
          <w:szCs w:val="28"/>
        </w:rPr>
        <w:t>分，得分率</w:t>
      </w:r>
      <w:r>
        <w:rPr>
          <w:rFonts w:hint="eastAsia" w:cs="仿宋_GB2312"/>
          <w:sz w:val="28"/>
          <w:szCs w:val="28"/>
          <w:lang w:val="en-US" w:eastAsia="zh-CN"/>
        </w:rPr>
        <w:t>91.34</w:t>
      </w:r>
      <w:r>
        <w:rPr>
          <w:rFonts w:hint="eastAsia" w:cs="仿宋_GB2312"/>
          <w:sz w:val="28"/>
          <w:szCs w:val="28"/>
          <w:lang w:eastAsia="zh-CN"/>
        </w:rPr>
        <w:t>%</w:t>
      </w:r>
      <w:r>
        <w:rPr>
          <w:rFonts w:hint="eastAsia" w:ascii="仿宋_GB2312" w:hAnsi="仿宋_GB2312" w:eastAsia="仿宋_GB2312" w:cs="仿宋_GB2312"/>
          <w:sz w:val="28"/>
          <w:szCs w:val="28"/>
        </w:rPr>
        <w:t>。</w:t>
      </w:r>
    </w:p>
    <w:p>
      <w:pPr>
        <w:widowControl w:val="0"/>
        <w:wordWrap/>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宋体" w:eastAsia="仿宋_GB2312" w:cs="黑体"/>
          <w:b/>
          <w:bCs/>
          <w:kern w:val="2"/>
          <w:sz w:val="28"/>
          <w:szCs w:val="28"/>
          <w:lang w:val="en-US" w:eastAsia="zh-CN" w:bidi="ar-SA"/>
        </w:rPr>
        <w:t>违法违纪情况：</w:t>
      </w:r>
      <w:r>
        <w:rPr>
          <w:rFonts w:hint="eastAsia" w:cs="仿宋_GB2312"/>
          <w:szCs w:val="28"/>
          <w:lang w:eastAsia="zh-CN"/>
        </w:rPr>
        <w:t>2023年</w:t>
      </w:r>
      <w:r>
        <w:rPr>
          <w:rFonts w:hint="eastAsia" w:ascii="仿宋_GB2312" w:hAnsi="仿宋_GB2312" w:eastAsia="仿宋_GB2312" w:cs="仿宋_GB2312"/>
          <w:szCs w:val="28"/>
        </w:rPr>
        <w:t>我院未出现</w:t>
      </w:r>
      <w:r>
        <w:rPr>
          <w:rFonts w:hint="eastAsia" w:ascii="仿宋_GB2312" w:hAnsi="仿宋_GB2312" w:eastAsia="仿宋_GB2312" w:cs="仿宋_GB2312"/>
          <w:szCs w:val="28"/>
          <w:lang w:val="en-US" w:eastAsia="zh-CN"/>
        </w:rPr>
        <w:t>违纪违法</w:t>
      </w:r>
      <w:r>
        <w:rPr>
          <w:rFonts w:hint="eastAsia" w:ascii="仿宋_GB2312" w:hAnsi="仿宋_GB2312" w:eastAsia="仿宋_GB2312" w:cs="仿宋_GB2312"/>
          <w:szCs w:val="28"/>
        </w:rPr>
        <w:t>的情况。</w:t>
      </w:r>
      <w:r>
        <w:rPr>
          <w:rFonts w:hint="eastAsia" w:ascii="仿宋_GB2312" w:hAnsi="仿宋_GB2312" w:eastAsia="仿宋_GB2312" w:cs="仿宋_GB2312"/>
          <w:b w:val="0"/>
          <w:bCs w:val="0"/>
          <w:sz w:val="28"/>
          <w:szCs w:val="28"/>
        </w:rPr>
        <w:t>该</w:t>
      </w:r>
      <w:r>
        <w:rPr>
          <w:rFonts w:hint="eastAsia" w:ascii="仿宋_GB2312" w:hAnsi="仿宋_GB2312" w:eastAsia="仿宋_GB2312" w:cs="仿宋_GB2312"/>
          <w:sz w:val="28"/>
          <w:szCs w:val="28"/>
        </w:rPr>
        <w:t>指标分值</w:t>
      </w:r>
      <w:r>
        <w:rPr>
          <w:rFonts w:hint="eastAsia" w:cs="仿宋_GB2312"/>
          <w:sz w:val="28"/>
          <w:szCs w:val="28"/>
          <w:lang w:val="en-US" w:eastAsia="zh-CN"/>
        </w:rPr>
        <w:t>3.12</w:t>
      </w:r>
      <w:r>
        <w:rPr>
          <w:rFonts w:hint="eastAsia" w:ascii="仿宋_GB2312" w:hAnsi="仿宋_GB2312" w:eastAsia="仿宋_GB2312" w:cs="仿宋_GB2312"/>
          <w:sz w:val="28"/>
          <w:szCs w:val="28"/>
        </w:rPr>
        <w:t>分，自评得分</w:t>
      </w:r>
      <w:r>
        <w:rPr>
          <w:rFonts w:hint="eastAsia" w:cs="仿宋_GB2312"/>
          <w:sz w:val="28"/>
          <w:szCs w:val="28"/>
          <w:lang w:val="en-US" w:eastAsia="zh-CN"/>
        </w:rPr>
        <w:t>3.12</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5"/>
        <w:keepNext/>
        <w:keepLines/>
        <w:widowControl w:val="0"/>
        <w:wordWrap/>
        <w:adjustRightInd/>
        <w:snapToGrid/>
        <w:ind w:firstLine="562"/>
        <w:textAlignment w:val="auto"/>
        <w:rPr>
          <w:rFonts w:hint="eastAsia"/>
          <w:lang w:val="en-US" w:eastAsia="zh-CN"/>
        </w:rPr>
      </w:pPr>
      <w:r>
        <w:rPr>
          <w:rFonts w:hint="eastAsia"/>
          <w:lang w:val="en-US" w:eastAsia="zh-CN"/>
        </w:rPr>
        <w:t>4.能力建设</w:t>
      </w:r>
    </w:p>
    <w:p>
      <w:pPr>
        <w:widowControl w:val="0"/>
        <w:wordWrap/>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5</w:t>
      </w:r>
      <w:r>
        <w:rPr>
          <w:rFonts w:hint="eastAsia"/>
          <w:highlight w:val="none"/>
        </w:rPr>
        <w:t>个三级指标。</w:t>
      </w:r>
      <w:r>
        <w:rPr>
          <w:rFonts w:hint="eastAsia"/>
        </w:rPr>
        <w:t>能力建设</w:t>
      </w:r>
      <w:r>
        <w:rPr>
          <w:rFonts w:hint="eastAsia"/>
          <w:highlight w:val="none"/>
        </w:rPr>
        <w:t>指标</w:t>
      </w:r>
      <w:r>
        <w:rPr>
          <w:rFonts w:hint="eastAsia"/>
        </w:rPr>
        <w:t>分值</w:t>
      </w:r>
      <w:r>
        <w:t>10分，自评得分10分，得分率</w:t>
      </w:r>
      <w:r>
        <w:rPr>
          <w:rFonts w:hint="eastAsia"/>
          <w:lang w:eastAsia="zh-CN"/>
        </w:rPr>
        <w:t>100.00%</w:t>
      </w:r>
      <w:r>
        <w:t>。</w:t>
      </w:r>
    </w:p>
    <w:tbl>
      <w:tblPr>
        <w:tblStyle w:val="27"/>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625"/>
        <w:gridCol w:w="2535"/>
        <w:gridCol w:w="1155"/>
        <w:gridCol w:w="1080"/>
        <w:gridCol w:w="818"/>
        <w:gridCol w:w="81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二级指标</w:t>
            </w:r>
          </w:p>
        </w:tc>
        <w:tc>
          <w:tcPr>
            <w:tcW w:w="2535" w:type="dxa"/>
            <w:shd w:val="clear" w:color="auto" w:fill="BDD6EE"/>
            <w:vAlign w:val="center"/>
          </w:tcPr>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三级指标</w:t>
            </w:r>
          </w:p>
        </w:tc>
        <w:tc>
          <w:tcPr>
            <w:tcW w:w="1155" w:type="dxa"/>
            <w:shd w:val="clear" w:color="auto" w:fill="BDD6EE"/>
            <w:vAlign w:val="center"/>
          </w:tcPr>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年度指标值</w:t>
            </w:r>
          </w:p>
        </w:tc>
        <w:tc>
          <w:tcPr>
            <w:tcW w:w="1080" w:type="dxa"/>
            <w:shd w:val="clear" w:color="auto" w:fill="BDD6EE"/>
            <w:vAlign w:val="center"/>
          </w:tcPr>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实际完成值</w:t>
            </w:r>
          </w:p>
        </w:tc>
        <w:tc>
          <w:tcPr>
            <w:tcW w:w="818"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分值</w:t>
            </w:r>
          </w:p>
        </w:tc>
        <w:tc>
          <w:tcPr>
            <w:tcW w:w="810"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自评得分</w:t>
            </w:r>
          </w:p>
        </w:tc>
        <w:tc>
          <w:tcPr>
            <w:tcW w:w="1046"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625" w:type="dxa"/>
            <w:vMerge w:val="restart"/>
            <w:vAlign w:val="center"/>
          </w:tcPr>
          <w:p>
            <w:pPr>
              <w:widowControl/>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长效管理</w:t>
            </w:r>
          </w:p>
        </w:tc>
        <w:tc>
          <w:tcPr>
            <w:tcW w:w="2535" w:type="dxa"/>
            <w:vAlign w:val="center"/>
          </w:tcPr>
          <w:p>
            <w:pPr>
              <w:widowControl/>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中期规划建设完备程度</w:t>
            </w:r>
          </w:p>
        </w:tc>
        <w:tc>
          <w:tcPr>
            <w:tcW w:w="1155"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完备</w:t>
            </w:r>
          </w:p>
        </w:tc>
        <w:tc>
          <w:tcPr>
            <w:tcW w:w="1080"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98%</w:t>
            </w:r>
          </w:p>
        </w:tc>
        <w:tc>
          <w:tcPr>
            <w:tcW w:w="818"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p>
        </w:tc>
        <w:tc>
          <w:tcPr>
            <w:tcW w:w="810"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46" w:type="dxa"/>
            <w:vAlign w:val="center"/>
          </w:tcPr>
          <w:p>
            <w:pPr>
              <w:widowControl/>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625"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253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党建工作开展规律性</w:t>
            </w:r>
          </w:p>
        </w:tc>
        <w:tc>
          <w:tcPr>
            <w:tcW w:w="115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规律</w:t>
            </w:r>
          </w:p>
        </w:tc>
        <w:tc>
          <w:tcPr>
            <w:tcW w:w="108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100.00%</w:t>
            </w:r>
          </w:p>
        </w:tc>
        <w:tc>
          <w:tcPr>
            <w:tcW w:w="818" w:type="dxa"/>
            <w:vAlign w:val="center"/>
          </w:tcPr>
          <w:p>
            <w:pPr>
              <w:widowControl/>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p>
        </w:tc>
        <w:tc>
          <w:tcPr>
            <w:tcW w:w="81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625" w:type="dxa"/>
            <w:vMerge w:val="continue"/>
            <w:vAlign w:val="center"/>
          </w:tcPr>
          <w:p>
            <w:pPr>
              <w:jc w:val="center"/>
              <w:rPr>
                <w:rFonts w:hint="eastAsia" w:ascii="宋体" w:hAnsi="宋体" w:eastAsia="宋体" w:cs="宋体"/>
                <w:i w:val="0"/>
                <w:iCs w:val="0"/>
                <w:color w:val="333333"/>
                <w:kern w:val="0"/>
                <w:sz w:val="22"/>
                <w:szCs w:val="22"/>
                <w:u w:val="none"/>
                <w:lang w:val="en-US" w:eastAsia="zh-CN"/>
              </w:rPr>
            </w:pPr>
          </w:p>
        </w:tc>
        <w:tc>
          <w:tcPr>
            <w:tcW w:w="253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信息化管理覆盖率</w:t>
            </w:r>
          </w:p>
        </w:tc>
        <w:tc>
          <w:tcPr>
            <w:tcW w:w="115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c>
          <w:tcPr>
            <w:tcW w:w="108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98%</w:t>
            </w:r>
          </w:p>
        </w:tc>
        <w:tc>
          <w:tcPr>
            <w:tcW w:w="818"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p>
        </w:tc>
        <w:tc>
          <w:tcPr>
            <w:tcW w:w="81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62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人力资源建设</w:t>
            </w:r>
          </w:p>
        </w:tc>
        <w:tc>
          <w:tcPr>
            <w:tcW w:w="253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人员培训机制完备性</w:t>
            </w:r>
          </w:p>
        </w:tc>
        <w:tc>
          <w:tcPr>
            <w:tcW w:w="115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完备</w:t>
            </w:r>
          </w:p>
        </w:tc>
        <w:tc>
          <w:tcPr>
            <w:tcW w:w="108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98%</w:t>
            </w:r>
          </w:p>
        </w:tc>
        <w:tc>
          <w:tcPr>
            <w:tcW w:w="818"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p>
        </w:tc>
        <w:tc>
          <w:tcPr>
            <w:tcW w:w="81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625" w:type="dxa"/>
            <w:vAlign w:val="center"/>
          </w:tcPr>
          <w:p>
            <w:pPr>
              <w:widowControl/>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档案管理</w:t>
            </w:r>
          </w:p>
        </w:tc>
        <w:tc>
          <w:tcPr>
            <w:tcW w:w="2535" w:type="dxa"/>
            <w:vAlign w:val="center"/>
          </w:tcPr>
          <w:p>
            <w:pPr>
              <w:widowControl/>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档案管理完备性</w:t>
            </w:r>
          </w:p>
        </w:tc>
        <w:tc>
          <w:tcPr>
            <w:tcW w:w="1155"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完备</w:t>
            </w:r>
          </w:p>
        </w:tc>
        <w:tc>
          <w:tcPr>
            <w:tcW w:w="1080"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100.00%</w:t>
            </w:r>
          </w:p>
        </w:tc>
        <w:tc>
          <w:tcPr>
            <w:tcW w:w="818"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w:t>
            </w:r>
          </w:p>
        </w:tc>
        <w:tc>
          <w:tcPr>
            <w:tcW w:w="810"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2"/>
                <w:szCs w:val="22"/>
                <w:u w:val="none"/>
                <w:lang w:val="en-US" w:eastAsia="zh-CN"/>
              </w:rPr>
              <w:t>2</w:t>
            </w:r>
          </w:p>
        </w:tc>
        <w:tc>
          <w:tcPr>
            <w:tcW w:w="1046" w:type="dxa"/>
            <w:vAlign w:val="center"/>
          </w:tcPr>
          <w:p>
            <w:pPr>
              <w:widowControl/>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625" w:type="dxa"/>
            <w:shd w:val="clear" w:color="auto" w:fill="BDD6EE"/>
            <w:vAlign w:val="center"/>
          </w:tcPr>
          <w:p>
            <w:pPr>
              <w:widowControl/>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合计</w:t>
            </w:r>
          </w:p>
        </w:tc>
        <w:tc>
          <w:tcPr>
            <w:tcW w:w="253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80"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18" w:type="dxa"/>
            <w:shd w:val="clear" w:color="auto" w:fill="BDD6EE"/>
            <w:vAlign w:val="center"/>
          </w:tcPr>
          <w:p>
            <w:pPr>
              <w:widowControl/>
              <w:wordWrap/>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10" w:type="dxa"/>
            <w:shd w:val="clear" w:color="auto" w:fill="BDD6EE"/>
            <w:vAlign w:val="center"/>
          </w:tcPr>
          <w:p>
            <w:pPr>
              <w:widowControl/>
              <w:wordWrap/>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pPr>
              <w:widowControl/>
              <w:wordWrap/>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100.00%</w:t>
            </w:r>
          </w:p>
        </w:tc>
      </w:tr>
    </w:tbl>
    <w:p>
      <w:pPr>
        <w:pStyle w:val="36"/>
        <w:widowControl w:val="0"/>
        <w:wordWrap/>
        <w:adjustRightInd/>
        <w:snapToGrid/>
        <w:ind w:firstLine="562" w:firstLineChars="200"/>
        <w:jc w:val="both"/>
        <w:textAlignment w:val="auto"/>
        <w:rPr>
          <w:rFonts w:hint="eastAsia" w:ascii="仿宋_GB2312" w:hAnsi="宋体" w:eastAsia="仿宋_GB2312" w:cs="黑体"/>
          <w:b w:val="0"/>
          <w:bCs w:val="0"/>
          <w:kern w:val="2"/>
          <w:sz w:val="28"/>
          <w:szCs w:val="28"/>
          <w:lang w:val="en-US" w:eastAsia="zh-CN" w:bidi="ar-SA"/>
        </w:rPr>
      </w:pPr>
      <w:bookmarkStart w:id="50" w:name="_Toc12558"/>
      <w:bookmarkStart w:id="51" w:name="_Toc3174"/>
      <w:bookmarkStart w:id="52" w:name="_Toc16731"/>
      <w:bookmarkStart w:id="53" w:name="_Toc16525"/>
      <w:bookmarkStart w:id="54" w:name="_Toc40046035"/>
      <w:r>
        <w:rPr>
          <w:rFonts w:hint="eastAsia" w:ascii="仿宋_GB2312" w:hAnsi="宋体" w:eastAsia="仿宋_GB2312" w:cs="黑体"/>
          <w:b/>
          <w:bCs/>
          <w:kern w:val="2"/>
          <w:sz w:val="28"/>
          <w:szCs w:val="28"/>
          <w:lang w:val="en-US" w:eastAsia="zh-CN" w:bidi="ar-SA"/>
        </w:rPr>
        <w:t>中期规划建设完备程度：</w:t>
      </w:r>
      <w:r>
        <w:rPr>
          <w:rFonts w:hint="eastAsia" w:ascii="仿宋_GB2312" w:hAnsi="宋体" w:eastAsia="仿宋_GB2312" w:cs="黑体"/>
          <w:b w:val="0"/>
          <w:bCs w:val="0"/>
          <w:kern w:val="2"/>
          <w:sz w:val="28"/>
          <w:szCs w:val="28"/>
          <w:lang w:val="en-US" w:eastAsia="zh-CN" w:bidi="ar-SA"/>
        </w:rPr>
        <w:t>我院中期规划完整清晰、内容全面可行，能够为</w:t>
      </w:r>
      <w:r>
        <w:rPr>
          <w:rFonts w:hint="eastAsia" w:hAnsi="宋体" w:cs="黑体"/>
          <w:b w:val="0"/>
          <w:bCs w:val="0"/>
          <w:kern w:val="2"/>
          <w:sz w:val="28"/>
          <w:szCs w:val="28"/>
          <w:lang w:val="en-US" w:eastAsia="zh-CN" w:bidi="ar-SA"/>
        </w:rPr>
        <w:t>以后</w:t>
      </w:r>
      <w:r>
        <w:rPr>
          <w:rFonts w:hint="eastAsia" w:ascii="仿宋_GB2312" w:hAnsi="宋体" w:eastAsia="仿宋_GB2312" w:cs="黑体"/>
          <w:b w:val="0"/>
          <w:bCs w:val="0"/>
          <w:kern w:val="2"/>
          <w:sz w:val="28"/>
          <w:szCs w:val="28"/>
          <w:highlight w:val="none"/>
          <w:lang w:val="en-US" w:eastAsia="zh-CN" w:bidi="ar-SA"/>
        </w:rPr>
        <w:t>的工作明确目标、方向和内容，达到年度指标值。该指标分值</w:t>
      </w:r>
      <w:r>
        <w:rPr>
          <w:rFonts w:hint="eastAsia" w:hAnsi="宋体" w:cs="黑体"/>
          <w:b w:val="0"/>
          <w:bCs w:val="0"/>
          <w:kern w:val="2"/>
          <w:sz w:val="28"/>
          <w:szCs w:val="28"/>
          <w:highlight w:val="none"/>
          <w:lang w:val="en-US" w:eastAsia="zh-CN" w:bidi="ar-SA"/>
        </w:rPr>
        <w:t>2</w:t>
      </w:r>
      <w:r>
        <w:rPr>
          <w:rFonts w:hint="eastAsia" w:ascii="仿宋_GB2312" w:hAnsi="宋体" w:eastAsia="仿宋_GB2312" w:cs="黑体"/>
          <w:b w:val="0"/>
          <w:bCs w:val="0"/>
          <w:kern w:val="2"/>
          <w:sz w:val="28"/>
          <w:szCs w:val="28"/>
          <w:highlight w:val="none"/>
          <w:lang w:val="en-US" w:eastAsia="zh-CN" w:bidi="ar-SA"/>
        </w:rPr>
        <w:t>分，自评得分为</w:t>
      </w:r>
      <w:r>
        <w:rPr>
          <w:rFonts w:hint="eastAsia" w:hAnsi="宋体" w:cs="黑体"/>
          <w:b w:val="0"/>
          <w:bCs w:val="0"/>
          <w:kern w:val="2"/>
          <w:sz w:val="28"/>
          <w:szCs w:val="28"/>
          <w:highlight w:val="none"/>
          <w:lang w:val="en-US" w:eastAsia="zh-CN" w:bidi="ar-SA"/>
        </w:rPr>
        <w:t>2</w:t>
      </w:r>
      <w:r>
        <w:rPr>
          <w:rFonts w:hint="eastAsia" w:ascii="仿宋_GB2312" w:hAnsi="宋体" w:eastAsia="仿宋_GB2312" w:cs="黑体"/>
          <w:b w:val="0"/>
          <w:bCs w:val="0"/>
          <w:kern w:val="2"/>
          <w:sz w:val="28"/>
          <w:szCs w:val="28"/>
          <w:highlight w:val="none"/>
          <w:lang w:val="en-US" w:eastAsia="zh-CN" w:bidi="ar-SA"/>
        </w:rPr>
        <w:t>分，得分率</w:t>
      </w:r>
      <w:r>
        <w:rPr>
          <w:rFonts w:hint="eastAsia" w:hAnsi="宋体" w:cs="黑体"/>
          <w:b w:val="0"/>
          <w:bCs w:val="0"/>
          <w:kern w:val="2"/>
          <w:sz w:val="28"/>
          <w:szCs w:val="28"/>
          <w:highlight w:val="none"/>
          <w:lang w:val="en-US" w:eastAsia="zh-CN" w:bidi="ar-SA"/>
        </w:rPr>
        <w:t>100.00%</w:t>
      </w:r>
      <w:r>
        <w:rPr>
          <w:rFonts w:hint="eastAsia" w:ascii="仿宋_GB2312" w:hAnsi="宋体" w:eastAsia="仿宋_GB2312" w:cs="黑体"/>
          <w:b w:val="0"/>
          <w:bCs w:val="0"/>
          <w:kern w:val="2"/>
          <w:sz w:val="28"/>
          <w:szCs w:val="28"/>
          <w:highlight w:val="none"/>
          <w:lang w:val="en-US" w:eastAsia="zh-CN" w:bidi="ar-SA"/>
        </w:rPr>
        <w:t>。</w:t>
      </w:r>
    </w:p>
    <w:p>
      <w:pPr>
        <w:ind w:firstLine="562"/>
        <w:rPr>
          <w:rFonts w:hint="eastAsia" w:hAnsi="宋体"/>
          <w:szCs w:val="28"/>
        </w:rPr>
      </w:pPr>
      <w:r>
        <w:rPr>
          <w:rFonts w:hint="eastAsia" w:hAnsi="宋体"/>
          <w:b/>
          <w:bCs/>
          <w:szCs w:val="28"/>
          <w:lang w:eastAsia="zh-CN"/>
        </w:rPr>
        <w:t>党建工作开展规律性：</w:t>
      </w:r>
      <w:r>
        <w:rPr>
          <w:rFonts w:hint="eastAsia" w:hAnsi="宋体"/>
          <w:b w:val="0"/>
          <w:bCs w:val="0"/>
          <w:szCs w:val="28"/>
          <w:lang w:val="en-US" w:eastAsia="zh-CN"/>
        </w:rPr>
        <w:t>2023年我院</w:t>
      </w:r>
      <w:r>
        <w:rPr>
          <w:rFonts w:hint="eastAsia" w:ascii="仿宋_GB2312" w:hAnsi="仿宋_GB2312" w:eastAsia="仿宋_GB2312" w:cs="仿宋_GB2312"/>
          <w:b w:val="0"/>
          <w:bCs w:val="0"/>
          <w:spacing w:val="4"/>
          <w:sz w:val="28"/>
          <w:szCs w:val="28"/>
        </w:rPr>
        <w:t>不</w:t>
      </w:r>
      <w:r>
        <w:rPr>
          <w:rFonts w:hint="eastAsia" w:ascii="仿宋_GB2312" w:hAnsi="仿宋_GB2312" w:eastAsia="仿宋_GB2312" w:cs="仿宋_GB2312"/>
          <w:spacing w:val="4"/>
          <w:sz w:val="28"/>
          <w:szCs w:val="28"/>
        </w:rPr>
        <w:t>断巩固全面从严治党建设成果</w:t>
      </w:r>
      <w:r>
        <w:rPr>
          <w:rFonts w:hint="eastAsia" w:cs="仿宋_GB2312"/>
          <w:spacing w:val="4"/>
          <w:sz w:val="28"/>
          <w:szCs w:val="28"/>
          <w:lang w:eastAsia="zh-CN"/>
        </w:rPr>
        <w:t>，</w:t>
      </w:r>
      <w:r>
        <w:rPr>
          <w:rFonts w:hint="eastAsia" w:ascii="仿宋_GB2312" w:hAnsi="仿宋_GB2312" w:eastAsia="仿宋_GB2312" w:cs="仿宋_GB2312"/>
          <w:spacing w:val="4"/>
          <w:sz w:val="28"/>
          <w:szCs w:val="28"/>
        </w:rPr>
        <w:t>强化党组主体责任，坚持高标准和守底线、抓惩治和抓责任、补短板和推改革、放权力和严监管相统一，党组较好的发挥了把方向、管大局、促担当、保落实的职能作用</w:t>
      </w:r>
      <w:r>
        <w:rPr>
          <w:rFonts w:hint="eastAsia" w:cs="仿宋_GB2312"/>
          <w:spacing w:val="4"/>
          <w:sz w:val="28"/>
          <w:szCs w:val="28"/>
          <w:lang w:eastAsia="zh-CN"/>
        </w:rPr>
        <w:t>，党建工作开展规律。</w:t>
      </w:r>
      <w:r>
        <w:rPr>
          <w:rFonts w:hint="eastAsia" w:hAnsi="宋体"/>
          <w:szCs w:val="28"/>
        </w:rPr>
        <w:t>该指标分值</w:t>
      </w:r>
      <w:r>
        <w:rPr>
          <w:rFonts w:hint="eastAsia" w:hAnsi="宋体"/>
          <w:szCs w:val="28"/>
          <w:lang w:val="en-US" w:eastAsia="zh-CN"/>
        </w:rPr>
        <w:t>2</w:t>
      </w:r>
      <w:r>
        <w:rPr>
          <w:rFonts w:hint="eastAsia" w:hAnsi="宋体"/>
          <w:szCs w:val="28"/>
        </w:rPr>
        <w:t>分，根据评分标准本项得满分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pPr>
        <w:widowControl w:val="0"/>
        <w:wordWrap/>
        <w:adjustRightInd/>
        <w:snapToGrid/>
        <w:ind w:left="0" w:leftChars="0" w:firstLine="562" w:firstLineChars="200"/>
        <w:jc w:val="both"/>
        <w:textAlignment w:val="auto"/>
        <w:rPr>
          <w:rFonts w:hint="eastAsia" w:hAnsi="宋体" w:cs="黑体"/>
          <w:b/>
          <w:bCs/>
          <w:color w:val="auto"/>
          <w:kern w:val="2"/>
          <w:sz w:val="28"/>
          <w:szCs w:val="28"/>
          <w:lang w:val="en-US" w:eastAsia="zh-CN" w:bidi="ar-SA"/>
        </w:rPr>
      </w:pPr>
      <w:r>
        <w:rPr>
          <w:rFonts w:hint="eastAsia" w:ascii="仿宋_GB2312" w:hAnsi="宋体" w:eastAsia="仿宋_GB2312" w:cs="黑体"/>
          <w:b/>
          <w:bCs/>
          <w:color w:val="auto"/>
          <w:kern w:val="2"/>
          <w:sz w:val="28"/>
          <w:szCs w:val="28"/>
          <w:lang w:val="en-US" w:eastAsia="zh-CN" w:bidi="ar-SA"/>
        </w:rPr>
        <w:t>信息化管理覆盖率</w:t>
      </w:r>
      <w:r>
        <w:rPr>
          <w:rFonts w:hint="eastAsia" w:hAnsi="宋体" w:cs="黑体"/>
          <w:b/>
          <w:bCs/>
          <w:color w:val="auto"/>
          <w:kern w:val="2"/>
          <w:sz w:val="28"/>
          <w:szCs w:val="28"/>
          <w:lang w:val="en-US" w:eastAsia="zh-CN" w:bidi="ar-SA"/>
        </w:rPr>
        <w:t>：</w:t>
      </w:r>
      <w:r>
        <w:rPr>
          <w:rFonts w:hint="eastAsia" w:hAnsi="宋体" w:cs="黑体"/>
          <w:b w:val="0"/>
          <w:bCs w:val="0"/>
          <w:color w:val="auto"/>
          <w:kern w:val="2"/>
          <w:sz w:val="28"/>
          <w:szCs w:val="28"/>
          <w:lang w:val="en-US" w:eastAsia="zh-CN" w:bidi="ar-SA"/>
        </w:rPr>
        <w:t>我院信息化管理覆盖率98%，</w:t>
      </w:r>
      <w:r>
        <w:rPr>
          <w:rFonts w:hint="eastAsia" w:hAnsi="宋体"/>
          <w:szCs w:val="28"/>
        </w:rPr>
        <w:t>该指标分值</w:t>
      </w:r>
      <w:r>
        <w:rPr>
          <w:rFonts w:hint="eastAsia" w:hAnsi="宋体"/>
          <w:szCs w:val="28"/>
          <w:lang w:val="en-US" w:eastAsia="zh-CN"/>
        </w:rPr>
        <w:t>2</w:t>
      </w:r>
      <w:r>
        <w:rPr>
          <w:rFonts w:hint="eastAsia" w:hAnsi="宋体"/>
          <w:szCs w:val="28"/>
        </w:rPr>
        <w:t>分，根据评分标准本项得满分</w:t>
      </w:r>
      <w:r>
        <w:rPr>
          <w:rFonts w:hint="eastAsia" w:hAnsi="宋体"/>
          <w:szCs w:val="28"/>
          <w:lang w:val="en-US" w:eastAsia="zh-CN"/>
        </w:rPr>
        <w:t>2</w:t>
      </w:r>
      <w:r>
        <w:rPr>
          <w:rFonts w:hint="eastAsia" w:hAnsi="宋体"/>
          <w:szCs w:val="28"/>
        </w:rPr>
        <w:t>分，得分率为</w:t>
      </w:r>
      <w:r>
        <w:rPr>
          <w:rFonts w:hint="eastAsia" w:hAnsi="宋体"/>
          <w:szCs w:val="28"/>
          <w:lang w:eastAsia="zh-CN"/>
        </w:rPr>
        <w:t>100.00%</w:t>
      </w:r>
      <w:r>
        <w:rPr>
          <w:rFonts w:hint="eastAsia" w:hAnsi="宋体"/>
          <w:szCs w:val="28"/>
        </w:rPr>
        <w:t>。</w:t>
      </w:r>
    </w:p>
    <w:p>
      <w:pPr>
        <w:widowControl w:val="0"/>
        <w:wordWrap/>
        <w:adjustRightInd/>
        <w:snapToGrid/>
        <w:ind w:left="0" w:leftChars="0" w:firstLine="562" w:firstLineChars="200"/>
        <w:jc w:val="both"/>
        <w:textAlignment w:val="auto"/>
        <w:rPr>
          <w:rFonts w:hint="eastAsia" w:hAnsi="宋体"/>
          <w:szCs w:val="28"/>
        </w:rPr>
      </w:pPr>
      <w:r>
        <w:rPr>
          <w:rFonts w:hint="eastAsia" w:ascii="仿宋_GB2312" w:hAnsi="宋体" w:eastAsia="仿宋_GB2312" w:cs="黑体"/>
          <w:b/>
          <w:bCs/>
          <w:color w:val="auto"/>
          <w:kern w:val="2"/>
          <w:sz w:val="28"/>
          <w:szCs w:val="28"/>
          <w:lang w:val="en-US" w:eastAsia="zh-CN" w:bidi="ar-SA"/>
        </w:rPr>
        <w:t>人员培训机制完备性：</w:t>
      </w:r>
      <w:r>
        <w:rPr>
          <w:rFonts w:hint="eastAsia" w:hAnsi="宋体" w:cs="黑体"/>
          <w:b w:val="0"/>
          <w:bCs w:val="0"/>
          <w:color w:val="auto"/>
          <w:kern w:val="2"/>
          <w:sz w:val="28"/>
          <w:szCs w:val="28"/>
          <w:lang w:val="en-US" w:eastAsia="zh-CN" w:bidi="ar-SA"/>
        </w:rPr>
        <w:t>我院</w:t>
      </w:r>
      <w:r>
        <w:rPr>
          <w:rFonts w:hint="eastAsia" w:hAnsi="宋体"/>
          <w:b w:val="0"/>
          <w:bCs w:val="0"/>
          <w:szCs w:val="28"/>
        </w:rPr>
        <w:t>定期</w:t>
      </w:r>
      <w:r>
        <w:rPr>
          <w:rFonts w:hint="eastAsia" w:hAnsi="宋体"/>
          <w:szCs w:val="28"/>
        </w:rPr>
        <w:t>组织开展内部学习与培训，</w:t>
      </w:r>
      <w:r>
        <w:rPr>
          <w:rFonts w:hint="eastAsia"/>
          <w:szCs w:val="32"/>
        </w:rPr>
        <w:t>增强业务素养，为加强全院干警政治理论和业务学习，提高干警政治业务素质，提供了制度保障，人员培训机制健全</w:t>
      </w:r>
      <w:r>
        <w:rPr>
          <w:rFonts w:hint="eastAsia"/>
        </w:rPr>
        <w:t>。</w:t>
      </w:r>
      <w:r>
        <w:rPr>
          <w:rFonts w:hint="eastAsia" w:hAnsi="宋体"/>
          <w:szCs w:val="28"/>
        </w:rPr>
        <w:t>该指标分值</w:t>
      </w:r>
      <w:r>
        <w:rPr>
          <w:rFonts w:hint="eastAsia" w:hAnsi="宋体" w:cs="黑体"/>
          <w:b w:val="0"/>
          <w:bCs w:val="0"/>
          <w:kern w:val="2"/>
          <w:sz w:val="28"/>
          <w:szCs w:val="28"/>
          <w:highlight w:val="none"/>
          <w:lang w:val="en-US" w:eastAsia="zh-CN" w:bidi="ar-SA"/>
        </w:rPr>
        <w:t>2</w:t>
      </w:r>
      <w:r>
        <w:rPr>
          <w:rFonts w:hint="eastAsia" w:hAnsi="宋体"/>
          <w:szCs w:val="28"/>
        </w:rPr>
        <w:t>分，自评得分</w:t>
      </w:r>
      <w:r>
        <w:rPr>
          <w:rFonts w:hint="eastAsia" w:hAnsi="宋体" w:cs="黑体"/>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ind w:firstLine="562"/>
        <w:rPr>
          <w:rFonts w:hint="eastAsia"/>
          <w:lang w:eastAsia="zh-CN"/>
        </w:rPr>
      </w:pPr>
      <w:r>
        <w:rPr>
          <w:rFonts w:hint="eastAsia" w:hAnsi="宋体" w:cs="黑体"/>
          <w:b/>
          <w:bCs/>
          <w:color w:val="auto"/>
          <w:kern w:val="2"/>
          <w:sz w:val="28"/>
          <w:szCs w:val="28"/>
          <w:lang w:val="en-US" w:eastAsia="zh-CN" w:bidi="ar-SA"/>
        </w:rPr>
        <w:t>档案管理</w:t>
      </w:r>
      <w:r>
        <w:rPr>
          <w:rFonts w:hint="eastAsia" w:ascii="仿宋_GB2312" w:hAnsi="宋体" w:eastAsia="仿宋_GB2312" w:cs="黑体"/>
          <w:b/>
          <w:bCs/>
          <w:color w:val="auto"/>
          <w:kern w:val="2"/>
          <w:sz w:val="28"/>
          <w:szCs w:val="28"/>
          <w:lang w:val="en-US" w:eastAsia="zh-CN" w:bidi="ar-SA"/>
        </w:rPr>
        <w:t>完备性：</w:t>
      </w:r>
      <w:r>
        <w:rPr>
          <w:rFonts w:hint="eastAsia" w:hAnsi="宋体"/>
          <w:szCs w:val="28"/>
        </w:rPr>
        <w:t>我院</w:t>
      </w:r>
      <w:r>
        <w:rPr>
          <w:rFonts w:hint="eastAsia"/>
          <w:szCs w:val="32"/>
        </w:rPr>
        <w:t>规范档案管理工作，大力推进档案数字化进程，采购计算机输入输出系统及档案数字化录入系统，严格按照档案管理办法和上级法院及档案局的要求，规范和完善各项档案管理工作。</w:t>
      </w:r>
      <w:r>
        <w:rPr>
          <w:rFonts w:hint="eastAsia" w:hAnsi="宋体"/>
          <w:szCs w:val="28"/>
        </w:rPr>
        <w:t>该指标分值</w:t>
      </w:r>
      <w:r>
        <w:rPr>
          <w:rFonts w:hint="eastAsia" w:hAnsi="宋体" w:cs="黑体"/>
          <w:b w:val="0"/>
          <w:bCs w:val="0"/>
          <w:kern w:val="2"/>
          <w:sz w:val="28"/>
          <w:szCs w:val="28"/>
          <w:highlight w:val="none"/>
          <w:lang w:val="en-US" w:eastAsia="zh-CN" w:bidi="ar-SA"/>
        </w:rPr>
        <w:t>2</w:t>
      </w:r>
      <w:r>
        <w:rPr>
          <w:rFonts w:hint="eastAsia" w:hAnsi="宋体"/>
          <w:szCs w:val="28"/>
        </w:rPr>
        <w:t>分，自评得分</w:t>
      </w:r>
      <w:r>
        <w:rPr>
          <w:rFonts w:hint="eastAsia" w:hAnsi="宋体" w:cs="黑体"/>
          <w:b w:val="0"/>
          <w:bCs w:val="0"/>
          <w:kern w:val="2"/>
          <w:sz w:val="28"/>
          <w:szCs w:val="28"/>
          <w:highlight w:val="none"/>
          <w:lang w:val="en-US" w:eastAsia="zh-CN" w:bidi="ar-SA"/>
        </w:rPr>
        <w:t>2</w:t>
      </w:r>
      <w:r>
        <w:rPr>
          <w:rFonts w:hint="eastAsia" w:hAnsi="宋体"/>
          <w:szCs w:val="28"/>
        </w:rPr>
        <w:t>分，得分率</w:t>
      </w:r>
      <w:r>
        <w:rPr>
          <w:rFonts w:hint="eastAsia" w:hAnsi="宋体"/>
          <w:szCs w:val="28"/>
          <w:lang w:eastAsia="zh-CN"/>
        </w:rPr>
        <w:t>100.00%</w:t>
      </w:r>
      <w:r>
        <w:rPr>
          <w:rFonts w:hint="eastAsia" w:hAnsi="宋体"/>
          <w:szCs w:val="28"/>
        </w:rPr>
        <w:t>。</w:t>
      </w:r>
    </w:p>
    <w:p>
      <w:pPr>
        <w:pStyle w:val="4"/>
        <w:keepNext/>
        <w:keepLines/>
        <w:widowControl w:val="0"/>
        <w:numPr>
          <w:numId w:val="0"/>
        </w:numPr>
        <w:wordWrap/>
        <w:adjustRightInd/>
        <w:snapToGrid/>
        <w:spacing w:before="0" w:after="0"/>
        <w:ind w:leftChars="0" w:firstLine="643" w:firstLineChars="200"/>
        <w:jc w:val="both"/>
        <w:textAlignment w:val="auto"/>
      </w:pPr>
      <w:bookmarkStart w:id="55" w:name="_Toc10079"/>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50"/>
      <w:bookmarkEnd w:id="51"/>
      <w:bookmarkEnd w:id="52"/>
      <w:bookmarkEnd w:id="53"/>
      <w:bookmarkEnd w:id="54"/>
      <w:bookmarkEnd w:id="55"/>
    </w:p>
    <w:p>
      <w:pPr>
        <w:pStyle w:val="36"/>
        <w:widowControl w:val="0"/>
        <w:wordWrap/>
        <w:adjustRightInd/>
        <w:snapToGrid/>
        <w:ind w:left="0" w:leftChars="0" w:firstLine="560" w:firstLineChars="200"/>
        <w:jc w:val="both"/>
        <w:textAlignment w:val="auto"/>
        <w:rPr>
          <w:rFonts w:hint="eastAsia" w:hAnsi="宋体"/>
          <w:szCs w:val="28"/>
          <w:lang w:eastAsia="zh-CN"/>
        </w:rPr>
      </w:pPr>
      <w:bookmarkStart w:id="56" w:name="_Toc20021"/>
      <w:r>
        <w:rPr>
          <w:rFonts w:hint="eastAsia" w:hAnsi="宋体"/>
          <w:szCs w:val="28"/>
        </w:rPr>
        <w:t>一审服判息诉率实际完成值</w:t>
      </w:r>
      <w:r>
        <w:rPr>
          <w:rFonts w:hint="eastAsia" w:hAnsi="宋体"/>
          <w:szCs w:val="28"/>
          <w:lang w:eastAsia="zh-CN"/>
        </w:rPr>
        <w:t>较目标值偏低</w:t>
      </w:r>
      <w:r>
        <w:rPr>
          <w:rFonts w:hint="eastAsia" w:hAnsi="宋体"/>
          <w:szCs w:val="28"/>
        </w:rPr>
        <w:t>，案件上诉率（%）</w:t>
      </w:r>
      <w:r>
        <w:rPr>
          <w:rFonts w:hint="eastAsia" w:hAnsi="宋体"/>
          <w:szCs w:val="28"/>
          <w:lang w:eastAsia="zh-CN"/>
        </w:rPr>
        <w:t>、单位获奖情况</w:t>
      </w:r>
      <w:r>
        <w:rPr>
          <w:rFonts w:hint="eastAsia" w:hAnsi="宋体"/>
          <w:szCs w:val="28"/>
        </w:rPr>
        <w:t>实际完成值</w:t>
      </w:r>
      <w:r>
        <w:rPr>
          <w:rFonts w:hint="eastAsia" w:hAnsi="宋体"/>
          <w:szCs w:val="28"/>
          <w:lang w:eastAsia="zh-CN"/>
        </w:rPr>
        <w:t>较目标值偏高</w:t>
      </w:r>
      <w:r>
        <w:rPr>
          <w:rFonts w:hint="eastAsia" w:hAnsi="宋体"/>
          <w:szCs w:val="28"/>
        </w:rPr>
        <w:t>，我院将严格</w:t>
      </w:r>
      <w:r>
        <w:rPr>
          <w:rFonts w:hint="eastAsia" w:hAnsi="宋体"/>
          <w:szCs w:val="28"/>
          <w:lang w:eastAsia="zh-CN"/>
        </w:rPr>
        <w:t>参</w:t>
      </w:r>
      <w:r>
        <w:rPr>
          <w:rFonts w:hint="eastAsia" w:hAnsi="宋体"/>
          <w:szCs w:val="28"/>
        </w:rPr>
        <w:t>照</w:t>
      </w:r>
      <w:r>
        <w:rPr>
          <w:rFonts w:hint="eastAsia" w:hAnsi="宋体"/>
          <w:szCs w:val="28"/>
          <w:lang w:eastAsia="zh-CN"/>
        </w:rPr>
        <w:t>本年实际发生</w:t>
      </w:r>
      <w:r>
        <w:rPr>
          <w:rFonts w:hint="eastAsia" w:hAnsi="宋体"/>
          <w:szCs w:val="28"/>
        </w:rPr>
        <w:t>数，进一步精确年初绩效指标的设置</w:t>
      </w:r>
      <w:r>
        <w:rPr>
          <w:rFonts w:hint="eastAsia" w:hAnsi="宋体"/>
          <w:szCs w:val="28"/>
          <w:lang w:eastAsia="zh-CN"/>
        </w:rPr>
        <w:t>。</w:t>
      </w:r>
    </w:p>
    <w:p>
      <w:pPr>
        <w:pStyle w:val="3"/>
        <w:widowControl w:val="0"/>
        <w:wordWrap/>
        <w:adjustRightInd/>
        <w:snapToGrid/>
        <w:spacing w:before="0" w:after="0"/>
        <w:ind w:firstLine="643" w:firstLineChars="200"/>
        <w:textAlignment w:val="auto"/>
        <w:rPr>
          <w:rFonts w:hint="default"/>
          <w:lang w:val="en-US" w:eastAsia="zh-CN"/>
        </w:rPr>
      </w:pPr>
      <w:r>
        <w:rPr>
          <w:rFonts w:hint="eastAsia"/>
          <w:lang w:val="en-US" w:eastAsia="zh-CN"/>
        </w:rPr>
        <w:t>四、部门预算项目支出绩效自评情况分析</w:t>
      </w:r>
      <w:bookmarkEnd w:id="56"/>
    </w:p>
    <w:p>
      <w:pPr>
        <w:widowControl w:val="0"/>
        <w:numPr>
          <w:numId w:val="0"/>
        </w:numPr>
        <w:wordWrap/>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rPr>
        <w:t>2023年，</w:t>
      </w:r>
      <w:r>
        <w:t>我院预算支出项目</w:t>
      </w:r>
      <w:r>
        <w:rPr>
          <w:rFonts w:hint="eastAsia"/>
          <w:lang w:val="en-US" w:eastAsia="zh-CN"/>
        </w:rPr>
        <w:t>1</w:t>
      </w:r>
      <w:r>
        <w:t>个，</w:t>
      </w:r>
      <w:r>
        <w:rPr>
          <w:rFonts w:hint="eastAsia"/>
        </w:rPr>
        <w:t>通过自评，有</w:t>
      </w:r>
      <w:r>
        <w:rPr>
          <w:rFonts w:hint="eastAsia"/>
          <w:lang w:val="en-US" w:eastAsia="zh-CN"/>
        </w:rPr>
        <w:t>1</w:t>
      </w:r>
      <w:r>
        <w:rPr>
          <w:rFonts w:hint="eastAsia"/>
        </w:rPr>
        <w:t>个项目结果为 “优”。分项目自评情况分析如下：</w:t>
      </w:r>
    </w:p>
    <w:p>
      <w:pPr>
        <w:pStyle w:val="4"/>
        <w:keepNext/>
        <w:keepLines/>
        <w:widowControl w:val="0"/>
        <w:wordWrap/>
        <w:adjustRightInd/>
        <w:snapToGrid/>
        <w:spacing w:before="0" w:after="0"/>
        <w:ind w:firstLine="643"/>
        <w:textAlignment w:val="auto"/>
        <w:rPr>
          <w:rFonts w:hint="eastAsia"/>
        </w:rPr>
      </w:pPr>
      <w:bookmarkStart w:id="57" w:name="_Toc18"/>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57"/>
    </w:p>
    <w:p>
      <w:pPr>
        <w:widowControl w:val="0"/>
        <w:wordWrap/>
        <w:adjustRightInd/>
        <w:snapToGrid/>
        <w:ind w:firstLine="560"/>
        <w:jc w:val="both"/>
        <w:textAlignment w:val="auto"/>
        <w:rPr>
          <w:rFonts w:hint="eastAsia" w:ascii="宋体" w:hAnsi="宋体" w:cs="宋体"/>
          <w:b/>
          <w:bCs/>
          <w:kern w:val="0"/>
          <w:sz w:val="24"/>
          <w:highlight w:val="none"/>
          <w:lang w:eastAsia="zh-CN"/>
        </w:rPr>
      </w:pPr>
      <w:bookmarkStart w:id="58" w:name="_Toc18806"/>
      <w:bookmarkStart w:id="59" w:name="_Toc3777"/>
      <w:bookmarkStart w:id="60" w:name="_Toc22570"/>
      <w:bookmarkStart w:id="61" w:name="_Toc1889"/>
      <w:bookmarkStart w:id="62" w:name="_Toc40046064"/>
      <w:bookmarkStart w:id="63" w:name="_Toc40046065"/>
      <w:bookmarkStart w:id="64"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96.50</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19</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7"/>
        <w:tblW w:w="9119"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64"/>
        <w:gridCol w:w="1693"/>
        <w:gridCol w:w="1716"/>
        <w:gridCol w:w="21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50" w:hRule="atLeast"/>
        </w:trPr>
        <w:tc>
          <w:tcPr>
            <w:tcW w:w="3564" w:type="dxa"/>
            <w:shd w:val="clear" w:color="auto" w:fill="BDD6EE"/>
            <w:vAlign w:val="center"/>
          </w:tcPr>
          <w:p>
            <w:pPr>
              <w:rPr>
                <w:rFonts w:hint="eastAsia" w:ascii="宋体" w:hAnsi="宋体" w:eastAsia="宋体" w:cs="宋体"/>
                <w:b/>
                <w:bCs/>
                <w:sz w:val="21"/>
                <w:szCs w:val="21"/>
              </w:rPr>
            </w:pPr>
            <w:r>
              <w:rPr>
                <w:rFonts w:hint="eastAsia" w:ascii="宋体" w:hAnsi="宋体" w:eastAsia="宋体" w:cs="宋体"/>
                <w:b/>
                <w:bCs/>
                <w:sz w:val="21"/>
                <w:szCs w:val="21"/>
                <w:lang/>
              </w:rPr>
              <w:t>一级指标</w:t>
            </w:r>
          </w:p>
        </w:tc>
        <w:tc>
          <w:tcPr>
            <w:tcW w:w="1693" w:type="dxa"/>
            <w:shd w:val="clear" w:color="auto" w:fill="BDD6EE"/>
            <w:vAlign w:val="center"/>
          </w:tcPr>
          <w:p>
            <w:pPr>
              <w:rPr>
                <w:rFonts w:hint="eastAsia" w:ascii="宋体" w:hAnsi="宋体" w:eastAsia="宋体" w:cs="宋体"/>
                <w:b/>
                <w:bCs/>
                <w:sz w:val="21"/>
                <w:szCs w:val="21"/>
              </w:rPr>
            </w:pPr>
            <w:r>
              <w:rPr>
                <w:rFonts w:hint="eastAsia" w:ascii="宋体" w:hAnsi="宋体" w:eastAsia="宋体" w:cs="宋体"/>
                <w:b/>
                <w:bCs/>
                <w:sz w:val="21"/>
                <w:szCs w:val="21"/>
                <w:lang/>
              </w:rPr>
              <w:t>分值</w:t>
            </w:r>
          </w:p>
        </w:tc>
        <w:tc>
          <w:tcPr>
            <w:tcW w:w="1716" w:type="dxa"/>
            <w:shd w:val="clear" w:color="auto" w:fill="BDD6EE"/>
            <w:vAlign w:val="center"/>
          </w:tcPr>
          <w:p>
            <w:pPr>
              <w:ind w:left="0" w:leftChars="0" w:firstLine="0" w:firstLineChars="0"/>
              <w:rPr>
                <w:rFonts w:hint="eastAsia" w:ascii="宋体" w:hAnsi="宋体" w:eastAsia="宋体" w:cs="宋体"/>
                <w:b/>
                <w:bCs/>
                <w:sz w:val="21"/>
                <w:szCs w:val="21"/>
              </w:rPr>
            </w:pPr>
            <w:r>
              <w:rPr>
                <w:rFonts w:hint="eastAsia" w:ascii="宋体" w:hAnsi="宋体" w:eastAsia="宋体" w:cs="宋体"/>
                <w:b/>
                <w:bCs/>
                <w:sz w:val="21"/>
                <w:szCs w:val="21"/>
                <w:lang/>
              </w:rPr>
              <w:t>自评得分</w:t>
            </w:r>
          </w:p>
        </w:tc>
        <w:tc>
          <w:tcPr>
            <w:tcW w:w="2146" w:type="dxa"/>
            <w:shd w:val="clear" w:color="auto" w:fill="BDD6EE"/>
            <w:vAlign w:val="center"/>
          </w:tcPr>
          <w:p>
            <w:pPr>
              <w:rPr>
                <w:rFonts w:hint="eastAsia" w:ascii="宋体" w:hAnsi="宋体" w:eastAsia="宋体" w:cs="宋体"/>
                <w:b/>
                <w:bCs/>
                <w:sz w:val="21"/>
                <w:szCs w:val="21"/>
              </w:rPr>
            </w:pPr>
            <w:r>
              <w:rPr>
                <w:rFonts w:hint="eastAsia" w:ascii="宋体" w:hAnsi="宋体" w:eastAsia="宋体" w:cs="宋体"/>
                <w:b/>
                <w:bCs/>
                <w:sz w:val="21"/>
                <w:szCs w:val="21"/>
                <w:lang/>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预算执行率</w:t>
            </w:r>
          </w:p>
        </w:tc>
        <w:tc>
          <w:tcPr>
            <w:tcW w:w="1693"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10</w:t>
            </w:r>
          </w:p>
        </w:tc>
        <w:tc>
          <w:tcPr>
            <w:tcW w:w="1716" w:type="dxa"/>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10</w:t>
            </w:r>
          </w:p>
        </w:tc>
        <w:tc>
          <w:tcPr>
            <w:tcW w:w="2146" w:type="dxa"/>
            <w:vAlign w:val="center"/>
          </w:tcPr>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成本指标</w:t>
            </w:r>
          </w:p>
        </w:tc>
        <w:tc>
          <w:tcPr>
            <w:tcW w:w="1693"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20</w:t>
            </w:r>
          </w:p>
        </w:tc>
        <w:tc>
          <w:tcPr>
            <w:tcW w:w="1716"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20</w:t>
            </w:r>
          </w:p>
        </w:tc>
        <w:tc>
          <w:tcPr>
            <w:tcW w:w="2146" w:type="dxa"/>
            <w:vAlign w:val="center"/>
          </w:tcPr>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产出指标</w:t>
            </w:r>
          </w:p>
        </w:tc>
        <w:tc>
          <w:tcPr>
            <w:tcW w:w="1693"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40</w:t>
            </w:r>
          </w:p>
        </w:tc>
        <w:tc>
          <w:tcPr>
            <w:tcW w:w="1716" w:type="dxa"/>
            <w:vAlign w:val="center"/>
          </w:tcPr>
          <w:p>
            <w:p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36.50</w:t>
            </w:r>
          </w:p>
        </w:tc>
        <w:tc>
          <w:tcPr>
            <w:tcW w:w="2146" w:type="dxa"/>
            <w:vAlign w:val="center"/>
          </w:tcPr>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91.25</w:t>
            </w:r>
            <w:r>
              <w:rPr>
                <w:rFonts w:hint="eastAsia" w:ascii="宋体" w:hAnsi="宋体" w:eastAsia="宋体" w:cs="宋体"/>
                <w:b w:val="0"/>
                <w:bCs w:val="0"/>
                <w:sz w:val="21"/>
                <w:szCs w:val="21"/>
                <w:lang/>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效益指标</w:t>
            </w:r>
          </w:p>
        </w:tc>
        <w:tc>
          <w:tcPr>
            <w:tcW w:w="1693"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20</w:t>
            </w:r>
          </w:p>
        </w:tc>
        <w:tc>
          <w:tcPr>
            <w:tcW w:w="1716" w:type="dxa"/>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w:t>
            </w:r>
          </w:p>
        </w:tc>
        <w:tc>
          <w:tcPr>
            <w:tcW w:w="2146" w:type="dxa"/>
            <w:vAlign w:val="center"/>
          </w:tcPr>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lang/>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33" w:hRule="atLeast"/>
        </w:trPr>
        <w:tc>
          <w:tcPr>
            <w:tcW w:w="3564"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满意度指标</w:t>
            </w:r>
          </w:p>
        </w:tc>
        <w:tc>
          <w:tcPr>
            <w:tcW w:w="1693"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10</w:t>
            </w:r>
          </w:p>
        </w:tc>
        <w:tc>
          <w:tcPr>
            <w:tcW w:w="1716"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10</w:t>
            </w:r>
          </w:p>
        </w:tc>
        <w:tc>
          <w:tcPr>
            <w:tcW w:w="2146"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lang/>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58" w:hRule="atLeast"/>
        </w:trPr>
        <w:tc>
          <w:tcPr>
            <w:tcW w:w="3564" w:type="dxa"/>
            <w:shd w:val="clear" w:color="auto" w:fill="BDD6EE"/>
            <w:vAlign w:val="center"/>
          </w:tcPr>
          <w:p>
            <w:pPr>
              <w:rPr>
                <w:rFonts w:hint="eastAsia" w:ascii="宋体" w:hAnsi="宋体" w:eastAsia="宋体" w:cs="宋体"/>
                <w:b/>
                <w:bCs/>
                <w:sz w:val="21"/>
                <w:szCs w:val="21"/>
              </w:rPr>
            </w:pPr>
            <w:r>
              <w:rPr>
                <w:rFonts w:hint="eastAsia" w:ascii="宋体" w:hAnsi="宋体" w:eastAsia="宋体" w:cs="宋体"/>
                <w:b/>
                <w:bCs/>
                <w:sz w:val="21"/>
                <w:szCs w:val="21"/>
                <w:lang/>
              </w:rPr>
              <w:t>合计</w:t>
            </w:r>
          </w:p>
        </w:tc>
        <w:tc>
          <w:tcPr>
            <w:tcW w:w="1693" w:type="dxa"/>
            <w:shd w:val="clear" w:color="auto" w:fill="BDD6EE"/>
            <w:vAlign w:val="center"/>
          </w:tcPr>
          <w:p>
            <w:pPr>
              <w:rPr>
                <w:rFonts w:hint="eastAsia" w:ascii="宋体" w:hAnsi="宋体" w:eastAsia="宋体" w:cs="宋体"/>
                <w:b/>
                <w:bCs/>
                <w:sz w:val="21"/>
                <w:szCs w:val="21"/>
              </w:rPr>
            </w:pPr>
            <w:r>
              <w:rPr>
                <w:rFonts w:hint="eastAsia" w:ascii="宋体" w:hAnsi="宋体" w:eastAsia="宋体" w:cs="宋体"/>
                <w:b/>
                <w:bCs/>
                <w:sz w:val="21"/>
                <w:szCs w:val="21"/>
                <w:lang/>
              </w:rPr>
              <w:t>100</w:t>
            </w:r>
          </w:p>
        </w:tc>
        <w:tc>
          <w:tcPr>
            <w:tcW w:w="1716" w:type="dxa"/>
            <w:shd w:val="clear" w:color="auto" w:fill="BDD6EE"/>
            <w:vAlign w:val="center"/>
          </w:tcPr>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96.50</w:t>
            </w:r>
          </w:p>
        </w:tc>
        <w:tc>
          <w:tcPr>
            <w:tcW w:w="2146" w:type="dxa"/>
            <w:shd w:val="clear" w:color="auto" w:fill="BDD6EE"/>
            <w:vAlign w:val="center"/>
          </w:tcPr>
          <w:p>
            <w:pPr>
              <w:rPr>
                <w:rFonts w:hint="eastAsia" w:ascii="宋体" w:hAnsi="宋体" w:eastAsia="宋体" w:cs="宋体"/>
                <w:b/>
                <w:bCs/>
                <w:sz w:val="21"/>
                <w:szCs w:val="21"/>
              </w:rPr>
            </w:pPr>
            <w:r>
              <w:rPr>
                <w:rFonts w:hint="eastAsia" w:ascii="宋体" w:hAnsi="宋体" w:eastAsia="宋体" w:cs="宋体"/>
                <w:b/>
                <w:bCs/>
                <w:sz w:val="21"/>
                <w:szCs w:val="21"/>
                <w:lang w:val="en-US" w:eastAsia="zh-CN"/>
              </w:rPr>
              <w:t>96.50</w:t>
            </w:r>
            <w:r>
              <w:rPr>
                <w:rFonts w:hint="eastAsia" w:ascii="宋体" w:hAnsi="宋体" w:eastAsia="宋体" w:cs="宋体"/>
                <w:b/>
                <w:bCs/>
                <w:sz w:val="21"/>
                <w:szCs w:val="21"/>
                <w:lang/>
              </w:rPr>
              <w:t>%</w:t>
            </w:r>
          </w:p>
        </w:tc>
      </w:tr>
    </w:tbl>
    <w:p>
      <w:pPr>
        <w:pStyle w:val="5"/>
        <w:keepNext/>
        <w:keepLines/>
        <w:widowControl w:val="0"/>
        <w:numPr>
          <w:numId w:val="0"/>
        </w:numPr>
        <w:wordWrap/>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widowControl w:val="0"/>
        <w:wordWrap/>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245</w:t>
      </w:r>
      <w:r>
        <w:rPr>
          <w:rFonts w:hint="eastAsia"/>
          <w:szCs w:val="28"/>
        </w:rPr>
        <w:t>元，全年预算数为</w:t>
      </w:r>
      <w:r>
        <w:rPr>
          <w:rFonts w:hint="eastAsia"/>
          <w:szCs w:val="28"/>
          <w:lang w:val="en-US" w:eastAsia="zh-CN"/>
        </w:rPr>
        <w:t>325</w:t>
      </w:r>
      <w:r>
        <w:rPr>
          <w:rFonts w:hint="eastAsia"/>
          <w:szCs w:val="28"/>
        </w:rPr>
        <w:t>万元，全年执行数325万元，预算执行率</w:t>
      </w:r>
      <w:r>
        <w:rPr>
          <w:rFonts w:hint="eastAsia"/>
          <w:szCs w:val="28"/>
          <w:lang w:val="en-US" w:eastAsia="zh-CN"/>
        </w:rPr>
        <w:t>100.00%</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rFonts w:hint="eastAsia"/>
          <w:szCs w:val="28"/>
        </w:rPr>
        <w:t>。</w:t>
      </w:r>
    </w:p>
    <w:p>
      <w:pPr>
        <w:pStyle w:val="5"/>
        <w:keepNext/>
        <w:keepLines/>
        <w:widowControl w:val="0"/>
        <w:numPr>
          <w:numId w:val="0"/>
        </w:numPr>
        <w:wordWrap/>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36"/>
        <w:widowControl w:val="0"/>
        <w:numPr>
          <w:numId w:val="0"/>
        </w:numPr>
        <w:wordWrap/>
        <w:adjustRightInd/>
        <w:snapToGrid/>
        <w:ind w:leftChars="0" w:firstLine="560" w:firstLineChars="200"/>
        <w:jc w:val="both"/>
        <w:textAlignment w:val="auto"/>
        <w:rPr>
          <w:rFonts w:hint="eastAsia" w:eastAsia="仿宋_GB2312"/>
          <w:lang w:eastAsia="zh-CN"/>
        </w:rPr>
      </w:pPr>
      <w:r>
        <w:rPr>
          <w:rFonts w:hint="eastAsia"/>
        </w:rPr>
        <w:t>办案业务费主要用于平凉市中级人民法院管辖范围之内及制定管辖的案件调查、取证、送达、调解、审判、合议、裁判、再审及执行等办案相关的业务费用、主要包括办案费办公费、邮电费、通讯费。通过办案业务费的使用，提高案件审理质量。以上预期目标均完成</w:t>
      </w:r>
      <w:r>
        <w:rPr>
          <w:rFonts w:hint="eastAsia"/>
          <w:lang w:eastAsia="zh-CN"/>
        </w:rPr>
        <w:t>。</w:t>
      </w:r>
    </w:p>
    <w:p>
      <w:pPr>
        <w:pStyle w:val="5"/>
        <w:widowControl w:val="0"/>
        <w:numPr>
          <w:numId w:val="0"/>
        </w:numPr>
        <w:wordWrap/>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pStyle w:val="6"/>
        <w:widowControl w:val="0"/>
        <w:numPr>
          <w:numId w:val="0"/>
        </w:numPr>
        <w:wordWrap/>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pPr>
        <w:keepNext/>
        <w:widowControl w:val="0"/>
        <w:wordWrap/>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100.00%</w:t>
      </w:r>
      <w:r>
        <w:rPr>
          <w:rFonts w:hint="eastAsia" w:cs="仿宋_GB2312"/>
          <w:szCs w:val="28"/>
        </w:rPr>
        <w:t>。</w:t>
      </w:r>
    </w:p>
    <w:tbl>
      <w:tblPr>
        <w:tblStyle w:val="27"/>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1960"/>
        <w:gridCol w:w="1305"/>
        <w:gridCol w:w="1095"/>
        <w:gridCol w:w="915"/>
        <w:gridCol w:w="90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二级指标</w:t>
            </w:r>
          </w:p>
        </w:tc>
        <w:tc>
          <w:tcPr>
            <w:tcW w:w="1960" w:type="dxa"/>
            <w:shd w:val="clear" w:color="auto" w:fill="BDD6EE"/>
            <w:vAlign w:val="center"/>
          </w:tcPr>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三级指标</w:t>
            </w:r>
          </w:p>
        </w:tc>
        <w:tc>
          <w:tcPr>
            <w:tcW w:w="1305" w:type="dxa"/>
            <w:shd w:val="clear" w:color="auto" w:fill="BDD6EE"/>
            <w:vAlign w:val="center"/>
          </w:tcPr>
          <w:p>
            <w:pPr>
              <w:widowControl/>
              <w:ind w:left="0" w:leftChars="0" w:firstLine="0" w:firstLineChars="0"/>
              <w:jc w:val="center"/>
              <w:textAlignment w:val="center"/>
              <w:rPr>
                <w:rFonts w:hint="eastAsia" w:hAnsi="宋体"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年度</w:t>
            </w:r>
          </w:p>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指标值</w:t>
            </w:r>
          </w:p>
        </w:tc>
        <w:tc>
          <w:tcPr>
            <w:tcW w:w="1095" w:type="dxa"/>
            <w:shd w:val="clear" w:color="auto" w:fill="BDD6EE"/>
            <w:vAlign w:val="center"/>
          </w:tcPr>
          <w:p>
            <w:pPr>
              <w:widowControl/>
              <w:ind w:left="0" w:leftChars="0" w:firstLine="0" w:firstLineChars="0"/>
              <w:jc w:val="center"/>
              <w:textAlignment w:val="center"/>
              <w:rPr>
                <w:rFonts w:hint="eastAsia" w:hAnsi="宋体"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实际</w:t>
            </w:r>
          </w:p>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完成值</w:t>
            </w:r>
          </w:p>
        </w:tc>
        <w:tc>
          <w:tcPr>
            <w:tcW w:w="915"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分值</w:t>
            </w:r>
          </w:p>
        </w:tc>
        <w:tc>
          <w:tcPr>
            <w:tcW w:w="900"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自评得分</w:t>
            </w:r>
          </w:p>
        </w:tc>
        <w:tc>
          <w:tcPr>
            <w:tcW w:w="1046"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vAlign w:val="center"/>
          </w:tcPr>
          <w:p>
            <w:pPr>
              <w:widowControl/>
              <w:ind w:left="0" w:leftChars="0" w:firstLine="0" w:firstLineChars="0"/>
              <w:jc w:val="both"/>
              <w:textAlignment w:val="center"/>
              <w:rPr>
                <w:rFonts w:hAnsi="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rPr>
              <w:t>经济成本指标</w:t>
            </w:r>
          </w:p>
        </w:tc>
        <w:tc>
          <w:tcPr>
            <w:tcW w:w="1960" w:type="dxa"/>
            <w:vAlign w:val="center"/>
          </w:tcPr>
          <w:p>
            <w:pPr>
              <w:widowControl/>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成本控制情况</w:t>
            </w:r>
          </w:p>
        </w:tc>
        <w:tc>
          <w:tcPr>
            <w:tcW w:w="1305"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定额标准内</w:t>
            </w:r>
          </w:p>
        </w:tc>
        <w:tc>
          <w:tcPr>
            <w:tcW w:w="1095"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915"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20</w:t>
            </w:r>
          </w:p>
        </w:tc>
        <w:tc>
          <w:tcPr>
            <w:tcW w:w="900"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20</w:t>
            </w:r>
          </w:p>
        </w:tc>
        <w:tc>
          <w:tcPr>
            <w:tcW w:w="1046" w:type="dxa"/>
            <w:vAlign w:val="center"/>
          </w:tcPr>
          <w:p>
            <w:pPr>
              <w:widowControl/>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widowControl/>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合计</w:t>
            </w:r>
          </w:p>
        </w:tc>
        <w:tc>
          <w:tcPr>
            <w:tcW w:w="1960"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0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9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15"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900"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pPr>
              <w:widowControl/>
              <w:wordWrap/>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100.00%</w:t>
            </w:r>
          </w:p>
        </w:tc>
      </w:tr>
    </w:tbl>
    <w:p>
      <w:pPr>
        <w:widowControl w:val="0"/>
        <w:wordWrap/>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成本控制情况：</w:t>
      </w:r>
      <w:r>
        <w:rPr>
          <w:rFonts w:hint="eastAsia" w:hAnsi="宋体"/>
          <w:b w:val="0"/>
          <w:bCs w:val="0"/>
          <w:szCs w:val="28"/>
          <w:lang w:val="en-US" w:eastAsia="zh-CN"/>
        </w:rPr>
        <w:t>我院2023年全省法院业务费成本控制情况在全年预算数以内，节约经济增长成本，符合年度指标值的要求。该指标分值10分，自评得分为10分，得分率为100.00%。</w:t>
      </w:r>
    </w:p>
    <w:p>
      <w:pPr>
        <w:pStyle w:val="6"/>
        <w:widowControl w:val="0"/>
        <w:numPr>
          <w:numId w:val="0"/>
        </w:numPr>
        <w:wordWrap/>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（2）产出</w:t>
      </w:r>
      <w:r>
        <w:rPr>
          <w:rFonts w:hint="eastAsia" w:ascii="仿宋_GB2312" w:hAnsi="仿宋_GB2312" w:eastAsia="仿宋_GB2312" w:cs="仿宋_GB2312"/>
          <w:szCs w:val="28"/>
          <w:lang w:eastAsia="zh-CN"/>
        </w:rPr>
        <w:t>指标</w:t>
      </w:r>
    </w:p>
    <w:p>
      <w:pPr>
        <w:widowControl w:val="0"/>
        <w:wordWrap/>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产出指标下设数量、质量、时效3个二级指标。总分值40分，得分36.50分，得分率91.25%。</w:t>
      </w:r>
    </w:p>
    <w:tbl>
      <w:tblPr>
        <w:tblStyle w:val="27"/>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393"/>
        <w:gridCol w:w="2730"/>
        <w:gridCol w:w="1327"/>
        <w:gridCol w:w="1029"/>
        <w:gridCol w:w="644"/>
        <w:gridCol w:w="90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二级指标</w:t>
            </w:r>
          </w:p>
        </w:tc>
        <w:tc>
          <w:tcPr>
            <w:tcW w:w="2730" w:type="dxa"/>
            <w:shd w:val="clear" w:color="auto" w:fill="BDD6EE"/>
            <w:vAlign w:val="center"/>
          </w:tcPr>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三级指标</w:t>
            </w:r>
          </w:p>
        </w:tc>
        <w:tc>
          <w:tcPr>
            <w:tcW w:w="1327" w:type="dxa"/>
            <w:shd w:val="clear" w:color="auto" w:fill="BDD6EE"/>
            <w:vAlign w:val="center"/>
          </w:tcPr>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年度指标值</w:t>
            </w:r>
          </w:p>
        </w:tc>
        <w:tc>
          <w:tcPr>
            <w:tcW w:w="1029" w:type="dxa"/>
            <w:shd w:val="clear" w:color="auto" w:fill="BDD6EE"/>
            <w:vAlign w:val="center"/>
          </w:tcPr>
          <w:p>
            <w:pPr>
              <w:widowControl/>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rPr>
            </w:pPr>
            <w:r>
              <w:rPr>
                <w:rFonts w:hint="eastAsia" w:hAnsi="宋体" w:cs="仿宋_GB2312"/>
                <w:b/>
                <w:bCs/>
                <w:i w:val="0"/>
                <w:iCs w:val="0"/>
                <w:color w:val="000000"/>
                <w:kern w:val="0"/>
                <w:sz w:val="24"/>
                <w:szCs w:val="24"/>
                <w:u w:val="none"/>
                <w:lang w:val="en-US" w:eastAsia="zh-CN"/>
              </w:rPr>
              <w:t>实际完成值</w:t>
            </w:r>
          </w:p>
        </w:tc>
        <w:tc>
          <w:tcPr>
            <w:tcW w:w="644"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分值</w:t>
            </w:r>
          </w:p>
        </w:tc>
        <w:tc>
          <w:tcPr>
            <w:tcW w:w="900"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自评得分</w:t>
            </w:r>
          </w:p>
        </w:tc>
        <w:tc>
          <w:tcPr>
            <w:tcW w:w="1046" w:type="dxa"/>
            <w:shd w:val="clear" w:color="auto" w:fill="BDD6EE"/>
            <w:vAlign w:val="center"/>
          </w:tcPr>
          <w:p>
            <w:pPr>
              <w:widowControl/>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restart"/>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数量指标</w:t>
            </w: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采购设备数量</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&gt;=50台</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28台</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1.86</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55.85%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Ansi="宋体" w:cs="宋体"/>
                <w:color w:val="000000"/>
                <w:kern w:val="0"/>
                <w:sz w:val="22"/>
                <w:szCs w:val="22"/>
                <w:highlight w:val="none"/>
              </w:rPr>
            </w:pPr>
          </w:p>
        </w:tc>
        <w:tc>
          <w:tcPr>
            <w:tcW w:w="2730" w:type="dxa"/>
            <w:vAlign w:val="center"/>
          </w:tcPr>
          <w:p>
            <w:pPr>
              <w:widowControl/>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结案率</w:t>
            </w:r>
          </w:p>
        </w:tc>
        <w:tc>
          <w:tcPr>
            <w:tcW w:w="1327"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&gt;=90%</w:t>
            </w:r>
          </w:p>
        </w:tc>
        <w:tc>
          <w:tcPr>
            <w:tcW w:w="1029"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93.79%</w:t>
            </w:r>
          </w:p>
        </w:tc>
        <w:tc>
          <w:tcPr>
            <w:tcW w:w="644" w:type="dxa"/>
            <w:vAlign w:val="center"/>
          </w:tcPr>
          <w:p>
            <w:pPr>
              <w:widowControl/>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3.37</w:t>
            </w:r>
          </w:p>
        </w:tc>
        <w:tc>
          <w:tcPr>
            <w:tcW w:w="900" w:type="dxa"/>
            <w:vAlign w:val="center"/>
          </w:tcPr>
          <w:p>
            <w:pPr>
              <w:widowControl/>
              <w:ind w:left="0" w:leftChars="0" w:firstLine="0" w:firstLineChars="0"/>
              <w:jc w:val="both"/>
              <w:textAlignment w:val="center"/>
              <w:rPr>
                <w:rFonts w:hint="default" w:ascii="仿宋_GB2312" w:hAnsi="宋体" w:eastAsia="仿宋_GB2312" w:cs="仿宋_GB2312"/>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3.37</w:t>
            </w:r>
          </w:p>
        </w:tc>
        <w:tc>
          <w:tcPr>
            <w:tcW w:w="1046" w:type="dxa"/>
            <w:vAlign w:val="center"/>
          </w:tcPr>
          <w:p>
            <w:pPr>
              <w:widowControl/>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物业管理面积</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=18953平方米</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18953平方米</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信息化运维服务完成率</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98%</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restart"/>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质量指标</w:t>
            </w: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维修维护项目验收合格率</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物业管理合格率</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信息化运维服务验收合格率</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&gt;=100.00%</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一审服判息诉率</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&gt;=90%</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35%</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39.03%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restart"/>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时效指标</w:t>
            </w: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办案经费支付及时率</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法定审限内结案率</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&gt;=90%</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维修修护及时性</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及时</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及时</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730"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信息化运维工作及时性</w:t>
            </w:r>
          </w:p>
        </w:tc>
        <w:tc>
          <w:tcPr>
            <w:tcW w:w="132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及时</w:t>
            </w:r>
          </w:p>
        </w:tc>
        <w:tc>
          <w:tcPr>
            <w:tcW w:w="1029"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及时</w:t>
            </w:r>
          </w:p>
        </w:tc>
        <w:tc>
          <w:tcPr>
            <w:tcW w:w="644"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9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3.33</w:t>
            </w:r>
          </w:p>
        </w:tc>
        <w:tc>
          <w:tcPr>
            <w:tcW w:w="1046"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393" w:type="dxa"/>
            <w:shd w:val="clear" w:color="auto" w:fill="BDD6EE"/>
            <w:vAlign w:val="center"/>
          </w:tcPr>
          <w:p>
            <w:pPr>
              <w:widowControl/>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合计</w:t>
            </w:r>
          </w:p>
        </w:tc>
        <w:tc>
          <w:tcPr>
            <w:tcW w:w="2730"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27"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29"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644"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900"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36.50</w:t>
            </w:r>
          </w:p>
        </w:tc>
        <w:tc>
          <w:tcPr>
            <w:tcW w:w="1046" w:type="dxa"/>
            <w:shd w:val="clear" w:color="auto" w:fill="BDD6EE"/>
            <w:vAlign w:val="center"/>
          </w:tcPr>
          <w:p>
            <w:pPr>
              <w:widowControl/>
              <w:wordWrap/>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91.25%</w:t>
            </w:r>
          </w:p>
        </w:tc>
      </w:tr>
    </w:tbl>
    <w:p>
      <w:pPr>
        <w:ind w:firstLine="562"/>
      </w:pPr>
      <w:r>
        <w:rPr>
          <w:rFonts w:hint="eastAsia"/>
          <w:b/>
          <w:bCs/>
        </w:rPr>
        <w:t>采购装备数量：</w:t>
      </w:r>
      <w:r>
        <w:rPr>
          <w:rFonts w:hint="eastAsia"/>
        </w:rPr>
        <w:t>我院采购装备数量实际完成</w:t>
      </w:r>
      <w:r>
        <w:rPr>
          <w:rFonts w:hint="eastAsia"/>
          <w:lang w:val="en-US" w:eastAsia="zh-CN"/>
        </w:rPr>
        <w:t>值28台</w:t>
      </w:r>
      <w:r>
        <w:rPr>
          <w:rFonts w:hint="eastAsia"/>
        </w:rPr>
        <w:t>，</w:t>
      </w:r>
      <w:r>
        <w:rPr>
          <w:rFonts w:hint="eastAsia"/>
          <w:lang w:eastAsia="zh-CN"/>
        </w:rPr>
        <w:t>年度目标值为大于等于</w:t>
      </w:r>
      <w:r>
        <w:rPr>
          <w:rFonts w:hint="eastAsia"/>
          <w:lang w:val="en-US" w:eastAsia="zh-CN"/>
        </w:rPr>
        <w:t>50台，</w:t>
      </w:r>
      <w:r>
        <w:rPr>
          <w:rFonts w:hint="eastAsia"/>
        </w:rPr>
        <w:t>该指标分值</w:t>
      </w:r>
      <w:r>
        <w:rPr>
          <w:rFonts w:hint="eastAsia"/>
          <w:lang w:val="en-US" w:eastAsia="zh-CN"/>
        </w:rPr>
        <w:t>3.33</w:t>
      </w:r>
      <w:r>
        <w:rPr>
          <w:rFonts w:hint="eastAsia"/>
        </w:rPr>
        <w:t>分，自评得分</w:t>
      </w:r>
      <w:r>
        <w:rPr>
          <w:rFonts w:hint="eastAsia"/>
          <w:lang w:val="en-US" w:eastAsia="zh-CN"/>
        </w:rPr>
        <w:t>1.86</w:t>
      </w:r>
      <w:r>
        <w:rPr>
          <w:rFonts w:hint="eastAsia"/>
        </w:rPr>
        <w:t>分，得分率为</w:t>
      </w:r>
      <w:r>
        <w:rPr>
          <w:rFonts w:hint="eastAsia"/>
          <w:lang w:val="en-US" w:eastAsia="zh-CN"/>
        </w:rPr>
        <w:t>55.85</w:t>
      </w:r>
      <w:r>
        <w:rPr>
          <w:rFonts w:hint="eastAsia"/>
          <w:lang w:eastAsia="zh-CN"/>
        </w:rPr>
        <w:t>%</w:t>
      </w:r>
      <w:r>
        <w:rPr>
          <w:rFonts w:hint="eastAsia"/>
        </w:rPr>
        <w:t>。</w:t>
      </w:r>
    </w:p>
    <w:p>
      <w:pPr>
        <w:ind w:firstLine="562"/>
        <w:rPr>
          <w:rFonts w:hint="eastAsia"/>
          <w:b/>
          <w:bCs/>
          <w:lang w:eastAsia="zh-CN"/>
        </w:rPr>
      </w:pPr>
      <w:r>
        <w:rPr>
          <w:rFonts w:hint="eastAsia"/>
          <w:b/>
          <w:bCs/>
          <w:lang w:val="en-US" w:eastAsia="zh-CN"/>
        </w:rPr>
        <w:t>结案率</w:t>
      </w:r>
      <w:r>
        <w:rPr>
          <w:rFonts w:hint="eastAsia"/>
          <w:b/>
          <w:bCs/>
          <w:lang w:eastAsia="zh-CN"/>
        </w:rPr>
        <w:t>：</w:t>
      </w:r>
      <w:r>
        <w:rPr>
          <w:rFonts w:hint="eastAsia"/>
          <w:b w:val="0"/>
          <w:bCs w:val="0"/>
        </w:rPr>
        <w:t>年度目标值</w:t>
      </w:r>
      <w:r>
        <w:rPr>
          <w:rFonts w:hint="eastAsia"/>
          <w:b w:val="0"/>
          <w:bCs w:val="0"/>
          <w:lang w:val="en-US" w:eastAsia="zh-CN"/>
        </w:rPr>
        <w:t>9</w:t>
      </w:r>
      <w:r>
        <w:rPr>
          <w:rFonts w:hint="eastAsia"/>
          <w:b w:val="0"/>
          <w:bCs w:val="0"/>
          <w:lang w:eastAsia="zh-CN"/>
        </w:rPr>
        <w:t>0.00%</w:t>
      </w:r>
      <w:r>
        <w:rPr>
          <w:rFonts w:hint="eastAsia"/>
          <w:b w:val="0"/>
          <w:bCs w:val="0"/>
        </w:rPr>
        <w:t>，</w:t>
      </w:r>
      <w:r>
        <w:rPr>
          <w:rFonts w:hint="eastAsia"/>
        </w:rPr>
        <w:t>实际完成</w:t>
      </w:r>
      <w:r>
        <w:rPr>
          <w:rFonts w:hint="eastAsia"/>
          <w:lang w:eastAsia="zh-CN"/>
        </w:rPr>
        <w:t>值</w:t>
      </w:r>
      <w:r>
        <w:rPr>
          <w:rFonts w:hint="eastAsia"/>
          <w:lang w:val="en-US" w:eastAsia="zh-CN"/>
        </w:rPr>
        <w:t>93.79%</w:t>
      </w:r>
      <w:r>
        <w:rPr>
          <w:rFonts w:hint="eastAsia"/>
        </w:rPr>
        <w:t>，该指标分值</w:t>
      </w:r>
      <w:r>
        <w:rPr>
          <w:rFonts w:hint="eastAsia"/>
          <w:lang w:val="en-US" w:eastAsia="zh-CN"/>
        </w:rPr>
        <w:t>3.37</w:t>
      </w:r>
      <w:r>
        <w:rPr>
          <w:rFonts w:hint="eastAsia"/>
        </w:rPr>
        <w:t>分，自评得</w:t>
      </w:r>
      <w:r>
        <w:rPr>
          <w:rFonts w:hint="eastAsia"/>
          <w:lang w:val="en-US" w:eastAsia="zh-CN"/>
        </w:rPr>
        <w:t>分</w:t>
      </w:r>
      <w:r>
        <w:rPr>
          <w:rFonts w:hint="eastAsia"/>
        </w:rPr>
        <w:t>3.37分，得分率为</w:t>
      </w:r>
      <w:r>
        <w:rPr>
          <w:rFonts w:hint="eastAsia"/>
          <w:lang w:eastAsia="zh-CN"/>
        </w:rPr>
        <w:t>100.00%</w:t>
      </w:r>
      <w:r>
        <w:rPr>
          <w:rFonts w:hint="eastAsia"/>
        </w:rPr>
        <w:t>。</w:t>
      </w:r>
    </w:p>
    <w:p>
      <w:pPr>
        <w:ind w:firstLine="562"/>
        <w:rPr>
          <w:rFonts w:hint="eastAsia"/>
          <w:b/>
          <w:bCs/>
        </w:rPr>
      </w:pPr>
      <w:r>
        <w:rPr>
          <w:rFonts w:hint="eastAsia" w:hAnsi="宋体"/>
          <w:b/>
          <w:bCs/>
          <w:szCs w:val="28"/>
          <w:lang w:val="en-US" w:eastAsia="zh-CN"/>
        </w:rPr>
        <w:t>物业管理面积：</w:t>
      </w:r>
      <w:r>
        <w:rPr>
          <w:rFonts w:hint="eastAsia"/>
          <w:b w:val="0"/>
          <w:bCs w:val="0"/>
        </w:rPr>
        <w:t>物业管理面积</w:t>
      </w:r>
      <w:r>
        <w:rPr>
          <w:rFonts w:hint="eastAsia"/>
          <w:b w:val="0"/>
          <w:bCs w:val="0"/>
          <w:lang w:val="en-US" w:eastAsia="zh-CN"/>
        </w:rPr>
        <w:t>18953平方米，达到年度目标值</w:t>
      </w:r>
      <w:r>
        <w:rPr>
          <w:rFonts w:hint="eastAsia"/>
          <w:b w:val="0"/>
          <w:bCs w:val="0"/>
        </w:rPr>
        <w:t>。指标分值3.33</w:t>
      </w:r>
      <w:r>
        <w:rPr>
          <w:rFonts w:hint="eastAsia"/>
        </w:rPr>
        <w:t>分，自评得分3.33分，得分率为</w:t>
      </w:r>
      <w:r>
        <w:rPr>
          <w:rFonts w:hint="eastAsia"/>
          <w:lang w:eastAsia="zh-CN"/>
        </w:rPr>
        <w:t>100.00%</w:t>
      </w:r>
      <w:r>
        <w:rPr>
          <w:rFonts w:hint="eastAsia"/>
        </w:rPr>
        <w:t>。</w:t>
      </w:r>
    </w:p>
    <w:p>
      <w:pPr>
        <w:ind w:firstLine="562"/>
        <w:rPr>
          <w:rFonts w:hint="eastAsia"/>
          <w:b/>
          <w:bCs/>
        </w:rPr>
      </w:pPr>
      <w:r>
        <w:rPr>
          <w:rFonts w:hint="eastAsia"/>
          <w:b/>
          <w:bCs/>
        </w:rPr>
        <w:t>信息化运维服务完成率</w:t>
      </w:r>
      <w:r>
        <w:rPr>
          <w:rFonts w:hint="eastAsia"/>
          <w:b/>
          <w:bCs/>
          <w:lang w:eastAsia="zh-CN"/>
        </w:rPr>
        <w:t>：</w:t>
      </w:r>
      <w:r>
        <w:rPr>
          <w:rFonts w:hint="eastAsia"/>
          <w:b w:val="0"/>
          <w:bCs w:val="0"/>
        </w:rPr>
        <w:t>年度目标值</w:t>
      </w:r>
      <w:r>
        <w:rPr>
          <w:rFonts w:hint="eastAsia"/>
          <w:b w:val="0"/>
          <w:bCs w:val="0"/>
          <w:lang w:eastAsia="zh-CN"/>
        </w:rPr>
        <w:t>100.00%</w:t>
      </w:r>
      <w:r>
        <w:rPr>
          <w:rFonts w:hint="eastAsia"/>
          <w:b w:val="0"/>
          <w:bCs w:val="0"/>
        </w:rPr>
        <w:t>，实际完成值</w:t>
      </w:r>
      <w:r>
        <w:rPr>
          <w:rFonts w:hint="eastAsia"/>
          <w:b w:val="0"/>
          <w:bCs w:val="0"/>
          <w:lang w:val="en-US" w:eastAsia="zh-CN"/>
        </w:rPr>
        <w:t>100%</w:t>
      </w:r>
      <w:r>
        <w:rPr>
          <w:rFonts w:hint="eastAsia"/>
          <w:b w:val="0"/>
          <w:bCs w:val="0"/>
        </w:rPr>
        <w:t>。指标分值3.33</w:t>
      </w:r>
      <w:r>
        <w:rPr>
          <w:rFonts w:hint="eastAsia"/>
        </w:rPr>
        <w:t>分，自评得分3.33分，得分率为</w:t>
      </w:r>
      <w:r>
        <w:rPr>
          <w:rFonts w:hint="eastAsia"/>
          <w:lang w:eastAsia="zh-CN"/>
        </w:rPr>
        <w:t>100.00%</w:t>
      </w:r>
      <w:r>
        <w:rPr>
          <w:rFonts w:hint="eastAsia"/>
        </w:rPr>
        <w:t>。</w:t>
      </w:r>
    </w:p>
    <w:p>
      <w:pPr>
        <w:ind w:firstLine="562"/>
        <w:rPr>
          <w:rFonts w:hint="eastAsia"/>
          <w:b/>
          <w:bCs/>
        </w:rPr>
      </w:pPr>
      <w:r>
        <w:rPr>
          <w:rFonts w:hint="eastAsia"/>
          <w:b/>
          <w:bCs/>
        </w:rPr>
        <w:t>维修维护项目验收合格率</w:t>
      </w:r>
      <w:r>
        <w:rPr>
          <w:rFonts w:hint="eastAsia"/>
          <w:b/>
          <w:bCs/>
          <w:lang w:eastAsia="zh-CN"/>
        </w:rPr>
        <w:t>：</w:t>
      </w:r>
      <w:r>
        <w:rPr>
          <w:rFonts w:hint="eastAsia"/>
          <w:b w:val="0"/>
          <w:bCs w:val="0"/>
        </w:rPr>
        <w:t>年度目标值</w:t>
      </w:r>
      <w:r>
        <w:rPr>
          <w:rFonts w:hint="eastAsia"/>
          <w:b w:val="0"/>
          <w:bCs w:val="0"/>
          <w:lang w:eastAsia="zh-CN"/>
        </w:rPr>
        <w:t>100.00%</w:t>
      </w:r>
      <w:r>
        <w:rPr>
          <w:rFonts w:hint="eastAsia"/>
          <w:b w:val="0"/>
          <w:bCs w:val="0"/>
        </w:rPr>
        <w:t>，实际完成值</w:t>
      </w:r>
      <w:r>
        <w:rPr>
          <w:rFonts w:hint="eastAsia"/>
          <w:b w:val="0"/>
          <w:bCs w:val="0"/>
          <w:lang w:val="en-US" w:eastAsia="zh-CN"/>
        </w:rPr>
        <w:t>100.00%</w:t>
      </w:r>
      <w:r>
        <w:rPr>
          <w:rFonts w:hint="eastAsia"/>
          <w:b w:val="0"/>
          <w:bCs w:val="0"/>
        </w:rPr>
        <w:t>。指标分值3.33</w:t>
      </w:r>
      <w:r>
        <w:rPr>
          <w:rFonts w:hint="eastAsia"/>
        </w:rPr>
        <w:t>分，自评得分3.33分，得分率为</w:t>
      </w:r>
      <w:r>
        <w:rPr>
          <w:rFonts w:hint="eastAsia"/>
          <w:lang w:eastAsia="zh-CN"/>
        </w:rPr>
        <w:t>100.00%</w:t>
      </w:r>
      <w:r>
        <w:rPr>
          <w:rFonts w:hint="eastAsia"/>
        </w:rPr>
        <w:t>。</w:t>
      </w:r>
    </w:p>
    <w:p>
      <w:pPr>
        <w:ind w:firstLine="562"/>
        <w:rPr>
          <w:rFonts w:hint="eastAsia"/>
          <w:b/>
          <w:bCs/>
        </w:rPr>
      </w:pPr>
      <w:r>
        <w:rPr>
          <w:rFonts w:hint="eastAsia"/>
          <w:b/>
          <w:bCs/>
          <w:lang w:eastAsia="zh-CN"/>
        </w:rPr>
        <w:t>物业管理合格率：</w:t>
      </w:r>
      <w:r>
        <w:rPr>
          <w:rFonts w:hint="eastAsia"/>
          <w:b w:val="0"/>
          <w:bCs w:val="0"/>
        </w:rPr>
        <w:t>年度目标值</w:t>
      </w:r>
      <w:r>
        <w:rPr>
          <w:rFonts w:hint="eastAsia"/>
          <w:b w:val="0"/>
          <w:bCs w:val="0"/>
          <w:lang w:eastAsia="zh-CN"/>
        </w:rPr>
        <w:t>100.00%</w:t>
      </w:r>
      <w:r>
        <w:rPr>
          <w:rFonts w:hint="eastAsia"/>
          <w:b w:val="0"/>
          <w:bCs w:val="0"/>
        </w:rPr>
        <w:t>，实际完成值</w:t>
      </w:r>
      <w:r>
        <w:rPr>
          <w:rFonts w:hint="eastAsia"/>
          <w:b w:val="0"/>
          <w:bCs w:val="0"/>
          <w:lang w:val="en-US" w:eastAsia="zh-CN"/>
        </w:rPr>
        <w:t>100.00%</w:t>
      </w:r>
      <w:r>
        <w:rPr>
          <w:rFonts w:hint="eastAsia"/>
          <w:b w:val="0"/>
          <w:bCs w:val="0"/>
        </w:rPr>
        <w:t>。指标分值3.33</w:t>
      </w:r>
      <w:r>
        <w:rPr>
          <w:rFonts w:hint="eastAsia"/>
        </w:rPr>
        <w:t>分，自评得分3.33分，得分率为</w:t>
      </w:r>
      <w:r>
        <w:rPr>
          <w:rFonts w:hint="eastAsia"/>
          <w:lang w:eastAsia="zh-CN"/>
        </w:rPr>
        <w:t>100.00%</w:t>
      </w:r>
      <w:r>
        <w:rPr>
          <w:rFonts w:hint="eastAsia"/>
        </w:rPr>
        <w:t>。</w:t>
      </w:r>
    </w:p>
    <w:p>
      <w:pPr>
        <w:ind w:firstLine="562"/>
        <w:rPr>
          <w:rFonts w:hint="eastAsia"/>
          <w:b/>
          <w:bCs/>
        </w:rPr>
      </w:pPr>
      <w:r>
        <w:rPr>
          <w:rFonts w:hint="eastAsia"/>
          <w:b/>
          <w:bCs/>
          <w:lang w:eastAsia="zh-CN"/>
        </w:rPr>
        <w:t>信息化运维服务验收合格率：</w:t>
      </w:r>
      <w:r>
        <w:rPr>
          <w:rFonts w:hint="eastAsia"/>
          <w:b w:val="0"/>
          <w:bCs w:val="0"/>
        </w:rPr>
        <w:t>年度目标值</w:t>
      </w:r>
      <w:r>
        <w:rPr>
          <w:rFonts w:hint="eastAsia"/>
          <w:b w:val="0"/>
          <w:bCs w:val="0"/>
          <w:lang w:eastAsia="zh-CN"/>
        </w:rPr>
        <w:t>100.00%</w:t>
      </w:r>
      <w:r>
        <w:rPr>
          <w:rFonts w:hint="eastAsia"/>
          <w:b w:val="0"/>
          <w:bCs w:val="0"/>
        </w:rPr>
        <w:t>，实际完成值</w:t>
      </w:r>
      <w:r>
        <w:rPr>
          <w:rFonts w:hint="eastAsia"/>
          <w:b w:val="0"/>
          <w:bCs w:val="0"/>
          <w:lang w:val="en-US" w:eastAsia="zh-CN"/>
        </w:rPr>
        <w:t>100.00%</w:t>
      </w:r>
      <w:r>
        <w:rPr>
          <w:rFonts w:hint="eastAsia"/>
          <w:b w:val="0"/>
          <w:bCs w:val="0"/>
        </w:rPr>
        <w:t>。指标分值3.33</w:t>
      </w:r>
      <w:r>
        <w:rPr>
          <w:rFonts w:hint="eastAsia"/>
        </w:rPr>
        <w:t>分，自评得分3.33分，得分率为</w:t>
      </w:r>
      <w:r>
        <w:rPr>
          <w:rFonts w:hint="eastAsia"/>
          <w:lang w:eastAsia="zh-CN"/>
        </w:rPr>
        <w:t>100.00%</w:t>
      </w:r>
      <w:r>
        <w:rPr>
          <w:rFonts w:hint="eastAsia"/>
        </w:rPr>
        <w:t>。</w:t>
      </w:r>
    </w:p>
    <w:p>
      <w:pPr>
        <w:ind w:firstLine="562"/>
        <w:rPr>
          <w:rFonts w:hint="eastAsia"/>
          <w:b/>
          <w:bCs/>
        </w:rPr>
      </w:pPr>
      <w:r>
        <w:rPr>
          <w:rFonts w:hint="eastAsia"/>
          <w:b/>
          <w:bCs/>
          <w:lang w:eastAsia="zh-CN"/>
        </w:rPr>
        <w:t>一审服判息诉率：</w:t>
      </w:r>
      <w:r>
        <w:rPr>
          <w:rFonts w:hint="eastAsia"/>
          <w:b w:val="0"/>
          <w:bCs w:val="0"/>
        </w:rPr>
        <w:t>年度目标值</w:t>
      </w:r>
      <w:r>
        <w:rPr>
          <w:rFonts w:hint="eastAsia"/>
          <w:b w:val="0"/>
          <w:bCs w:val="0"/>
          <w:lang w:eastAsia="zh-CN"/>
        </w:rPr>
        <w:t>大于等于</w:t>
      </w:r>
      <w:r>
        <w:rPr>
          <w:rFonts w:hint="eastAsia"/>
          <w:b w:val="0"/>
          <w:bCs w:val="0"/>
          <w:lang w:val="en-US" w:eastAsia="zh-CN"/>
        </w:rPr>
        <w:t>90</w:t>
      </w:r>
      <w:r>
        <w:rPr>
          <w:rFonts w:hint="eastAsia"/>
          <w:b w:val="0"/>
          <w:bCs w:val="0"/>
          <w:lang w:eastAsia="zh-CN"/>
        </w:rPr>
        <w:t>%</w:t>
      </w:r>
      <w:r>
        <w:rPr>
          <w:rFonts w:hint="eastAsia"/>
          <w:b w:val="0"/>
          <w:bCs w:val="0"/>
        </w:rPr>
        <w:t>，实际完成值</w:t>
      </w:r>
      <w:r>
        <w:rPr>
          <w:rFonts w:hint="eastAsia"/>
          <w:b w:val="0"/>
          <w:bCs w:val="0"/>
          <w:lang w:val="en-US" w:eastAsia="zh-CN"/>
        </w:rPr>
        <w:t>35%</w:t>
      </w:r>
      <w:r>
        <w:rPr>
          <w:rFonts w:hint="eastAsia"/>
          <w:b w:val="0"/>
          <w:bCs w:val="0"/>
        </w:rPr>
        <w:t>。指标分值</w:t>
      </w:r>
      <w:r>
        <w:rPr>
          <w:rFonts w:hint="eastAsia"/>
          <w:b w:val="0"/>
          <w:bCs w:val="0"/>
          <w:lang w:val="en-US" w:eastAsia="zh-CN"/>
        </w:rPr>
        <w:t>3.33</w:t>
      </w:r>
      <w:r>
        <w:rPr>
          <w:rFonts w:hint="eastAsia"/>
        </w:rPr>
        <w:t>分，自评得分1.3分，得分率为</w:t>
      </w:r>
      <w:r>
        <w:rPr>
          <w:rFonts w:hint="eastAsia"/>
          <w:lang w:val="en-US" w:eastAsia="zh-CN"/>
        </w:rPr>
        <w:t>39.03</w:t>
      </w:r>
      <w:r>
        <w:rPr>
          <w:rFonts w:hint="eastAsia"/>
          <w:lang w:eastAsia="zh-CN"/>
        </w:rPr>
        <w:t>%</w:t>
      </w:r>
      <w:r>
        <w:rPr>
          <w:rFonts w:hint="eastAsia"/>
        </w:rPr>
        <w:t>。</w:t>
      </w:r>
    </w:p>
    <w:p>
      <w:pPr>
        <w:ind w:firstLine="562"/>
        <w:rPr>
          <w:rFonts w:hint="eastAsia"/>
          <w:b/>
          <w:bCs/>
          <w:lang w:eastAsia="zh-CN"/>
        </w:rPr>
      </w:pPr>
      <w:r>
        <w:rPr>
          <w:rFonts w:hint="eastAsia"/>
          <w:b/>
          <w:bCs/>
          <w:lang w:eastAsia="zh-CN"/>
        </w:rPr>
        <w:t>办案经费支付及时率：</w:t>
      </w:r>
      <w:r>
        <w:rPr>
          <w:rFonts w:hint="eastAsia"/>
          <w:b w:val="0"/>
          <w:bCs w:val="0"/>
          <w:lang w:eastAsia="zh-CN"/>
        </w:rPr>
        <w:t>我院</w:t>
      </w:r>
      <w:r>
        <w:rPr>
          <w:rFonts w:hint="eastAsia"/>
          <w:b w:val="0"/>
          <w:bCs w:val="0"/>
          <w:lang w:val="en-US" w:eastAsia="zh-CN"/>
        </w:rPr>
        <w:t>2023年办案经费支付及时</w:t>
      </w:r>
      <w:r>
        <w:rPr>
          <w:rFonts w:hint="eastAsia"/>
          <w:b w:val="0"/>
          <w:bCs w:val="0"/>
        </w:rPr>
        <w:t>。指标分值3.33</w:t>
      </w:r>
      <w:r>
        <w:rPr>
          <w:rFonts w:hint="eastAsia"/>
        </w:rPr>
        <w:t>分，自评得分3.33分，得分率为</w:t>
      </w:r>
      <w:r>
        <w:rPr>
          <w:rFonts w:hint="eastAsia"/>
          <w:lang w:eastAsia="zh-CN"/>
        </w:rPr>
        <w:t>100.00%</w:t>
      </w:r>
      <w:r>
        <w:rPr>
          <w:rFonts w:hint="eastAsia"/>
        </w:rPr>
        <w:t>。</w:t>
      </w:r>
    </w:p>
    <w:p>
      <w:pPr>
        <w:ind w:firstLine="562"/>
        <w:rPr>
          <w:rFonts w:hint="eastAsia"/>
          <w:b/>
          <w:bCs/>
          <w:lang w:eastAsia="zh-CN"/>
        </w:rPr>
      </w:pPr>
      <w:r>
        <w:rPr>
          <w:rFonts w:hint="eastAsia"/>
          <w:b/>
          <w:bCs/>
        </w:rPr>
        <w:t>法定审限内结案率</w:t>
      </w:r>
      <w:r>
        <w:rPr>
          <w:rFonts w:hint="eastAsia"/>
          <w:b/>
          <w:bCs/>
          <w:lang w:eastAsia="zh-CN"/>
        </w:rPr>
        <w:t>：</w:t>
      </w:r>
      <w:r>
        <w:rPr>
          <w:rFonts w:hint="eastAsia"/>
          <w:b w:val="0"/>
          <w:bCs w:val="0"/>
        </w:rPr>
        <w:t>年度目标值</w:t>
      </w:r>
      <w:r>
        <w:rPr>
          <w:rFonts w:hint="eastAsia"/>
          <w:b w:val="0"/>
          <w:bCs w:val="0"/>
          <w:lang w:eastAsia="zh-CN"/>
        </w:rPr>
        <w:t>大于等于</w:t>
      </w:r>
      <w:r>
        <w:rPr>
          <w:rFonts w:hint="eastAsia"/>
          <w:b w:val="0"/>
          <w:bCs w:val="0"/>
          <w:lang w:val="en-US" w:eastAsia="zh-CN"/>
        </w:rPr>
        <w:t>90%</w:t>
      </w:r>
      <w:r>
        <w:rPr>
          <w:rFonts w:hint="eastAsia"/>
          <w:b w:val="0"/>
          <w:bCs w:val="0"/>
        </w:rPr>
        <w:t>，实际完成值</w:t>
      </w:r>
      <w:r>
        <w:rPr>
          <w:rFonts w:hint="eastAsia"/>
          <w:b w:val="0"/>
          <w:bCs w:val="0"/>
          <w:lang w:val="en-US" w:eastAsia="zh-CN"/>
        </w:rPr>
        <w:t>100.00%</w:t>
      </w:r>
      <w:r>
        <w:rPr>
          <w:rFonts w:hint="eastAsia"/>
          <w:b w:val="0"/>
          <w:bCs w:val="0"/>
        </w:rPr>
        <w:t>。指标分值3.33</w:t>
      </w:r>
      <w:r>
        <w:rPr>
          <w:rFonts w:hint="eastAsia"/>
        </w:rPr>
        <w:t>分，自评得分3.33分，得分率为</w:t>
      </w:r>
      <w:r>
        <w:rPr>
          <w:rFonts w:hint="eastAsia"/>
          <w:lang w:eastAsia="zh-CN"/>
        </w:rPr>
        <w:t>100.00%</w:t>
      </w:r>
      <w:r>
        <w:rPr>
          <w:rFonts w:hint="eastAsia"/>
        </w:rPr>
        <w:t>。</w:t>
      </w:r>
    </w:p>
    <w:p>
      <w:pPr>
        <w:ind w:firstLine="562"/>
        <w:rPr>
          <w:rFonts w:hint="eastAsia"/>
          <w:b/>
          <w:bCs/>
          <w:lang w:eastAsia="zh-CN"/>
        </w:rPr>
      </w:pPr>
      <w:r>
        <w:rPr>
          <w:rFonts w:hint="eastAsia"/>
          <w:b/>
          <w:bCs/>
        </w:rPr>
        <w:t>维修修护及时性</w:t>
      </w:r>
      <w:r>
        <w:rPr>
          <w:rFonts w:hint="eastAsia"/>
          <w:b/>
          <w:bCs/>
          <w:lang w:eastAsia="zh-CN"/>
        </w:rPr>
        <w:t>：</w:t>
      </w:r>
      <w:r>
        <w:rPr>
          <w:rFonts w:hint="eastAsia"/>
          <w:b w:val="0"/>
          <w:bCs w:val="0"/>
          <w:lang w:eastAsia="zh-CN"/>
        </w:rPr>
        <w:t>我院</w:t>
      </w:r>
      <w:r>
        <w:rPr>
          <w:rFonts w:hint="eastAsia"/>
          <w:b w:val="0"/>
          <w:bCs w:val="0"/>
          <w:lang w:val="en-US" w:eastAsia="zh-CN"/>
        </w:rPr>
        <w:t>2023年维修修护及时</w:t>
      </w:r>
      <w:r>
        <w:rPr>
          <w:rFonts w:hint="eastAsia"/>
          <w:b w:val="0"/>
          <w:bCs w:val="0"/>
        </w:rPr>
        <w:t>。指标分值3.33</w:t>
      </w:r>
      <w:r>
        <w:rPr>
          <w:rFonts w:hint="eastAsia"/>
        </w:rPr>
        <w:t>分，自评得分3.33分，得分率为</w:t>
      </w:r>
      <w:r>
        <w:rPr>
          <w:rFonts w:hint="eastAsia"/>
          <w:lang w:eastAsia="zh-CN"/>
        </w:rPr>
        <w:t>100.00%</w:t>
      </w:r>
      <w:r>
        <w:rPr>
          <w:rFonts w:hint="eastAsia"/>
        </w:rPr>
        <w:t>。</w:t>
      </w:r>
    </w:p>
    <w:p>
      <w:pPr>
        <w:ind w:firstLine="562"/>
        <w:rPr>
          <w:rFonts w:hint="eastAsia"/>
        </w:rPr>
      </w:pPr>
      <w:r>
        <w:rPr>
          <w:rFonts w:hint="eastAsia"/>
          <w:b/>
          <w:bCs/>
          <w:lang w:eastAsia="zh-CN"/>
        </w:rPr>
        <w:t>信息化运维工作及时性：</w:t>
      </w:r>
      <w:r>
        <w:rPr>
          <w:rFonts w:hint="eastAsia"/>
          <w:b w:val="0"/>
          <w:bCs w:val="0"/>
          <w:lang w:eastAsia="zh-CN"/>
        </w:rPr>
        <w:t>我院</w:t>
      </w:r>
      <w:r>
        <w:rPr>
          <w:rFonts w:hint="eastAsia"/>
          <w:b w:val="0"/>
          <w:bCs w:val="0"/>
          <w:lang w:val="en-US" w:eastAsia="zh-CN"/>
        </w:rPr>
        <w:t>2023年信息化运维工作及时</w:t>
      </w:r>
      <w:r>
        <w:rPr>
          <w:rFonts w:hint="eastAsia"/>
        </w:rPr>
        <w:t>。指标分值</w:t>
      </w:r>
      <w:r>
        <w:rPr>
          <w:rFonts w:hint="eastAsia"/>
          <w:b w:val="0"/>
          <w:bCs w:val="0"/>
        </w:rPr>
        <w:t>3.33</w:t>
      </w:r>
      <w:r>
        <w:rPr>
          <w:rFonts w:hint="eastAsia"/>
        </w:rPr>
        <w:t>分，自评得分3.33分，得分率为</w:t>
      </w:r>
      <w:r>
        <w:rPr>
          <w:rFonts w:hint="eastAsia"/>
          <w:lang w:eastAsia="zh-CN"/>
        </w:rPr>
        <w:t>100.00%</w:t>
      </w:r>
      <w:r>
        <w:rPr>
          <w:rFonts w:hint="eastAsia"/>
        </w:rPr>
        <w:t>。</w:t>
      </w:r>
    </w:p>
    <w:p>
      <w:pPr>
        <w:pStyle w:val="6"/>
        <w:widowControl w:val="0"/>
        <w:numPr>
          <w:numId w:val="0"/>
        </w:numPr>
        <w:wordWrap/>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（3）效益指标</w:t>
      </w:r>
    </w:p>
    <w:p>
      <w:pPr>
        <w:widowControl w:val="0"/>
        <w:wordWrap/>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效益指标下设经济效益、社会效益指标、生态效益指标3个二级指标。总分值20分，得分20分，得分率100.00%。</w:t>
      </w:r>
    </w:p>
    <w:tbl>
      <w:tblPr>
        <w:tblStyle w:val="27"/>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4"/>
        <w:gridCol w:w="2219"/>
        <w:gridCol w:w="1350"/>
        <w:gridCol w:w="1200"/>
        <w:gridCol w:w="810"/>
        <w:gridCol w:w="85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二级指标</w:t>
            </w:r>
          </w:p>
        </w:tc>
        <w:tc>
          <w:tcPr>
            <w:tcW w:w="2219"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三级指标</w:t>
            </w:r>
          </w:p>
        </w:tc>
        <w:tc>
          <w:tcPr>
            <w:tcW w:w="1350"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年度</w:t>
            </w:r>
          </w:p>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指标值</w:t>
            </w:r>
          </w:p>
        </w:tc>
        <w:tc>
          <w:tcPr>
            <w:tcW w:w="1200"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实际</w:t>
            </w:r>
          </w:p>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完成值</w:t>
            </w:r>
          </w:p>
        </w:tc>
        <w:tc>
          <w:tcPr>
            <w:tcW w:w="810"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分值</w:t>
            </w:r>
          </w:p>
        </w:tc>
        <w:tc>
          <w:tcPr>
            <w:tcW w:w="853" w:type="dxa"/>
            <w:shd w:val="clear" w:color="auto" w:fill="BDD6EE"/>
            <w:vAlign w:val="center"/>
          </w:tcPr>
          <w:p>
            <w:pPr>
              <w:widowControl/>
              <w:ind w:left="0" w:leftChars="0" w:firstLine="0" w:firstLineChars="0"/>
              <w:jc w:val="both"/>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自评</w:t>
            </w:r>
          </w:p>
          <w:p>
            <w:pPr>
              <w:widowControl/>
              <w:ind w:left="0" w:leftChars="0" w:firstLine="0" w:firstLineChars="0"/>
              <w:jc w:val="both"/>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得分</w:t>
            </w:r>
          </w:p>
        </w:tc>
        <w:tc>
          <w:tcPr>
            <w:tcW w:w="1093"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544"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0"/>
                <w:szCs w:val="20"/>
                <w:u w:val="none"/>
                <w:lang w:val="en-US" w:eastAsia="zh-CN"/>
              </w:rPr>
              <w:t>经济效益指标</w:t>
            </w:r>
          </w:p>
        </w:tc>
        <w:tc>
          <w:tcPr>
            <w:tcW w:w="2219"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挽回经济损失效果</w:t>
            </w:r>
          </w:p>
        </w:tc>
        <w:tc>
          <w:tcPr>
            <w:tcW w:w="135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显著</w:t>
            </w:r>
          </w:p>
        </w:tc>
        <w:tc>
          <w:tcPr>
            <w:tcW w:w="120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92%</w:t>
            </w:r>
          </w:p>
        </w:tc>
        <w:tc>
          <w:tcPr>
            <w:tcW w:w="810"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853"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1093"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544" w:type="dxa"/>
            <w:vMerge w:val="restart"/>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社会效益指标</w:t>
            </w:r>
          </w:p>
        </w:tc>
        <w:tc>
          <w:tcPr>
            <w:tcW w:w="2219"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维护社会稳定</w:t>
            </w:r>
          </w:p>
        </w:tc>
        <w:tc>
          <w:tcPr>
            <w:tcW w:w="135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良好</w:t>
            </w:r>
          </w:p>
        </w:tc>
        <w:tc>
          <w:tcPr>
            <w:tcW w:w="12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c>
          <w:tcPr>
            <w:tcW w:w="81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853"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1093"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544" w:type="dxa"/>
            <w:vMerge w:val="continue"/>
            <w:vAlign w:val="center"/>
          </w:tcPr>
          <w:p>
            <w:pPr>
              <w:jc w:val="center"/>
              <w:rPr>
                <w:rFonts w:hint="eastAsia" w:ascii="宋体" w:hAnsi="宋体" w:eastAsia="宋体" w:cs="宋体"/>
                <w:i w:val="0"/>
                <w:iCs w:val="0"/>
                <w:color w:val="333333"/>
                <w:kern w:val="0"/>
                <w:sz w:val="20"/>
                <w:szCs w:val="20"/>
                <w:u w:val="none"/>
                <w:lang w:val="en-US" w:eastAsia="zh-CN"/>
              </w:rPr>
            </w:pPr>
          </w:p>
        </w:tc>
        <w:tc>
          <w:tcPr>
            <w:tcW w:w="2219"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有效保障审判服务</w:t>
            </w:r>
          </w:p>
        </w:tc>
        <w:tc>
          <w:tcPr>
            <w:tcW w:w="135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有效保障</w:t>
            </w:r>
          </w:p>
        </w:tc>
        <w:tc>
          <w:tcPr>
            <w:tcW w:w="12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98%</w:t>
            </w:r>
          </w:p>
        </w:tc>
        <w:tc>
          <w:tcPr>
            <w:tcW w:w="81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853"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1093"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544"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0"/>
                <w:szCs w:val="20"/>
                <w:u w:val="none"/>
                <w:lang w:val="en-US" w:eastAsia="zh-CN"/>
              </w:rPr>
              <w:t>生态效益指标</w:t>
            </w:r>
          </w:p>
        </w:tc>
        <w:tc>
          <w:tcPr>
            <w:tcW w:w="2219"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打击生态犯罪，维护生态秩序</w:t>
            </w:r>
          </w:p>
        </w:tc>
        <w:tc>
          <w:tcPr>
            <w:tcW w:w="135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有效维护</w:t>
            </w:r>
          </w:p>
        </w:tc>
        <w:tc>
          <w:tcPr>
            <w:tcW w:w="120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92%</w:t>
            </w:r>
          </w:p>
        </w:tc>
        <w:tc>
          <w:tcPr>
            <w:tcW w:w="810"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853"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1093"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widowControl/>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合计</w:t>
            </w:r>
          </w:p>
        </w:tc>
        <w:tc>
          <w:tcPr>
            <w:tcW w:w="2219"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350"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00"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10"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853"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widowControl/>
              <w:wordWrap/>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100.00%</w:t>
            </w:r>
          </w:p>
        </w:tc>
      </w:tr>
    </w:tbl>
    <w:p>
      <w:pPr>
        <w:widowControl w:val="0"/>
        <w:wordWrap/>
        <w:adjustRightInd/>
        <w:snapToGrid/>
        <w:ind w:firstLine="562"/>
        <w:textAlignment w:val="auto"/>
        <w:rPr>
          <w:rFonts w:hint="default" w:hAnsi="宋体"/>
          <w:szCs w:val="28"/>
          <w:lang w:val="en-US"/>
        </w:rPr>
      </w:pPr>
      <w:r>
        <w:rPr>
          <w:rFonts w:hint="eastAsia" w:hAnsi="宋体"/>
          <w:b/>
          <w:bCs/>
          <w:szCs w:val="28"/>
          <w:highlight w:val="none"/>
          <w:lang w:val="en-US" w:eastAsia="zh-CN"/>
        </w:rPr>
        <w:t>挽回经济损失效果</w:t>
      </w:r>
      <w:r>
        <w:rPr>
          <w:rFonts w:hint="eastAsia" w:hAnsi="宋体"/>
          <w:b/>
          <w:bCs/>
          <w:szCs w:val="28"/>
          <w:highlight w:val="none"/>
        </w:rPr>
        <w:t>：</w:t>
      </w:r>
      <w:r>
        <w:rPr>
          <w:rFonts w:hint="eastAsia" w:hAnsi="宋体"/>
        </w:rPr>
        <w:t>我院挽回经济损失效果</w:t>
      </w:r>
      <w:r>
        <w:rPr>
          <w:rFonts w:hint="eastAsia" w:hAnsi="宋体"/>
          <w:lang w:val="en-US" w:eastAsia="zh-CN"/>
        </w:rPr>
        <w:t>显著</w:t>
      </w:r>
      <w:r>
        <w:rPr>
          <w:rFonts w:hint="eastAsia" w:hAnsi="宋体" w:cs="宋体"/>
          <w:kern w:val="0"/>
        </w:rPr>
        <w:t>。</w:t>
      </w:r>
      <w:r>
        <w:rPr>
          <w:rFonts w:hint="eastAsia"/>
        </w:rPr>
        <w:t>该</w:t>
      </w:r>
      <w:r>
        <w:t>指标分值</w:t>
      </w:r>
      <w:r>
        <w:rPr>
          <w:rFonts w:hint="eastAsia"/>
          <w:lang w:val="en-US" w:eastAsia="zh-CN"/>
        </w:rPr>
        <w:t>5</w:t>
      </w:r>
      <w:r>
        <w:t>分，</w:t>
      </w:r>
      <w:r>
        <w:rPr>
          <w:rFonts w:hint="eastAsia"/>
        </w:rPr>
        <w:t>自评</w:t>
      </w:r>
      <w:r>
        <w:t>得分</w:t>
      </w:r>
      <w:r>
        <w:rPr>
          <w:rFonts w:hint="eastAsia"/>
          <w:lang w:val="en-US" w:eastAsia="zh-CN"/>
        </w:rPr>
        <w:t>5</w:t>
      </w:r>
      <w:r>
        <w:t>分，得分率为</w:t>
      </w:r>
      <w:r>
        <w:rPr>
          <w:rFonts w:hint="eastAsia" w:hAnsi="宋体"/>
          <w:b w:val="0"/>
          <w:bCs w:val="0"/>
          <w:szCs w:val="28"/>
          <w:lang w:val="en-US" w:eastAsia="zh-CN"/>
        </w:rPr>
        <w:t>100.00%。</w:t>
      </w:r>
    </w:p>
    <w:p>
      <w:pPr>
        <w:widowControl w:val="0"/>
        <w:wordWrap/>
        <w:adjustRightInd/>
        <w:snapToGrid/>
        <w:ind w:firstLine="562"/>
        <w:textAlignment w:val="auto"/>
        <w:rPr>
          <w:rFonts w:hint="eastAsia" w:hAnsi="宋体"/>
          <w:b/>
          <w:bCs/>
          <w:szCs w:val="28"/>
          <w:highlight w:val="none"/>
          <w:lang w:val="en-US" w:eastAsia="zh-CN"/>
        </w:rPr>
      </w:pPr>
      <w:r>
        <w:rPr>
          <w:rFonts w:hint="eastAsia" w:hAnsi="宋体"/>
          <w:b/>
          <w:bCs/>
          <w:szCs w:val="28"/>
          <w:highlight w:val="none"/>
          <w:lang w:val="en-US" w:eastAsia="zh-CN"/>
        </w:rPr>
        <w:t>维护社会稳定性：</w:t>
      </w:r>
      <w:r>
        <w:rPr>
          <w:rFonts w:hint="eastAsia" w:hAnsi="宋体"/>
          <w:b w:val="0"/>
          <w:bCs w:val="0"/>
          <w:szCs w:val="28"/>
          <w:highlight w:val="none"/>
          <w:lang w:val="en-US" w:eastAsia="zh-CN"/>
        </w:rPr>
        <w:t>2023年我院依法开展刑事审判，全力维护社会稳定；妥善解决民商纠纷，积极化解社会矛盾。该指标分值5分，根据评分标准自评得分5分，得分率为100.00%。</w:t>
      </w:r>
    </w:p>
    <w:p>
      <w:pPr>
        <w:widowControl w:val="0"/>
        <w:wordWrap/>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我院优化案件受理、审理、执行等各个环节的流程，提高办案效率和质量；加强对审判工作的监督和指导，保证审判活动的公正、公平。该指标年度指标值98%。指标分值5分，自评得分为5分，得分率为100.00%。</w:t>
      </w:r>
    </w:p>
    <w:p>
      <w:pPr>
        <w:widowControl w:val="0"/>
        <w:wordWrap/>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打击生态犯罪，维护生态秩序：</w:t>
      </w:r>
      <w:r>
        <w:rPr>
          <w:rFonts w:hint="eastAsia" w:hAnsi="宋体"/>
          <w:b w:val="0"/>
          <w:bCs w:val="0"/>
          <w:szCs w:val="28"/>
          <w:lang w:val="en-US" w:eastAsia="zh-CN"/>
        </w:rPr>
        <w:t>我院通过严格执法、加强司法宣传，让违法者承担相应的法律责任，增强公众的环保意识和法律意识，保护自然环境和生态系统的平衡。该指标年度指标值92%。指标分值5分，自评得分为5分，得分率为100.00%。</w:t>
      </w:r>
    </w:p>
    <w:p>
      <w:pPr>
        <w:pStyle w:val="6"/>
        <w:widowControl w:val="0"/>
        <w:numPr>
          <w:numId w:val="0"/>
        </w:numPr>
        <w:wordWrap/>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（4）服务对象满意度</w:t>
      </w:r>
    </w:p>
    <w:p>
      <w:pPr>
        <w:pStyle w:val="36"/>
        <w:widowControl w:val="0"/>
        <w:numPr>
          <w:numId w:val="0"/>
        </w:numPr>
        <w:wordWrap/>
        <w:adjustRightInd/>
        <w:snapToGrid/>
        <w:ind w:firstLine="560" w:firstLineChars="200"/>
        <w:jc w:val="both"/>
        <w:textAlignment w:val="auto"/>
        <w:rPr>
          <w:rFonts w:hint="eastAsia" w:ascii="仿宋_GB2312" w:hAnsi="宋体" w:eastAsia="仿宋_GB2312" w:cs="黑体"/>
          <w:b w:val="0"/>
          <w:bCs w:val="0"/>
          <w:kern w:val="2"/>
          <w:sz w:val="28"/>
          <w:szCs w:val="28"/>
          <w:lang w:val="en-US" w:eastAsia="zh-CN" w:bidi="ar-SA"/>
        </w:rPr>
      </w:pPr>
      <w:r>
        <w:rPr>
          <w:rFonts w:hint="eastAsia" w:ascii="仿宋_GB2312" w:hAnsi="宋体" w:eastAsia="仿宋_GB2312" w:cs="黑体"/>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黑体"/>
          <w:b w:val="0"/>
          <w:bCs w:val="0"/>
          <w:kern w:val="2"/>
          <w:sz w:val="28"/>
          <w:szCs w:val="28"/>
          <w:lang w:val="en-US" w:eastAsia="zh-CN" w:bidi="ar-SA"/>
        </w:rPr>
        <w:t>法院工作人员满意度。</w:t>
      </w:r>
      <w:r>
        <w:rPr>
          <w:rFonts w:hint="eastAsia" w:ascii="仿宋_GB2312" w:hAnsi="宋体" w:eastAsia="仿宋_GB2312" w:cs="黑体"/>
          <w:b w:val="0"/>
          <w:bCs w:val="0"/>
          <w:kern w:val="2"/>
          <w:sz w:val="28"/>
          <w:szCs w:val="28"/>
          <w:lang w:val="en-US" w:eastAsia="zh-CN" w:bidi="ar-SA"/>
        </w:rPr>
        <w:t>该指标分值合计10分，自评得分10分，得分率</w:t>
      </w:r>
      <w:r>
        <w:rPr>
          <w:rFonts w:hint="eastAsia" w:hAnsi="宋体" w:cs="黑体"/>
          <w:b w:val="0"/>
          <w:bCs w:val="0"/>
          <w:kern w:val="2"/>
          <w:sz w:val="28"/>
          <w:szCs w:val="28"/>
          <w:lang w:val="en-US" w:eastAsia="zh-CN" w:bidi="ar-SA"/>
        </w:rPr>
        <w:t>100.00%</w:t>
      </w:r>
      <w:r>
        <w:rPr>
          <w:rFonts w:hint="eastAsia" w:ascii="仿宋_GB2312" w:hAnsi="宋体" w:eastAsia="仿宋_GB2312" w:cs="黑体"/>
          <w:b w:val="0"/>
          <w:bCs w:val="0"/>
          <w:kern w:val="2"/>
          <w:sz w:val="28"/>
          <w:szCs w:val="28"/>
          <w:lang w:val="en-US" w:eastAsia="zh-CN" w:bidi="ar-SA"/>
        </w:rPr>
        <w:t>。</w:t>
      </w:r>
    </w:p>
    <w:p>
      <w:pPr>
        <w:spacing w:line="121" w:lineRule="exact"/>
      </w:pPr>
    </w:p>
    <w:tbl>
      <w:tblPr>
        <w:tblStyle w:val="27"/>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45"/>
        <w:gridCol w:w="2025"/>
        <w:gridCol w:w="1215"/>
        <w:gridCol w:w="1035"/>
        <w:gridCol w:w="885"/>
        <w:gridCol w:w="857"/>
        <w:gridCol w:w="1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045"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二级指标</w:t>
            </w:r>
          </w:p>
        </w:tc>
        <w:tc>
          <w:tcPr>
            <w:tcW w:w="2025"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三级指标</w:t>
            </w:r>
          </w:p>
        </w:tc>
        <w:tc>
          <w:tcPr>
            <w:tcW w:w="1215"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年度</w:t>
            </w:r>
          </w:p>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指标值</w:t>
            </w:r>
          </w:p>
        </w:tc>
        <w:tc>
          <w:tcPr>
            <w:tcW w:w="1035" w:type="dxa"/>
            <w:shd w:val="clear" w:color="auto" w:fill="BDD6EE"/>
            <w:vAlign w:val="center"/>
          </w:tcPr>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实际</w:t>
            </w:r>
          </w:p>
          <w:p>
            <w:pPr>
              <w:widowControl/>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完成值</w:t>
            </w:r>
          </w:p>
        </w:tc>
        <w:tc>
          <w:tcPr>
            <w:tcW w:w="885"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分值</w:t>
            </w:r>
          </w:p>
        </w:tc>
        <w:tc>
          <w:tcPr>
            <w:tcW w:w="857"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自评得分</w:t>
            </w:r>
          </w:p>
        </w:tc>
        <w:tc>
          <w:tcPr>
            <w:tcW w:w="1007" w:type="dxa"/>
            <w:shd w:val="clear" w:color="auto" w:fill="BDD6EE"/>
            <w:vAlign w:val="center"/>
          </w:tcPr>
          <w:p>
            <w:pPr>
              <w:widowControl/>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045" w:type="dxa"/>
            <w:vMerge w:val="restart"/>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333333"/>
                <w:kern w:val="0"/>
                <w:sz w:val="20"/>
                <w:szCs w:val="20"/>
                <w:u w:val="none"/>
                <w:lang w:val="en-US" w:eastAsia="zh-CN"/>
              </w:rPr>
              <w:t>服务对象满意度指标</w:t>
            </w:r>
          </w:p>
        </w:tc>
        <w:tc>
          <w:tcPr>
            <w:tcW w:w="2025" w:type="dxa"/>
            <w:vAlign w:val="center"/>
          </w:tcPr>
          <w:p>
            <w:pPr>
              <w:widowControl/>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当事人满意程度</w:t>
            </w:r>
          </w:p>
        </w:tc>
        <w:tc>
          <w:tcPr>
            <w:tcW w:w="121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满意</w:t>
            </w:r>
          </w:p>
        </w:tc>
        <w:tc>
          <w:tcPr>
            <w:tcW w:w="1035" w:type="dxa"/>
            <w:vAlign w:val="center"/>
          </w:tcPr>
          <w:p>
            <w:pPr>
              <w:widowControl/>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333333"/>
                <w:kern w:val="0"/>
                <w:sz w:val="20"/>
                <w:szCs w:val="20"/>
                <w:u w:val="none"/>
                <w:lang w:val="en-US" w:eastAsia="zh-CN"/>
              </w:rPr>
              <w:t>92.00%</w:t>
            </w:r>
          </w:p>
        </w:tc>
        <w:tc>
          <w:tcPr>
            <w:tcW w:w="885" w:type="dxa"/>
            <w:vAlign w:val="center"/>
          </w:tcPr>
          <w:p>
            <w:pPr>
              <w:widowControl/>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rPr>
              <w:t>5</w:t>
            </w:r>
          </w:p>
        </w:tc>
        <w:tc>
          <w:tcPr>
            <w:tcW w:w="857" w:type="dxa"/>
            <w:vAlign w:val="center"/>
          </w:tcPr>
          <w:p>
            <w:pPr>
              <w:widowControl/>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rPr>
              <w:t>5</w:t>
            </w:r>
          </w:p>
        </w:tc>
        <w:tc>
          <w:tcPr>
            <w:tcW w:w="1007" w:type="dxa"/>
            <w:vAlign w:val="center"/>
          </w:tcPr>
          <w:p>
            <w:pPr>
              <w:widowControl/>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045" w:type="dxa"/>
            <w:vMerge w:val="continue"/>
            <w:vAlign w:val="center"/>
          </w:tcPr>
          <w:p>
            <w:pPr>
              <w:jc w:val="center"/>
              <w:rPr>
                <w:rFonts w:hint="eastAsia" w:ascii="宋体" w:hAnsi="宋体" w:eastAsia="宋体" w:cs="宋体"/>
                <w:i w:val="0"/>
                <w:iCs w:val="0"/>
                <w:color w:val="000000"/>
                <w:kern w:val="0"/>
                <w:sz w:val="24"/>
                <w:szCs w:val="24"/>
                <w:u w:val="none"/>
                <w:lang w:val="en-US" w:eastAsia="zh-CN"/>
              </w:rPr>
            </w:pPr>
          </w:p>
        </w:tc>
        <w:tc>
          <w:tcPr>
            <w:tcW w:w="2025"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干警满意程度</w:t>
            </w:r>
          </w:p>
        </w:tc>
        <w:tc>
          <w:tcPr>
            <w:tcW w:w="121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满意</w:t>
            </w:r>
          </w:p>
        </w:tc>
        <w:tc>
          <w:tcPr>
            <w:tcW w:w="103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96.00%</w:t>
            </w:r>
          </w:p>
        </w:tc>
        <w:tc>
          <w:tcPr>
            <w:tcW w:w="885"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857" w:type="dxa"/>
            <w:vAlign w:val="center"/>
          </w:tcPr>
          <w:p>
            <w:pPr>
              <w:widowControl/>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5</w:t>
            </w:r>
          </w:p>
        </w:tc>
        <w:tc>
          <w:tcPr>
            <w:tcW w:w="1007" w:type="dxa"/>
            <w:vAlign w:val="center"/>
          </w:tcPr>
          <w:p>
            <w:pPr>
              <w:widowControl/>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rPr>
            </w:pPr>
            <w:r>
              <w:rPr>
                <w:rFonts w:hint="eastAsia" w:ascii="宋体" w:hAnsi="宋体" w:eastAsia="宋体" w:cs="宋体"/>
                <w:i w:val="0"/>
                <w:iCs w:val="0"/>
                <w:color w:val="333333"/>
                <w:kern w:val="0"/>
                <w:sz w:val="20"/>
                <w:szCs w:val="20"/>
                <w:u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53" w:hRule="atLeast"/>
          <w:tblHeader/>
          <w:jc w:val="center"/>
        </w:trPr>
        <w:tc>
          <w:tcPr>
            <w:tcW w:w="2045" w:type="dxa"/>
            <w:shd w:val="clear" w:color="auto" w:fill="BDD6EE"/>
            <w:vAlign w:val="center"/>
          </w:tcPr>
          <w:p>
            <w:pPr>
              <w:widowControl/>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合计</w:t>
            </w:r>
          </w:p>
        </w:tc>
        <w:tc>
          <w:tcPr>
            <w:tcW w:w="202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21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035" w:type="dxa"/>
            <w:shd w:val="clear" w:color="auto" w:fill="BDD6EE"/>
            <w:vAlign w:val="center"/>
          </w:tcPr>
          <w:p>
            <w:pPr>
              <w:widowControl/>
              <w:wordWrap/>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85"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857" w:type="dxa"/>
            <w:shd w:val="clear" w:color="auto" w:fill="BDD6EE"/>
            <w:vAlign w:val="center"/>
          </w:tcPr>
          <w:p>
            <w:pPr>
              <w:widowControl/>
              <w:wordWrap/>
              <w:adjustRightInd/>
              <w:snapToGrid/>
              <w:ind w:left="0" w:leftChars="0" w:firstLine="0" w:firstLineChars="0"/>
              <w:jc w:val="both"/>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07" w:type="dxa"/>
            <w:shd w:val="clear" w:color="auto" w:fill="BDD6EE"/>
            <w:vAlign w:val="center"/>
          </w:tcPr>
          <w:p>
            <w:pPr>
              <w:widowControl/>
              <w:wordWrap/>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rPr>
              <w:t>100.00%</w:t>
            </w:r>
          </w:p>
        </w:tc>
      </w:tr>
    </w:tbl>
    <w:p>
      <w:pPr>
        <w:widowControl w:val="0"/>
        <w:wordWrap/>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当事人满意程度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当事人满意程度</w:t>
      </w:r>
      <w:r>
        <w:rPr>
          <w:rFonts w:hint="eastAsia" w:ascii="仿宋_GB2312" w:hAnsi="仿宋_GB2312" w:eastAsia="仿宋_GB2312" w:cs="仿宋_GB2312"/>
          <w:color w:val="auto"/>
          <w:sz w:val="28"/>
          <w:szCs w:val="28"/>
          <w:lang w:val="en-US" w:eastAsia="zh-CN"/>
        </w:rPr>
        <w:t>达到</w:t>
      </w:r>
      <w:r>
        <w:rPr>
          <w:rFonts w:hint="eastAsia" w:cs="仿宋_GB2312"/>
          <w:color w:val="auto"/>
          <w:sz w:val="28"/>
          <w:szCs w:val="28"/>
          <w:lang w:val="en-US" w:eastAsia="zh-CN"/>
        </w:rPr>
        <w:t>92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ind w:firstLine="562"/>
        <w:rPr>
          <w:rFonts w:hint="eastAsia" w:ascii="仿宋_GB2312" w:hAnsi="仿宋_GB2312" w:eastAsia="仿宋_GB2312" w:cs="仿宋_GB2312"/>
          <w:sz w:val="28"/>
          <w:szCs w:val="28"/>
        </w:rPr>
      </w:pPr>
      <w:r>
        <w:rPr>
          <w:rFonts w:hint="eastAsia" w:cs="仿宋_GB2312"/>
          <w:b/>
          <w:bCs/>
          <w:sz w:val="28"/>
          <w:szCs w:val="28"/>
          <w:lang w:val="en-US" w:eastAsia="zh-CN"/>
        </w:rPr>
        <w:t>干警满意度</w:t>
      </w:r>
      <w:r>
        <w:rPr>
          <w:rFonts w:hint="eastAsia" w:ascii="仿宋_GB2312" w:hAnsi="仿宋_GB2312" w:eastAsia="仿宋_GB2312" w:cs="仿宋_GB2312"/>
          <w:b/>
          <w:bCs/>
          <w:sz w:val="28"/>
          <w:szCs w:val="28"/>
        </w:rPr>
        <w:t>：</w:t>
      </w:r>
      <w:r>
        <w:t>我院在院党组的正确领导和</w:t>
      </w:r>
      <w:r>
        <w:rPr>
          <w:rFonts w:hint="eastAsia"/>
        </w:rPr>
        <w:t>分管院领导的悉心指导下，坚持以审判需求为导向、以司法能力建设为核心、以社会责任为目标，忠实履职尽责，主动担当作为，书写了本院工作高质量发展的新篇章，通过满意度调查，干警对单位工作满意，</w:t>
      </w:r>
      <w:r>
        <w:t>达到</w:t>
      </w:r>
      <w:r>
        <w:rPr>
          <w:rFonts w:hint="eastAsia"/>
        </w:rPr>
        <w:t>了</w:t>
      </w:r>
      <w:r>
        <w:t>目标值</w:t>
      </w:r>
      <w:r>
        <w:rPr>
          <w:rFonts w:hint="eastAsia"/>
        </w:rPr>
        <w:t>，该指标分值5分，自评得分5分，得分率</w:t>
      </w:r>
      <w:r>
        <w:rPr>
          <w:rFonts w:hint="eastAsia"/>
          <w:lang w:eastAsia="zh-CN"/>
        </w:rPr>
        <w:t>100.00%</w:t>
      </w:r>
      <w:r>
        <w:rPr>
          <w:rFonts w:hint="eastAsia" w:ascii="仿宋_GB2312" w:hAnsi="仿宋_GB2312" w:eastAsia="仿宋_GB2312" w:cs="仿宋_GB2312"/>
          <w:sz w:val="28"/>
          <w:szCs w:val="28"/>
        </w:rPr>
        <w:t>。</w:t>
      </w:r>
    </w:p>
    <w:p>
      <w:pPr>
        <w:pStyle w:val="5"/>
        <w:keepNext/>
        <w:keepLines/>
        <w:widowControl w:val="0"/>
        <w:numPr>
          <w:numId w:val="0"/>
        </w:numPr>
        <w:wordWrap/>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widowControl w:val="0"/>
        <w:wordWrap/>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一审服判息诉率</w:t>
      </w:r>
      <w:r>
        <w:rPr>
          <w:rFonts w:hint="eastAsia" w:cs="仿宋_GB2312"/>
          <w:sz w:val="28"/>
          <w:szCs w:val="28"/>
          <w:lang w:eastAsia="zh-CN"/>
        </w:rPr>
        <w:t>、采购设备数量指标较年度目标值偏低，我院下年度将合理设置年初指标值</w:t>
      </w:r>
      <w:r>
        <w:rPr>
          <w:rFonts w:hint="eastAsia" w:ascii="仿宋_GB2312" w:hAnsi="仿宋_GB2312" w:eastAsia="仿宋_GB2312" w:cs="仿宋_GB2312"/>
          <w:sz w:val="28"/>
          <w:szCs w:val="28"/>
        </w:rPr>
        <w:t>。</w:t>
      </w:r>
    </w:p>
    <w:bookmarkEnd w:id="58"/>
    <w:bookmarkEnd w:id="59"/>
    <w:bookmarkEnd w:id="60"/>
    <w:bookmarkEnd w:id="61"/>
    <w:bookmarkEnd w:id="62"/>
    <w:p>
      <w:pPr>
        <w:pStyle w:val="3"/>
        <w:keepNext/>
        <w:keepLines/>
        <w:widowControl w:val="0"/>
        <w:wordWrap/>
        <w:adjustRightInd/>
        <w:snapToGrid/>
        <w:spacing w:before="0" w:after="0"/>
        <w:textAlignment w:val="auto"/>
        <w:rPr>
          <w:rFonts w:hint="eastAsia"/>
          <w:lang w:val="en-US" w:eastAsia="zh-CN"/>
        </w:rPr>
      </w:pPr>
      <w:bookmarkStart w:id="65" w:name="_Toc26665"/>
      <w:bookmarkStart w:id="66" w:name="_Toc32543"/>
      <w:bookmarkStart w:id="67" w:name="_Toc6252"/>
      <w:bookmarkStart w:id="68" w:name="_Toc9805"/>
      <w:r>
        <w:rPr>
          <w:rFonts w:hint="eastAsia"/>
          <w:lang w:val="en-US" w:eastAsia="zh-CN"/>
        </w:rPr>
        <w:t>五、绩效自评结果拟应用和公开情况</w:t>
      </w:r>
      <w:bookmarkEnd w:id="63"/>
      <w:bookmarkEnd w:id="64"/>
      <w:bookmarkEnd w:id="65"/>
      <w:bookmarkEnd w:id="66"/>
      <w:bookmarkEnd w:id="67"/>
      <w:bookmarkEnd w:id="68"/>
    </w:p>
    <w:p>
      <w:pPr>
        <w:widowControl/>
        <w:wordWrap/>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pPr>
        <w:pStyle w:val="3"/>
        <w:keepNext/>
        <w:keepLines/>
        <w:widowControl w:val="0"/>
        <w:wordWrap/>
        <w:adjustRightInd/>
        <w:snapToGrid/>
        <w:spacing w:before="0" w:after="0"/>
        <w:textAlignment w:val="auto"/>
        <w:rPr>
          <w:rFonts w:hint="eastAsia"/>
          <w:lang w:val="en-US" w:eastAsia="zh-CN"/>
        </w:rPr>
      </w:pPr>
      <w:bookmarkStart w:id="69" w:name="_Toc17181"/>
      <w:bookmarkStart w:id="70" w:name="_Toc21490"/>
      <w:bookmarkStart w:id="71" w:name="_Toc24763"/>
      <w:bookmarkStart w:id="72" w:name="_Toc6781"/>
      <w:bookmarkStart w:id="73" w:name="_Toc4491"/>
      <w:bookmarkStart w:id="74" w:name="_Toc40046066"/>
      <w:r>
        <w:rPr>
          <w:rFonts w:hint="eastAsia"/>
          <w:lang w:val="en-US" w:eastAsia="zh-CN"/>
        </w:rPr>
        <w:t>六、其他需要说明的问题</w:t>
      </w:r>
      <w:bookmarkEnd w:id="69"/>
      <w:bookmarkEnd w:id="70"/>
      <w:bookmarkEnd w:id="71"/>
      <w:bookmarkEnd w:id="72"/>
      <w:bookmarkEnd w:id="73"/>
      <w:bookmarkEnd w:id="74"/>
    </w:p>
    <w:p>
      <w:pPr>
        <w:widowControl/>
        <w:wordWrap/>
        <w:adjustRightInd/>
        <w:snapToGrid/>
        <w:ind w:firstLine="560"/>
        <w:jc w:val="both"/>
        <w:textAlignment w:val="auto"/>
      </w:pPr>
      <w:r>
        <w:rPr>
          <w:rFonts w:hint="eastAsia" w:hAnsi="宋体"/>
          <w:szCs w:val="28"/>
        </w:rPr>
        <w:t>无</w:t>
      </w:r>
    </w:p>
    <w:sectPr>
      <w:footerReference r:id="rId11"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altName w:val="Palatino Linotype"/>
    <w:panose1 w:val="02040503050406030204"/>
    <w:charset w:val="00"/>
    <w:family w:val="auto"/>
    <w:pitch w:val="default"/>
    <w:sig w:usb0="E00002FF" w:usb1="400004FF" w:usb2="00000000" w:usb3="00000000" w:csb0="2000019F" w:csb1="00000000"/>
  </w:font>
  <w:font w:name="Courier">
    <w:altName w:val="Courier New"/>
    <w:panose1 w:val="02070409020205020404"/>
    <w:charset w:val="00"/>
    <w:family w:val="auto"/>
    <w:pitch w:val="default"/>
    <w:sig w:usb0="00000000" w:usb1="00000000" w:usb2="00000000" w:usb3="00000000" w:csb0="00000001" w:csb1="00000000"/>
  </w:font>
  <w:font w:name="Calibri">
    <w:altName w:val="微软雅黑"/>
    <w:panose1 w:val="020F0502020204030204"/>
    <w:charset w:val="00"/>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ind w:firstLine="360"/>
      <w:jc w:val="center"/>
    </w:pPr>
    <w:r>
      <w:rPr>
        <w:rFonts w:ascii="仿宋_GB2312" w:hAnsi="仿宋_GB2312" w:eastAsia="仿宋_GB2312"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6"/>
                  <w:ind w:firstLine="360"/>
                  <w:jc w:val="center"/>
                </w:pPr>
                <w:r>
                  <w:fldChar w:fldCharType="begin"/>
                </w:r>
                <w:r>
                  <w:instrText xml:space="preserve">PAGE   \* MERGEFORMAT</w:instrText>
                </w:r>
                <w:r>
                  <w:fldChar w:fldCharType="separate"/>
                </w:r>
                <w:r>
                  <w:rPr>
                    <w:lang w:val="zh-CN"/>
                  </w:rPr>
                  <w:t>2</w:t>
                </w:r>
                <w:r>
                  <w:fldChar w:fldCharType="end"/>
                </w:r>
              </w:p>
              <w:p>
                <w:pPr>
                  <w:pStyle w:val="2"/>
                </w:pPr>
              </w:p>
            </w:txbxContent>
          </v:textbox>
        </v:rect>
      </w:pict>
    </w:r>
  </w:p>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U0NTk1N2I5NTdiYjQ3ZjZmYzliMzFiYjhkZWVmZGU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0544E"/>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16543"/>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3A109F"/>
    <w:rsid w:val="02441F1E"/>
    <w:rsid w:val="02510197"/>
    <w:rsid w:val="0294218E"/>
    <w:rsid w:val="02C72207"/>
    <w:rsid w:val="02CA7215"/>
    <w:rsid w:val="02D93C69"/>
    <w:rsid w:val="0305754E"/>
    <w:rsid w:val="032D4760"/>
    <w:rsid w:val="032D7033"/>
    <w:rsid w:val="0333242E"/>
    <w:rsid w:val="03586C8C"/>
    <w:rsid w:val="03B80F4C"/>
    <w:rsid w:val="03B93EF4"/>
    <w:rsid w:val="03DE64EE"/>
    <w:rsid w:val="04417E07"/>
    <w:rsid w:val="045D1075"/>
    <w:rsid w:val="046D109D"/>
    <w:rsid w:val="048605CC"/>
    <w:rsid w:val="04AE1CD1"/>
    <w:rsid w:val="04AE6573"/>
    <w:rsid w:val="04C826FC"/>
    <w:rsid w:val="04D710AE"/>
    <w:rsid w:val="05431AC5"/>
    <w:rsid w:val="055B4129"/>
    <w:rsid w:val="058F525E"/>
    <w:rsid w:val="05D64F65"/>
    <w:rsid w:val="05E41A4E"/>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B13A45"/>
    <w:rsid w:val="09B72FD5"/>
    <w:rsid w:val="09BE6112"/>
    <w:rsid w:val="09E177E9"/>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F023A"/>
    <w:rsid w:val="0D2766C4"/>
    <w:rsid w:val="0D2E7A52"/>
    <w:rsid w:val="0DD248FB"/>
    <w:rsid w:val="0DD423A8"/>
    <w:rsid w:val="0DE74A3D"/>
    <w:rsid w:val="0DF0188C"/>
    <w:rsid w:val="0DF46805"/>
    <w:rsid w:val="0E071816"/>
    <w:rsid w:val="0E130328"/>
    <w:rsid w:val="0E14510B"/>
    <w:rsid w:val="0E5E4367"/>
    <w:rsid w:val="0E791344"/>
    <w:rsid w:val="0E8C2C83"/>
    <w:rsid w:val="0E975183"/>
    <w:rsid w:val="0E9E4764"/>
    <w:rsid w:val="0EB9159E"/>
    <w:rsid w:val="0ECB20BE"/>
    <w:rsid w:val="0ECC7523"/>
    <w:rsid w:val="0F087E2F"/>
    <w:rsid w:val="0F0E7B3C"/>
    <w:rsid w:val="0F5301E5"/>
    <w:rsid w:val="0F821592"/>
    <w:rsid w:val="0F96368D"/>
    <w:rsid w:val="0FAD1102"/>
    <w:rsid w:val="0FBE7ED7"/>
    <w:rsid w:val="0FC91CB4"/>
    <w:rsid w:val="0FE30140"/>
    <w:rsid w:val="10546D82"/>
    <w:rsid w:val="106D6186"/>
    <w:rsid w:val="10795489"/>
    <w:rsid w:val="10953945"/>
    <w:rsid w:val="109A22B0"/>
    <w:rsid w:val="10ED0DA6"/>
    <w:rsid w:val="115B7B4E"/>
    <w:rsid w:val="119368FA"/>
    <w:rsid w:val="11A11963"/>
    <w:rsid w:val="11C03DEA"/>
    <w:rsid w:val="11C20FE9"/>
    <w:rsid w:val="11CF41B2"/>
    <w:rsid w:val="11E85901"/>
    <w:rsid w:val="126D4DDF"/>
    <w:rsid w:val="127C7ED8"/>
    <w:rsid w:val="12F942BB"/>
    <w:rsid w:val="132F1E2E"/>
    <w:rsid w:val="13592738"/>
    <w:rsid w:val="13DA4490"/>
    <w:rsid w:val="14055456"/>
    <w:rsid w:val="1410241B"/>
    <w:rsid w:val="14553B17"/>
    <w:rsid w:val="146A4AEC"/>
    <w:rsid w:val="14A1264A"/>
    <w:rsid w:val="14A14FAE"/>
    <w:rsid w:val="14A237DC"/>
    <w:rsid w:val="14C17805"/>
    <w:rsid w:val="15455939"/>
    <w:rsid w:val="154D47EE"/>
    <w:rsid w:val="1578500A"/>
    <w:rsid w:val="15937A9B"/>
    <w:rsid w:val="15B716F5"/>
    <w:rsid w:val="15D53382"/>
    <w:rsid w:val="160A3D95"/>
    <w:rsid w:val="16133C89"/>
    <w:rsid w:val="169A0A5A"/>
    <w:rsid w:val="16EA10E2"/>
    <w:rsid w:val="16F13FCB"/>
    <w:rsid w:val="171A2DA3"/>
    <w:rsid w:val="17364B64"/>
    <w:rsid w:val="17400B06"/>
    <w:rsid w:val="17914727"/>
    <w:rsid w:val="17A22D12"/>
    <w:rsid w:val="17A41D79"/>
    <w:rsid w:val="17D45E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A1A43C2"/>
    <w:rsid w:val="1A645D78"/>
    <w:rsid w:val="1A913C2A"/>
    <w:rsid w:val="1AB901AA"/>
    <w:rsid w:val="1ABA3711"/>
    <w:rsid w:val="1ACC2EC5"/>
    <w:rsid w:val="1B3604F2"/>
    <w:rsid w:val="1B367A94"/>
    <w:rsid w:val="1B391536"/>
    <w:rsid w:val="1B7C7BDB"/>
    <w:rsid w:val="1B7D7F7E"/>
    <w:rsid w:val="1BE0460E"/>
    <w:rsid w:val="1C770035"/>
    <w:rsid w:val="1C934265"/>
    <w:rsid w:val="1CA53161"/>
    <w:rsid w:val="1CA9356C"/>
    <w:rsid w:val="1CB60D97"/>
    <w:rsid w:val="1CC41839"/>
    <w:rsid w:val="1CCC06EE"/>
    <w:rsid w:val="1CD540C4"/>
    <w:rsid w:val="1CE82FAE"/>
    <w:rsid w:val="1D172F01"/>
    <w:rsid w:val="1D4B7A4A"/>
    <w:rsid w:val="1D6B5FA6"/>
    <w:rsid w:val="1DE5415D"/>
    <w:rsid w:val="1E0730ED"/>
    <w:rsid w:val="1E2C7696"/>
    <w:rsid w:val="1E4A23BC"/>
    <w:rsid w:val="1E5D0198"/>
    <w:rsid w:val="1E6A2247"/>
    <w:rsid w:val="1EC73863"/>
    <w:rsid w:val="1EFC175F"/>
    <w:rsid w:val="1F066139"/>
    <w:rsid w:val="1FA15E62"/>
    <w:rsid w:val="1FDB5818"/>
    <w:rsid w:val="201C2D22"/>
    <w:rsid w:val="204131A1"/>
    <w:rsid w:val="20462111"/>
    <w:rsid w:val="205A1343"/>
    <w:rsid w:val="206A11BC"/>
    <w:rsid w:val="20B724D5"/>
    <w:rsid w:val="21132B7C"/>
    <w:rsid w:val="215313DE"/>
    <w:rsid w:val="216E0AF3"/>
    <w:rsid w:val="21A10725"/>
    <w:rsid w:val="21D94E53"/>
    <w:rsid w:val="21E94BEF"/>
    <w:rsid w:val="22AE21A3"/>
    <w:rsid w:val="22C541CF"/>
    <w:rsid w:val="22F26762"/>
    <w:rsid w:val="22F3461B"/>
    <w:rsid w:val="23720241"/>
    <w:rsid w:val="238D685A"/>
    <w:rsid w:val="23A31DC3"/>
    <w:rsid w:val="23AF71DA"/>
    <w:rsid w:val="23C10B07"/>
    <w:rsid w:val="23C75000"/>
    <w:rsid w:val="24223CEC"/>
    <w:rsid w:val="247C56A2"/>
    <w:rsid w:val="248C0A40"/>
    <w:rsid w:val="24A819DF"/>
    <w:rsid w:val="24E54A43"/>
    <w:rsid w:val="25AB104A"/>
    <w:rsid w:val="25D37B28"/>
    <w:rsid w:val="25E12217"/>
    <w:rsid w:val="26323CB8"/>
    <w:rsid w:val="26555BF8"/>
    <w:rsid w:val="26893043"/>
    <w:rsid w:val="269A7D3C"/>
    <w:rsid w:val="26D0702D"/>
    <w:rsid w:val="26F7720B"/>
    <w:rsid w:val="270E5FB0"/>
    <w:rsid w:val="27EC5A7D"/>
    <w:rsid w:val="27F751B9"/>
    <w:rsid w:val="27FA58DE"/>
    <w:rsid w:val="281C4006"/>
    <w:rsid w:val="2841391F"/>
    <w:rsid w:val="28452D46"/>
    <w:rsid w:val="2872534E"/>
    <w:rsid w:val="28A571DE"/>
    <w:rsid w:val="28BB61E6"/>
    <w:rsid w:val="28F33A63"/>
    <w:rsid w:val="28FA0449"/>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252A91"/>
    <w:rsid w:val="2B4017F0"/>
    <w:rsid w:val="2B4F5D38"/>
    <w:rsid w:val="2B6348E0"/>
    <w:rsid w:val="2B786611"/>
    <w:rsid w:val="2B970537"/>
    <w:rsid w:val="2BE76212"/>
    <w:rsid w:val="2C09185D"/>
    <w:rsid w:val="2C0F7531"/>
    <w:rsid w:val="2C7A0167"/>
    <w:rsid w:val="2C8F33BD"/>
    <w:rsid w:val="2C8F54B1"/>
    <w:rsid w:val="2D03015C"/>
    <w:rsid w:val="2D5662C8"/>
    <w:rsid w:val="2D8868B3"/>
    <w:rsid w:val="2DF56335"/>
    <w:rsid w:val="2DF9286A"/>
    <w:rsid w:val="2ED6443A"/>
    <w:rsid w:val="2EE138F7"/>
    <w:rsid w:val="2F0C4BE3"/>
    <w:rsid w:val="2F2B5748"/>
    <w:rsid w:val="2F377CAB"/>
    <w:rsid w:val="2F4D1ED1"/>
    <w:rsid w:val="2FCB61DD"/>
    <w:rsid w:val="2FE34275"/>
    <w:rsid w:val="30952D41"/>
    <w:rsid w:val="30DD0CC4"/>
    <w:rsid w:val="30E271B6"/>
    <w:rsid w:val="31397F4B"/>
    <w:rsid w:val="314C0871"/>
    <w:rsid w:val="31541DBA"/>
    <w:rsid w:val="315471D8"/>
    <w:rsid w:val="317070E4"/>
    <w:rsid w:val="31775428"/>
    <w:rsid w:val="318F7220"/>
    <w:rsid w:val="31B63FAB"/>
    <w:rsid w:val="31D25FD2"/>
    <w:rsid w:val="31D65E3F"/>
    <w:rsid w:val="31EB672C"/>
    <w:rsid w:val="31F02617"/>
    <w:rsid w:val="31FE616A"/>
    <w:rsid w:val="329A6E6D"/>
    <w:rsid w:val="32DC4272"/>
    <w:rsid w:val="32F72511"/>
    <w:rsid w:val="33150BE9"/>
    <w:rsid w:val="336C775A"/>
    <w:rsid w:val="33725861"/>
    <w:rsid w:val="339F106A"/>
    <w:rsid w:val="33CF4883"/>
    <w:rsid w:val="33D62126"/>
    <w:rsid w:val="33D75E9F"/>
    <w:rsid w:val="33DE375D"/>
    <w:rsid w:val="33F71B1A"/>
    <w:rsid w:val="342E014E"/>
    <w:rsid w:val="34621C87"/>
    <w:rsid w:val="346A0719"/>
    <w:rsid w:val="34B306BA"/>
    <w:rsid w:val="34BC46A1"/>
    <w:rsid w:val="34D36666"/>
    <w:rsid w:val="34F146C2"/>
    <w:rsid w:val="351358AA"/>
    <w:rsid w:val="35303AB8"/>
    <w:rsid w:val="35324607"/>
    <w:rsid w:val="356D6ABA"/>
    <w:rsid w:val="36070CBD"/>
    <w:rsid w:val="363277FD"/>
    <w:rsid w:val="36483084"/>
    <w:rsid w:val="365E57FF"/>
    <w:rsid w:val="3662296A"/>
    <w:rsid w:val="366A70C8"/>
    <w:rsid w:val="36780E60"/>
    <w:rsid w:val="36AF7935"/>
    <w:rsid w:val="36B928EF"/>
    <w:rsid w:val="36D901FE"/>
    <w:rsid w:val="37164F30"/>
    <w:rsid w:val="37215DAE"/>
    <w:rsid w:val="372B7BCD"/>
    <w:rsid w:val="376728C4"/>
    <w:rsid w:val="376E08C8"/>
    <w:rsid w:val="379067CC"/>
    <w:rsid w:val="37F60FE9"/>
    <w:rsid w:val="38021539"/>
    <w:rsid w:val="380A28CA"/>
    <w:rsid w:val="38206066"/>
    <w:rsid w:val="383A2C56"/>
    <w:rsid w:val="38514471"/>
    <w:rsid w:val="388C6E04"/>
    <w:rsid w:val="389A5030"/>
    <w:rsid w:val="38A327F3"/>
    <w:rsid w:val="38E250CA"/>
    <w:rsid w:val="39A62C24"/>
    <w:rsid w:val="39B95231"/>
    <w:rsid w:val="39E7313A"/>
    <w:rsid w:val="39EC1C54"/>
    <w:rsid w:val="3A1F19CA"/>
    <w:rsid w:val="3A2F206E"/>
    <w:rsid w:val="3A8B731D"/>
    <w:rsid w:val="3A946897"/>
    <w:rsid w:val="3A9B7C32"/>
    <w:rsid w:val="3AAE4F93"/>
    <w:rsid w:val="3ACB48BB"/>
    <w:rsid w:val="3AD25272"/>
    <w:rsid w:val="3AFC6ED7"/>
    <w:rsid w:val="3B0112DE"/>
    <w:rsid w:val="3B282FD3"/>
    <w:rsid w:val="3B2E2848"/>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CFB2BA6"/>
    <w:rsid w:val="3D015D3A"/>
    <w:rsid w:val="3D386234"/>
    <w:rsid w:val="3D51281E"/>
    <w:rsid w:val="3D5B369C"/>
    <w:rsid w:val="3D6406AA"/>
    <w:rsid w:val="3D7B0470"/>
    <w:rsid w:val="3D9D034F"/>
    <w:rsid w:val="3DB8289D"/>
    <w:rsid w:val="3DD07A03"/>
    <w:rsid w:val="3DE32F0A"/>
    <w:rsid w:val="3E23065E"/>
    <w:rsid w:val="3E585D6B"/>
    <w:rsid w:val="3E591B97"/>
    <w:rsid w:val="3EC75511"/>
    <w:rsid w:val="3F41523B"/>
    <w:rsid w:val="3F5D34CD"/>
    <w:rsid w:val="3F9B2476"/>
    <w:rsid w:val="3FC12A9B"/>
    <w:rsid w:val="3FF658FE"/>
    <w:rsid w:val="40287B7C"/>
    <w:rsid w:val="402B55A8"/>
    <w:rsid w:val="403A4B1E"/>
    <w:rsid w:val="40516350"/>
    <w:rsid w:val="4081490E"/>
    <w:rsid w:val="408F79A5"/>
    <w:rsid w:val="40B17223"/>
    <w:rsid w:val="40C96B6F"/>
    <w:rsid w:val="4113146D"/>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8160DE"/>
    <w:rsid w:val="4490793F"/>
    <w:rsid w:val="449625EA"/>
    <w:rsid w:val="44A571E8"/>
    <w:rsid w:val="45343151"/>
    <w:rsid w:val="456F5F37"/>
    <w:rsid w:val="45A1539D"/>
    <w:rsid w:val="45BE1410"/>
    <w:rsid w:val="45CA5863"/>
    <w:rsid w:val="45E00434"/>
    <w:rsid w:val="45F047F0"/>
    <w:rsid w:val="45F4583A"/>
    <w:rsid w:val="46054912"/>
    <w:rsid w:val="46112717"/>
    <w:rsid w:val="46307B3F"/>
    <w:rsid w:val="46317690"/>
    <w:rsid w:val="463A4797"/>
    <w:rsid w:val="466513CA"/>
    <w:rsid w:val="469448BA"/>
    <w:rsid w:val="46C422B2"/>
    <w:rsid w:val="46C818F2"/>
    <w:rsid w:val="46DC1289"/>
    <w:rsid w:val="472655E6"/>
    <w:rsid w:val="477D2815"/>
    <w:rsid w:val="47841A42"/>
    <w:rsid w:val="47982EAF"/>
    <w:rsid w:val="47CA38F8"/>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182BCD"/>
    <w:rsid w:val="4B4439C2"/>
    <w:rsid w:val="4BD110E2"/>
    <w:rsid w:val="4C261319"/>
    <w:rsid w:val="4C261844"/>
    <w:rsid w:val="4C3E48B5"/>
    <w:rsid w:val="4C5E4F57"/>
    <w:rsid w:val="4C6F4027"/>
    <w:rsid w:val="4C975D73"/>
    <w:rsid w:val="4CDF1128"/>
    <w:rsid w:val="4D0B54AD"/>
    <w:rsid w:val="4D16026A"/>
    <w:rsid w:val="4D2A1AB4"/>
    <w:rsid w:val="4D633045"/>
    <w:rsid w:val="4D8C1650"/>
    <w:rsid w:val="4DBA72D7"/>
    <w:rsid w:val="4DBD57AB"/>
    <w:rsid w:val="4E1C4782"/>
    <w:rsid w:val="4E471E75"/>
    <w:rsid w:val="4E6000F7"/>
    <w:rsid w:val="4E64507F"/>
    <w:rsid w:val="4E8D3684"/>
    <w:rsid w:val="4E957926"/>
    <w:rsid w:val="4F1E7270"/>
    <w:rsid w:val="4F224D8D"/>
    <w:rsid w:val="4F2C30EB"/>
    <w:rsid w:val="4F355850"/>
    <w:rsid w:val="4F974A08"/>
    <w:rsid w:val="4FB54E8E"/>
    <w:rsid w:val="4FCD667C"/>
    <w:rsid w:val="4FE237A9"/>
    <w:rsid w:val="501D04CE"/>
    <w:rsid w:val="501D387E"/>
    <w:rsid w:val="50493828"/>
    <w:rsid w:val="50591CBD"/>
    <w:rsid w:val="5076286F"/>
    <w:rsid w:val="50957359"/>
    <w:rsid w:val="509F6EC6"/>
    <w:rsid w:val="510D6CCE"/>
    <w:rsid w:val="511E659C"/>
    <w:rsid w:val="512B1283"/>
    <w:rsid w:val="512D649A"/>
    <w:rsid w:val="51493A4C"/>
    <w:rsid w:val="517D5E7F"/>
    <w:rsid w:val="520143BB"/>
    <w:rsid w:val="520E29DF"/>
    <w:rsid w:val="5237602E"/>
    <w:rsid w:val="52397BDB"/>
    <w:rsid w:val="5261421A"/>
    <w:rsid w:val="52874813"/>
    <w:rsid w:val="52986A2B"/>
    <w:rsid w:val="52A068B2"/>
    <w:rsid w:val="53034162"/>
    <w:rsid w:val="53182FAD"/>
    <w:rsid w:val="53283BC9"/>
    <w:rsid w:val="53426E20"/>
    <w:rsid w:val="53542C10"/>
    <w:rsid w:val="535A78E2"/>
    <w:rsid w:val="536F17F8"/>
    <w:rsid w:val="53874D93"/>
    <w:rsid w:val="53932FF4"/>
    <w:rsid w:val="53CC09F8"/>
    <w:rsid w:val="53DC53F9"/>
    <w:rsid w:val="543071D9"/>
    <w:rsid w:val="543C16DA"/>
    <w:rsid w:val="54843081"/>
    <w:rsid w:val="549C486F"/>
    <w:rsid w:val="54E720BB"/>
    <w:rsid w:val="551B4A12"/>
    <w:rsid w:val="5588094F"/>
    <w:rsid w:val="558A2919"/>
    <w:rsid w:val="5634588C"/>
    <w:rsid w:val="56615E0C"/>
    <w:rsid w:val="566B0022"/>
    <w:rsid w:val="567846EC"/>
    <w:rsid w:val="56AC0B61"/>
    <w:rsid w:val="56B45E9F"/>
    <w:rsid w:val="5714693E"/>
    <w:rsid w:val="57272B15"/>
    <w:rsid w:val="575C16B2"/>
    <w:rsid w:val="57762E56"/>
    <w:rsid w:val="57966F2A"/>
    <w:rsid w:val="57AD207D"/>
    <w:rsid w:val="5806097D"/>
    <w:rsid w:val="58134E48"/>
    <w:rsid w:val="5823777E"/>
    <w:rsid w:val="58352396"/>
    <w:rsid w:val="583A6878"/>
    <w:rsid w:val="587873A1"/>
    <w:rsid w:val="5889335C"/>
    <w:rsid w:val="58AD6A25"/>
    <w:rsid w:val="58B80B09"/>
    <w:rsid w:val="58C500FD"/>
    <w:rsid w:val="58DC7930"/>
    <w:rsid w:val="590C03A2"/>
    <w:rsid w:val="596334BB"/>
    <w:rsid w:val="59727BBE"/>
    <w:rsid w:val="59964C22"/>
    <w:rsid w:val="59A541C5"/>
    <w:rsid w:val="59A97E57"/>
    <w:rsid w:val="5A112DD4"/>
    <w:rsid w:val="5A4A24F3"/>
    <w:rsid w:val="5A5B1C29"/>
    <w:rsid w:val="5A7F2300"/>
    <w:rsid w:val="5AE92D2F"/>
    <w:rsid w:val="5AED49A0"/>
    <w:rsid w:val="5B417F1E"/>
    <w:rsid w:val="5B92709A"/>
    <w:rsid w:val="5BD112A2"/>
    <w:rsid w:val="5BDA5CF3"/>
    <w:rsid w:val="5BFE0297"/>
    <w:rsid w:val="5C161EDE"/>
    <w:rsid w:val="5C207B33"/>
    <w:rsid w:val="5C240F28"/>
    <w:rsid w:val="5C880D1C"/>
    <w:rsid w:val="5CA91A5D"/>
    <w:rsid w:val="5D04082A"/>
    <w:rsid w:val="5D2914FD"/>
    <w:rsid w:val="5D5E4DB7"/>
    <w:rsid w:val="5D611791"/>
    <w:rsid w:val="5D755C5D"/>
    <w:rsid w:val="5DAE0264"/>
    <w:rsid w:val="5DD5494D"/>
    <w:rsid w:val="5DDE74C5"/>
    <w:rsid w:val="5E7615E3"/>
    <w:rsid w:val="5E8819C0"/>
    <w:rsid w:val="5E916AC6"/>
    <w:rsid w:val="5E9640DD"/>
    <w:rsid w:val="5E992621"/>
    <w:rsid w:val="5EC67DA5"/>
    <w:rsid w:val="5ED247CC"/>
    <w:rsid w:val="5F3A0F0C"/>
    <w:rsid w:val="5F58262D"/>
    <w:rsid w:val="5F6419A2"/>
    <w:rsid w:val="5F6817F6"/>
    <w:rsid w:val="5F775691"/>
    <w:rsid w:val="5F7C32D2"/>
    <w:rsid w:val="600414DC"/>
    <w:rsid w:val="603319A6"/>
    <w:rsid w:val="605F1472"/>
    <w:rsid w:val="60A12843"/>
    <w:rsid w:val="60BA744E"/>
    <w:rsid w:val="60BB23FA"/>
    <w:rsid w:val="60FB49D2"/>
    <w:rsid w:val="610E08A2"/>
    <w:rsid w:val="6138147B"/>
    <w:rsid w:val="618164DD"/>
    <w:rsid w:val="61D474C9"/>
    <w:rsid w:val="61F77A0A"/>
    <w:rsid w:val="62950A8E"/>
    <w:rsid w:val="629774D1"/>
    <w:rsid w:val="62A74B0A"/>
    <w:rsid w:val="62B339C2"/>
    <w:rsid w:val="62BE64F4"/>
    <w:rsid w:val="62C9714A"/>
    <w:rsid w:val="635B3466"/>
    <w:rsid w:val="637B00FA"/>
    <w:rsid w:val="63C90AB0"/>
    <w:rsid w:val="63DC4C88"/>
    <w:rsid w:val="64234172"/>
    <w:rsid w:val="6431668F"/>
    <w:rsid w:val="644D7933"/>
    <w:rsid w:val="64803EF5"/>
    <w:rsid w:val="64835103"/>
    <w:rsid w:val="64970BAF"/>
    <w:rsid w:val="64AA6F1D"/>
    <w:rsid w:val="64C60276"/>
    <w:rsid w:val="64F8164D"/>
    <w:rsid w:val="6502427A"/>
    <w:rsid w:val="655C1F5A"/>
    <w:rsid w:val="656C3DE9"/>
    <w:rsid w:val="65715BFD"/>
    <w:rsid w:val="65732D00"/>
    <w:rsid w:val="65B34C8C"/>
    <w:rsid w:val="65C37EAD"/>
    <w:rsid w:val="65EF4062"/>
    <w:rsid w:val="66050395"/>
    <w:rsid w:val="661A0932"/>
    <w:rsid w:val="66302426"/>
    <w:rsid w:val="66364452"/>
    <w:rsid w:val="6651710F"/>
    <w:rsid w:val="66624588"/>
    <w:rsid w:val="66624590"/>
    <w:rsid w:val="66727CBB"/>
    <w:rsid w:val="669B6734"/>
    <w:rsid w:val="66BE68C6"/>
    <w:rsid w:val="66C739CD"/>
    <w:rsid w:val="66D90189"/>
    <w:rsid w:val="66E85FB4"/>
    <w:rsid w:val="67330E86"/>
    <w:rsid w:val="674033C8"/>
    <w:rsid w:val="67614E4C"/>
    <w:rsid w:val="679C7C07"/>
    <w:rsid w:val="67B37AAD"/>
    <w:rsid w:val="67D03874"/>
    <w:rsid w:val="67F524F3"/>
    <w:rsid w:val="67F92005"/>
    <w:rsid w:val="68025435"/>
    <w:rsid w:val="687E630D"/>
    <w:rsid w:val="68872E9A"/>
    <w:rsid w:val="688F22C8"/>
    <w:rsid w:val="68C267B6"/>
    <w:rsid w:val="68CF738C"/>
    <w:rsid w:val="68F20812"/>
    <w:rsid w:val="69021FA8"/>
    <w:rsid w:val="69137A07"/>
    <w:rsid w:val="697415F1"/>
    <w:rsid w:val="697D4817"/>
    <w:rsid w:val="697F3ADF"/>
    <w:rsid w:val="69935DE8"/>
    <w:rsid w:val="69DA3ABA"/>
    <w:rsid w:val="6A3762A4"/>
    <w:rsid w:val="6A631F51"/>
    <w:rsid w:val="6A887F5F"/>
    <w:rsid w:val="6AAB7162"/>
    <w:rsid w:val="6AC3566F"/>
    <w:rsid w:val="6B037C3A"/>
    <w:rsid w:val="6B2B4A32"/>
    <w:rsid w:val="6B3A67D0"/>
    <w:rsid w:val="6B4B7556"/>
    <w:rsid w:val="6B6179F5"/>
    <w:rsid w:val="6B7C13D5"/>
    <w:rsid w:val="6BCE135A"/>
    <w:rsid w:val="6BD72D2C"/>
    <w:rsid w:val="6C0652F9"/>
    <w:rsid w:val="6C264CF2"/>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7320EC"/>
    <w:rsid w:val="6EAC5B65"/>
    <w:rsid w:val="6EB73860"/>
    <w:rsid w:val="6EF255E1"/>
    <w:rsid w:val="6F3C1C82"/>
    <w:rsid w:val="6F4B5004"/>
    <w:rsid w:val="6F7915DC"/>
    <w:rsid w:val="6F9E02F2"/>
    <w:rsid w:val="6FF00AC7"/>
    <w:rsid w:val="700F01D3"/>
    <w:rsid w:val="7015387B"/>
    <w:rsid w:val="705A41AE"/>
    <w:rsid w:val="70B30B1E"/>
    <w:rsid w:val="70D07922"/>
    <w:rsid w:val="70E14841"/>
    <w:rsid w:val="7113156F"/>
    <w:rsid w:val="713A123F"/>
    <w:rsid w:val="718524BB"/>
    <w:rsid w:val="718631F8"/>
    <w:rsid w:val="71CE1DE8"/>
    <w:rsid w:val="71E60A7F"/>
    <w:rsid w:val="72964253"/>
    <w:rsid w:val="72A11576"/>
    <w:rsid w:val="72B56CCB"/>
    <w:rsid w:val="72D46929"/>
    <w:rsid w:val="72D57472"/>
    <w:rsid w:val="72D729DB"/>
    <w:rsid w:val="72EC0317"/>
    <w:rsid w:val="73353469"/>
    <w:rsid w:val="73644117"/>
    <w:rsid w:val="736D3FC9"/>
    <w:rsid w:val="73B928EF"/>
    <w:rsid w:val="73BF6E3A"/>
    <w:rsid w:val="73D03795"/>
    <w:rsid w:val="73EF16E6"/>
    <w:rsid w:val="74026044"/>
    <w:rsid w:val="74035919"/>
    <w:rsid w:val="741D30BD"/>
    <w:rsid w:val="74213FF1"/>
    <w:rsid w:val="74962374"/>
    <w:rsid w:val="7499627D"/>
    <w:rsid w:val="74C07CAE"/>
    <w:rsid w:val="74FB38D2"/>
    <w:rsid w:val="74FF3D98"/>
    <w:rsid w:val="750E0A19"/>
    <w:rsid w:val="752A533C"/>
    <w:rsid w:val="75606932"/>
    <w:rsid w:val="75685790"/>
    <w:rsid w:val="756E5918"/>
    <w:rsid w:val="75712C55"/>
    <w:rsid w:val="75734D20"/>
    <w:rsid w:val="757B7431"/>
    <w:rsid w:val="75C17839"/>
    <w:rsid w:val="75D7226C"/>
    <w:rsid w:val="76332FB4"/>
    <w:rsid w:val="76364E43"/>
    <w:rsid w:val="763C3364"/>
    <w:rsid w:val="763E5F57"/>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475D0"/>
    <w:rsid w:val="7A574C10"/>
    <w:rsid w:val="7A7F1A71"/>
    <w:rsid w:val="7AAC0AB8"/>
    <w:rsid w:val="7AAF2356"/>
    <w:rsid w:val="7AD06AA1"/>
    <w:rsid w:val="7B011F41"/>
    <w:rsid w:val="7B0C59FB"/>
    <w:rsid w:val="7B101CDA"/>
    <w:rsid w:val="7B587A97"/>
    <w:rsid w:val="7B7209AE"/>
    <w:rsid w:val="7BD644A9"/>
    <w:rsid w:val="7C162517"/>
    <w:rsid w:val="7C2D3A49"/>
    <w:rsid w:val="7C4371FA"/>
    <w:rsid w:val="7C5950EA"/>
    <w:rsid w:val="7D2F4F75"/>
    <w:rsid w:val="7D657644"/>
    <w:rsid w:val="7D670C49"/>
    <w:rsid w:val="7D9A5540"/>
    <w:rsid w:val="7DA16686"/>
    <w:rsid w:val="7DA63EE4"/>
    <w:rsid w:val="7DB40352"/>
    <w:rsid w:val="7DF67493"/>
    <w:rsid w:val="7E3B4056"/>
    <w:rsid w:val="7E8566E3"/>
    <w:rsid w:val="7E8640F9"/>
    <w:rsid w:val="7E8E06E9"/>
    <w:rsid w:val="7EA31D98"/>
    <w:rsid w:val="7EC81C39"/>
    <w:rsid w:val="7EF700DD"/>
    <w:rsid w:val="7F2655FA"/>
    <w:rsid w:val="7F3160FD"/>
    <w:rsid w:val="7F951BF0"/>
    <w:rsid w:val="7FBD6760"/>
    <w:rsid w:val="EEB3F4F2"/>
    <w:rsid w:val="F97FDFFD"/>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黑体"/>
      <w:kern w:val="2"/>
      <w:sz w:val="28"/>
      <w:szCs w:val="22"/>
      <w:lang w:val="en-US" w:eastAsia="zh-CN" w:bidi="ar-SA"/>
    </w:rPr>
  </w:style>
  <w:style w:type="paragraph" w:styleId="3">
    <w:name w:val="heading 1"/>
    <w:basedOn w:val="1"/>
    <w:next w:val="1"/>
    <w:link w:val="41"/>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42"/>
    <w:unhideWhenUsed/>
    <w:qFormat/>
    <w:uiPriority w:val="9"/>
    <w:pPr>
      <w:keepNext/>
      <w:keepLines/>
      <w:spacing w:before="100" w:after="100"/>
      <w:outlineLvl w:val="1"/>
    </w:pPr>
    <w:rPr>
      <w:rFonts w:ascii="楷体" w:hAnsi="楷体" w:eastAsia="楷体" w:cs="黑体"/>
      <w:b/>
      <w:bCs/>
      <w:sz w:val="32"/>
      <w:szCs w:val="32"/>
    </w:rPr>
  </w:style>
  <w:style w:type="paragraph" w:styleId="5">
    <w:name w:val="heading 3"/>
    <w:basedOn w:val="1"/>
    <w:next w:val="1"/>
    <w:link w:val="43"/>
    <w:unhideWhenUsed/>
    <w:qFormat/>
    <w:uiPriority w:val="9"/>
    <w:pPr>
      <w:keepNext/>
      <w:keepLines/>
      <w:outlineLvl w:val="2"/>
    </w:pPr>
    <w:rPr>
      <w:b/>
      <w:bCs/>
      <w:szCs w:val="32"/>
    </w:rPr>
  </w:style>
  <w:style w:type="paragraph" w:styleId="6">
    <w:name w:val="heading 4"/>
    <w:basedOn w:val="1"/>
    <w:next w:val="1"/>
    <w:link w:val="49"/>
    <w:unhideWhenUsed/>
    <w:qFormat/>
    <w:uiPriority w:val="9"/>
    <w:pPr>
      <w:keepNext/>
      <w:keepLines/>
      <w:spacing w:before="280" w:after="290" w:line="376" w:lineRule="auto"/>
      <w:outlineLvl w:val="3"/>
    </w:pPr>
    <w:rPr>
      <w:rFonts w:ascii="等线 Light" w:hAnsi="等线 Light" w:eastAsia="等线 Light" w:cs="黑体"/>
      <w:b/>
      <w:bCs/>
      <w:szCs w:val="28"/>
    </w:rPr>
  </w:style>
  <w:style w:type="paragraph" w:styleId="7">
    <w:name w:val="heading 5"/>
    <w:basedOn w:val="1"/>
    <w:next w:val="1"/>
    <w:link w:val="50"/>
    <w:unhideWhenUsed/>
    <w:qFormat/>
    <w:uiPriority w:val="9"/>
    <w:pPr>
      <w:keepNext/>
      <w:keepLines/>
      <w:spacing w:before="280" w:after="290" w:line="376" w:lineRule="auto"/>
      <w:outlineLvl w:val="4"/>
    </w:pPr>
    <w:rPr>
      <w:b/>
      <w:bCs/>
      <w:szCs w:val="28"/>
    </w:rPr>
  </w:style>
  <w:style w:type="paragraph" w:styleId="8">
    <w:name w:val="heading 6"/>
    <w:basedOn w:val="1"/>
    <w:next w:val="1"/>
    <w:unhideWhenUsed/>
    <w:qFormat/>
    <w:uiPriority w:val="9"/>
    <w:pPr>
      <w:keepNext/>
      <w:keepLines/>
      <w:outlineLvl w:val="5"/>
    </w:pPr>
    <w:rPr>
      <w:rFonts w:ascii="Cambria" w:hAnsi="Cambria"/>
      <w:bCs/>
      <w:sz w:val="24"/>
    </w:rPr>
  </w:style>
  <w:style w:type="character" w:default="1" w:styleId="24">
    <w:name w:val="Default Paragraph Font"/>
    <w:unhideWhenUsed/>
    <w:qFormat/>
    <w:uiPriority w:val="1"/>
  </w:style>
  <w:style w:type="table" w:default="1" w:styleId="27">
    <w:name w:val="Normal Table"/>
    <w:unhideWhenUsed/>
    <w:qFormat/>
    <w:uiPriority w:val="99"/>
    <w:tblPr>
      <w:tblStyle w:val="27"/>
      <w:tblLayout w:type="fixed"/>
      <w:tblCellMar>
        <w:top w:w="0" w:type="dxa"/>
        <w:left w:w="108" w:type="dxa"/>
        <w:bottom w:w="0" w:type="dxa"/>
        <w:right w:w="108" w:type="dxa"/>
      </w:tblCellMar>
    </w:tblPr>
    <w:tcPr>
      <w:textDirection w:val="lrTb"/>
    </w:tcPr>
  </w:style>
  <w:style w:type="paragraph" w:styleId="2">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9">
    <w:name w:val="annotation subject"/>
    <w:basedOn w:val="10"/>
    <w:next w:val="10"/>
    <w:link w:val="46"/>
    <w:unhideWhenUsed/>
    <w:qFormat/>
    <w:uiPriority w:val="99"/>
    <w:rPr>
      <w:b/>
      <w:bCs/>
    </w:rPr>
  </w:style>
  <w:style w:type="paragraph" w:styleId="10">
    <w:name w:val="annotation text"/>
    <w:basedOn w:val="1"/>
    <w:link w:val="45"/>
    <w:unhideWhenUsed/>
    <w:qFormat/>
    <w:uiPriority w:val="99"/>
    <w:pPr>
      <w:jc w:val="left"/>
    </w:pPr>
  </w:style>
  <w:style w:type="paragraph" w:styleId="11">
    <w:name w:val="caption"/>
    <w:basedOn w:val="1"/>
    <w:next w:val="1"/>
    <w:unhideWhenUsed/>
    <w:qFormat/>
    <w:uiPriority w:val="0"/>
    <w:rPr>
      <w:rFonts w:ascii="等线 Light" w:hAnsi="等线 Light" w:eastAsia="黑体" w:cs="黑体"/>
      <w:sz w:val="20"/>
      <w:szCs w:val="20"/>
    </w:rPr>
  </w:style>
  <w:style w:type="paragraph" w:styleId="12">
    <w:name w:val="Body Text"/>
    <w:basedOn w:val="1"/>
    <w:next w:val="1"/>
    <w:qFormat/>
    <w:uiPriority w:val="99"/>
    <w:rPr>
      <w:szCs w:val="21"/>
    </w:rPr>
  </w:style>
  <w:style w:type="paragraph" w:styleId="13">
    <w:name w:val="Body Text Indent"/>
    <w:basedOn w:val="1"/>
    <w:link w:val="51"/>
    <w:qFormat/>
    <w:uiPriority w:val="0"/>
    <w:pPr>
      <w:ind w:left="200" w:leftChars="200"/>
    </w:pPr>
    <w:rPr>
      <w:szCs w:val="21"/>
    </w:rPr>
  </w:style>
  <w:style w:type="paragraph" w:styleId="14">
    <w:name w:val="Plain Text"/>
    <w:basedOn w:val="1"/>
    <w:qFormat/>
    <w:uiPriority w:val="0"/>
    <w:rPr>
      <w:rFonts w:hint="eastAsia" w:ascii="宋体" w:hAnsi="Courier New" w:eastAsia="宋体" w:cs="Times New Roman"/>
      <w:szCs w:val="20"/>
    </w:rPr>
  </w:style>
  <w:style w:type="paragraph" w:styleId="15">
    <w:name w:val="Body Text Indent 2"/>
    <w:basedOn w:val="1"/>
    <w:next w:val="14"/>
    <w:qFormat/>
    <w:uiPriority w:val="0"/>
    <w:pPr>
      <w:ind w:left="-718" w:leftChars="-342" w:firstLine="720" w:firstLineChars="225"/>
      <w:jc w:val="left"/>
    </w:pPr>
    <w:rPr>
      <w:sz w:val="32"/>
      <w:szCs w:val="32"/>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Body Text First Indent 2"/>
    <w:basedOn w:val="13"/>
    <w:link w:val="52"/>
    <w:unhideWhenUsed/>
    <w:qFormat/>
    <w:uiPriority w:val="0"/>
    <w:pPr>
      <w:spacing w:after="120"/>
      <w:ind w:left="420" w:firstLine="420"/>
    </w:pPr>
    <w:rPr>
      <w:szCs w:val="22"/>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ind w:firstLine="0" w:firstLineChars="0"/>
    </w:pPr>
    <w:rPr>
      <w:rFonts w:hAnsi="宋体"/>
      <w:b/>
      <w:bCs/>
    </w:rPr>
  </w:style>
  <w:style w:type="paragraph" w:styleId="20">
    <w:name w:val="toc 2"/>
    <w:basedOn w:val="1"/>
    <w:next w:val="1"/>
    <w:unhideWhenUsed/>
    <w:qFormat/>
    <w:uiPriority w:val="39"/>
    <w:pPr>
      <w:tabs>
        <w:tab w:val="right" w:leader="dot" w:pos="8296"/>
      </w:tabs>
      <w:ind w:left="560" w:leftChars="200" w:firstLine="0" w:firstLineChars="0"/>
    </w:pPr>
  </w:style>
  <w:style w:type="paragraph" w:styleId="2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2">
    <w:name w:val="Normal (Web)"/>
    <w:basedOn w:val="1"/>
    <w:unhideWhenUsed/>
    <w:qFormat/>
    <w:uiPriority w:val="99"/>
    <w:pPr>
      <w:spacing w:beforeAutospacing="1" w:afterAutospacing="1"/>
      <w:jc w:val="left"/>
    </w:pPr>
    <w:rPr>
      <w:rFonts w:cs="Times New Roman"/>
      <w:kern w:val="0"/>
      <w:sz w:val="24"/>
    </w:rPr>
  </w:style>
  <w:style w:type="paragraph" w:styleId="23">
    <w:name w:val="index 1"/>
    <w:basedOn w:val="1"/>
    <w:next w:val="1"/>
    <w:qFormat/>
    <w:uiPriority w:val="0"/>
  </w:style>
  <w:style w:type="character" w:styleId="25">
    <w:name w:val="Hyperlink"/>
    <w:basedOn w:val="24"/>
    <w:unhideWhenUsed/>
    <w:qFormat/>
    <w:uiPriority w:val="99"/>
    <w:rPr>
      <w:color w:val="0563C1"/>
      <w:u w:val="single"/>
    </w:rPr>
  </w:style>
  <w:style w:type="character" w:styleId="26">
    <w:name w:val="annotation reference"/>
    <w:basedOn w:val="24"/>
    <w:unhideWhenUsed/>
    <w:qFormat/>
    <w:uiPriority w:val="99"/>
    <w:rPr>
      <w:sz w:val="21"/>
      <w:szCs w:val="21"/>
    </w:rPr>
  </w:style>
  <w:style w:type="table" w:styleId="28">
    <w:name w:val="Table Grid"/>
    <w:basedOn w:val="27"/>
    <w:qFormat/>
    <w:uiPriority w:val="39"/>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9">
    <w:name w:val="正文文本首行缩进 21"/>
    <w:basedOn w:val="1"/>
    <w:qFormat/>
    <w:uiPriority w:val="0"/>
    <w:pPr>
      <w:ind w:left="420" w:leftChars="200" w:firstLine="420"/>
    </w:pPr>
  </w:style>
  <w:style w:type="paragraph" w:customStyle="1" w:styleId="30">
    <w:name w:val="Body Text First Indent 21"/>
    <w:basedOn w:val="1"/>
    <w:qFormat/>
    <w:uiPriority w:val="0"/>
    <w:pPr>
      <w:ind w:left="420" w:leftChars="200" w:firstLine="420"/>
    </w:pPr>
  </w:style>
  <w:style w:type="paragraph" w:customStyle="1" w:styleId="31">
    <w:name w:val="BodyTextIndent"/>
    <w:basedOn w:val="1"/>
    <w:qFormat/>
    <w:uiPriority w:val="0"/>
    <w:pPr>
      <w:widowControl/>
      <w:ind w:left="200" w:leftChars="200"/>
      <w:textAlignment w:val="baseline"/>
    </w:pPr>
    <w:rPr>
      <w:sz w:val="21"/>
      <w:szCs w:val="21"/>
    </w:rPr>
  </w:style>
  <w:style w:type="paragraph" w:customStyle="1" w:styleId="32">
    <w:name w:val="TOC 标题1"/>
    <w:basedOn w:val="3"/>
    <w:next w:val="1"/>
    <w:unhideWhenUsed/>
    <w:qFormat/>
    <w:uiPriority w:val="39"/>
    <w:pPr>
      <w:widowControl/>
      <w:spacing w:before="240" w:after="0" w:line="259" w:lineRule="auto"/>
      <w:jc w:val="left"/>
      <w:outlineLvl w:val="9"/>
    </w:pPr>
    <w:rPr>
      <w:rFonts w:ascii="等线 Light" w:hAnsi="等线 Light" w:eastAsia="等线 Light" w:cs="黑体"/>
      <w:b w:val="0"/>
      <w:bCs w:val="0"/>
      <w:color w:val="2E5394"/>
      <w:kern w:val="0"/>
      <w:szCs w:val="32"/>
    </w:rPr>
  </w:style>
  <w:style w:type="paragraph" w:customStyle="1" w:styleId="33">
    <w:name w:val="NormalIndent"/>
    <w:basedOn w:val="1"/>
    <w:qFormat/>
    <w:uiPriority w:val="99"/>
    <w:pPr>
      <w:ind w:firstLine="420"/>
      <w:textAlignment w:val="baseline"/>
    </w:pPr>
    <w:rPr>
      <w:szCs w:val="21"/>
    </w:rPr>
  </w:style>
  <w:style w:type="paragraph" w:customStyle="1" w:styleId="34">
    <w:name w:val="Char2"/>
    <w:basedOn w:val="1"/>
    <w:qFormat/>
    <w:uiPriority w:val="0"/>
    <w:rPr>
      <w:rFonts w:ascii="Courier" w:hAnsi="Courier" w:cs="Courier"/>
      <w:szCs w:val="21"/>
    </w:rPr>
  </w:style>
  <w:style w:type="paragraph" w:customStyle="1" w:styleId="35">
    <w:name w:val="Normal Indent1"/>
    <w:basedOn w:val="1"/>
    <w:qFormat/>
    <w:uiPriority w:val="99"/>
    <w:pPr>
      <w:ind w:firstLine="420"/>
    </w:pPr>
  </w:style>
  <w:style w:type="paragraph" w:customStyle="1" w:styleId="36">
    <w:name w:val="List Paragraph"/>
    <w:basedOn w:val="1"/>
    <w:qFormat/>
    <w:uiPriority w:val="99"/>
    <w:pPr>
      <w:ind w:firstLine="420"/>
    </w:pPr>
  </w:style>
  <w:style w:type="paragraph" w:customStyle="1" w:styleId="37">
    <w:name w:val="Body Text First Indent 2"/>
    <w:basedOn w:val="1"/>
    <w:qFormat/>
    <w:uiPriority w:val="0"/>
    <w:pPr>
      <w:ind w:left="420" w:leftChars="200" w:firstLine="420" w:firstLineChars="200"/>
    </w:pPr>
  </w:style>
  <w:style w:type="paragraph" w:customStyle="1" w:styleId="38">
    <w:name w:val="列出段落1"/>
    <w:basedOn w:val="1"/>
    <w:qFormat/>
    <w:uiPriority w:val="0"/>
    <w:pPr>
      <w:ind w:firstLine="420" w:firstLineChars="200"/>
    </w:pPr>
    <w:rPr>
      <w:rFonts w:ascii="Calibri" w:hAnsi="Calibri" w:eastAsia="宋体" w:cs="Times New Roman"/>
    </w:rPr>
  </w:style>
  <w:style w:type="character" w:customStyle="1" w:styleId="39">
    <w:name w:val="页眉 字符"/>
    <w:basedOn w:val="24"/>
    <w:link w:val="18"/>
    <w:qFormat/>
    <w:uiPriority w:val="99"/>
    <w:rPr>
      <w:sz w:val="18"/>
      <w:szCs w:val="18"/>
    </w:rPr>
  </w:style>
  <w:style w:type="character" w:customStyle="1" w:styleId="40">
    <w:name w:val="页脚 字符"/>
    <w:basedOn w:val="24"/>
    <w:link w:val="16"/>
    <w:qFormat/>
    <w:uiPriority w:val="99"/>
    <w:rPr>
      <w:sz w:val="18"/>
      <w:szCs w:val="18"/>
    </w:rPr>
  </w:style>
  <w:style w:type="character" w:customStyle="1" w:styleId="41">
    <w:name w:val="标题 1 字符"/>
    <w:basedOn w:val="24"/>
    <w:link w:val="3"/>
    <w:qFormat/>
    <w:uiPriority w:val="9"/>
    <w:rPr>
      <w:rFonts w:ascii="黑体" w:hAnsi="黑体" w:eastAsia="黑体"/>
      <w:b/>
      <w:bCs/>
      <w:kern w:val="44"/>
      <w:sz w:val="32"/>
      <w:szCs w:val="44"/>
    </w:rPr>
  </w:style>
  <w:style w:type="character" w:customStyle="1" w:styleId="42">
    <w:name w:val="标题 2 字符"/>
    <w:basedOn w:val="24"/>
    <w:link w:val="4"/>
    <w:qFormat/>
    <w:uiPriority w:val="9"/>
    <w:rPr>
      <w:rFonts w:ascii="楷体" w:hAnsi="楷体" w:eastAsia="楷体" w:cs="黑体"/>
      <w:b/>
      <w:bCs/>
      <w:sz w:val="32"/>
      <w:szCs w:val="32"/>
    </w:rPr>
  </w:style>
  <w:style w:type="character" w:customStyle="1" w:styleId="43">
    <w:name w:val="标题 3 字符"/>
    <w:basedOn w:val="24"/>
    <w:link w:val="5"/>
    <w:qFormat/>
    <w:uiPriority w:val="9"/>
    <w:rPr>
      <w:rFonts w:ascii="仿宋_GB2312" w:hAnsi="仿宋_GB2312" w:eastAsia="仿宋_GB2312"/>
      <w:b/>
      <w:bCs/>
      <w:sz w:val="28"/>
      <w:szCs w:val="32"/>
    </w:rPr>
  </w:style>
  <w:style w:type="character" w:customStyle="1" w:styleId="44">
    <w:name w:val="font01"/>
    <w:basedOn w:val="24"/>
    <w:qFormat/>
    <w:uiPriority w:val="0"/>
    <w:rPr>
      <w:rFonts w:hint="eastAsia" w:ascii="宋体" w:hAnsi="宋体" w:eastAsia="宋体" w:cs="宋体"/>
      <w:color w:val="000000"/>
      <w:sz w:val="21"/>
      <w:szCs w:val="21"/>
      <w:u w:val="none"/>
    </w:rPr>
  </w:style>
  <w:style w:type="character" w:customStyle="1" w:styleId="45">
    <w:name w:val="批注文字 字符"/>
    <w:basedOn w:val="24"/>
    <w:link w:val="10"/>
    <w:qFormat/>
    <w:uiPriority w:val="99"/>
    <w:rPr>
      <w:rFonts w:ascii="仿宋_GB2312" w:hAnsi="仿宋_GB2312" w:eastAsia="仿宋_GB2312" w:cs="黑体"/>
      <w:kern w:val="2"/>
      <w:sz w:val="28"/>
      <w:szCs w:val="22"/>
    </w:rPr>
  </w:style>
  <w:style w:type="character" w:customStyle="1" w:styleId="46">
    <w:name w:val="批注主题 字符"/>
    <w:basedOn w:val="45"/>
    <w:link w:val="9"/>
    <w:semiHidden/>
    <w:qFormat/>
    <w:uiPriority w:val="99"/>
    <w:rPr>
      <w:rFonts w:ascii="仿宋_GB2312" w:hAnsi="仿宋_GB2312" w:eastAsia="仿宋_GB2312" w:cs="黑体"/>
      <w:b/>
      <w:bCs/>
      <w:kern w:val="2"/>
      <w:sz w:val="28"/>
      <w:szCs w:val="22"/>
    </w:rPr>
  </w:style>
  <w:style w:type="character" w:customStyle="1" w:styleId="47">
    <w:name w:val="content1"/>
    <w:basedOn w:val="24"/>
    <w:qFormat/>
    <w:uiPriority w:val="0"/>
    <w:rPr>
      <w:rFonts w:hint="default"/>
      <w:sz w:val="21"/>
    </w:rPr>
  </w:style>
  <w:style w:type="character" w:customStyle="1" w:styleId="48">
    <w:name w:val="NormalCharacter"/>
    <w:semiHidden/>
    <w:qFormat/>
    <w:uiPriority w:val="0"/>
  </w:style>
  <w:style w:type="character" w:customStyle="1" w:styleId="49">
    <w:name w:val="标题 4 字符"/>
    <w:basedOn w:val="24"/>
    <w:link w:val="6"/>
    <w:qFormat/>
    <w:uiPriority w:val="9"/>
    <w:rPr>
      <w:rFonts w:ascii="等线 Light" w:hAnsi="等线 Light" w:eastAsia="等线 Light" w:cs="黑体"/>
      <w:b/>
      <w:bCs/>
      <w:kern w:val="2"/>
      <w:sz w:val="28"/>
      <w:szCs w:val="28"/>
    </w:rPr>
  </w:style>
  <w:style w:type="character" w:customStyle="1" w:styleId="50">
    <w:name w:val="标题 5 字符"/>
    <w:basedOn w:val="24"/>
    <w:link w:val="7"/>
    <w:qFormat/>
    <w:uiPriority w:val="9"/>
    <w:rPr>
      <w:rFonts w:ascii="仿宋_GB2312" w:hAnsi="仿宋_GB2312" w:eastAsia="仿宋_GB2312" w:cs="黑体"/>
      <w:b/>
      <w:bCs/>
      <w:kern w:val="2"/>
      <w:sz w:val="28"/>
      <w:szCs w:val="28"/>
    </w:rPr>
  </w:style>
  <w:style w:type="character" w:customStyle="1" w:styleId="51">
    <w:name w:val="正文文本缩进 字符"/>
    <w:basedOn w:val="24"/>
    <w:link w:val="13"/>
    <w:qFormat/>
    <w:uiPriority w:val="0"/>
    <w:rPr>
      <w:rFonts w:ascii="仿宋_GB2312" w:hAnsi="仿宋_GB2312" w:eastAsia="仿宋_GB2312" w:cs="黑体"/>
      <w:kern w:val="2"/>
      <w:sz w:val="28"/>
      <w:szCs w:val="21"/>
    </w:rPr>
  </w:style>
  <w:style w:type="character" w:customStyle="1" w:styleId="52">
    <w:name w:val="正文文本首行缩进 2 字符"/>
    <w:basedOn w:val="51"/>
    <w:link w:val="17"/>
    <w:qFormat/>
    <w:uiPriority w:val="0"/>
    <w:rPr>
      <w:rFonts w:ascii="仿宋_GB2312" w:hAnsi="仿宋_GB2312" w:eastAsia="仿宋_GB2312" w:cs="黑体"/>
      <w:kern w:val="2"/>
      <w:sz w:val="28"/>
      <w:szCs w:val="22"/>
    </w:rPr>
  </w:style>
  <w:style w:type="character" w:customStyle="1" w:styleId="53">
    <w:name w:val="font41"/>
    <w:basedOn w:val="24"/>
    <w:qFormat/>
    <w:uiPriority w:val="0"/>
    <w:rPr>
      <w:rFonts w:hint="eastAsia" w:ascii="仿宋_GB2312" w:eastAsia="仿宋_GB2312" w:cs="仿宋_GB2312"/>
      <w:b/>
      <w:bCs/>
      <w:color w:val="000000"/>
      <w:sz w:val="24"/>
      <w:szCs w:val="24"/>
      <w:u w:val="none"/>
    </w:rPr>
  </w:style>
  <w:style w:type="character" w:customStyle="1" w:styleId="54">
    <w:name w:val="font31"/>
    <w:basedOn w:val="24"/>
    <w:qFormat/>
    <w:uiPriority w:val="0"/>
    <w:rPr>
      <w:rFonts w:hint="eastAsia" w:ascii="仿宋_GB2312" w:eastAsia="仿宋_GB2312" w:cs="仿宋_GB2312"/>
      <w:color w:val="000000"/>
      <w:sz w:val="24"/>
      <w:szCs w:val="24"/>
      <w:u w:val="none"/>
    </w:rPr>
  </w:style>
  <w:style w:type="character" w:customStyle="1" w:styleId="55">
    <w:name w:val="font21"/>
    <w:basedOn w:val="24"/>
    <w:qFormat/>
    <w:uiPriority w:val="0"/>
    <w:rPr>
      <w:rFonts w:hint="eastAsia" w:ascii="仿宋_GB2312" w:eastAsia="仿宋_GB2312" w:cs="仿宋_GB2312"/>
      <w:b/>
      <w:bCs/>
      <w:color w:val="000000"/>
      <w:sz w:val="24"/>
      <w:szCs w:val="24"/>
      <w:u w:val="none"/>
    </w:rPr>
  </w:style>
  <w:style w:type="table" w:customStyle="1" w:styleId="56">
    <w:name w:val="Table Normal"/>
    <w:unhideWhenUsed/>
    <w:qFormat/>
    <w:uiPriority w:val="0"/>
    <w:tblPr>
      <w:tblStyle w:val="27"/>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12261</Words>
  <Characters>13587</Characters>
  <Lines>109</Lines>
  <Paragraphs>30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Administrator</cp:lastModifiedBy>
  <cp:lastPrinted>2021-04-25T06:46:00Z</cp:lastPrinted>
  <dcterms:modified xsi:type="dcterms:W3CDTF">2024-08-12T02:02:03Z</dcterms:modified>
  <dc:title>2023年度平凉市中级人民法院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F6EC2EEEBE51402EA48FADEA82F4F95C_13</vt:lpwstr>
  </property>
</Properties>
</file>