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单位整体支出绩效目标表</w:t>
      </w:r>
    </w:p>
    <w:p>
      <w:pPr>
        <w:spacing w:line="560" w:lineRule="exact"/>
        <w:jc w:val="center"/>
        <w:rPr>
          <w:rFonts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（2025年度）</w:t>
      </w:r>
    </w:p>
    <w:tbl>
      <w:tblPr>
        <w:tblStyle w:val="2"/>
        <w:tblW w:w="952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"/>
        <w:gridCol w:w="992"/>
        <w:gridCol w:w="283"/>
        <w:gridCol w:w="709"/>
        <w:gridCol w:w="7"/>
        <w:gridCol w:w="135"/>
        <w:gridCol w:w="1276"/>
        <w:gridCol w:w="618"/>
        <w:gridCol w:w="90"/>
        <w:gridCol w:w="879"/>
        <w:gridCol w:w="491"/>
        <w:gridCol w:w="1508"/>
        <w:gridCol w:w="383"/>
        <w:gridCol w:w="16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7995" w:type="dxa"/>
            <w:gridSpan w:val="1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甘肃省张掖市中级人民法院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>
            <w:pPr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  <w:highlight w:val="none"/>
              </w:rPr>
              <w:t>李风兰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  <w:highlight w:val="none"/>
              </w:rPr>
              <w:t>19993621212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预算情况（万元）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按支出类型分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预算金额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按来源类型分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基本支出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人员经费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2,128.00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上级财政补助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公用经费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288.31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本级财政安排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2,674.31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2,416.31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其他资金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421.80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项目支出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本级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1,120.80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收入预算合计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3,537.11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对下转移支付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支出预算合计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3,537.11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1,120.80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53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年度绩效目标</w:t>
            </w:r>
          </w:p>
        </w:tc>
        <w:tc>
          <w:tcPr>
            <w:tcW w:w="8987" w:type="dxa"/>
            <w:gridSpan w:val="1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紧围绕司法为民、公正司法工作主线，充分发挥审判职能作用，审结刑事、民商事、行政等案件，为维护社会和谐稳定、服务改革发展提供坚强保障；加强智慧法院建设，做好项目建设工作，为人民群众提供更加优质高效便捷的司法服务；持续深化司法公开，促进阳光司法，提升法院公信力；加强法治宣传工作，规范公众行为、树立正确导向的功能，助力营造和谐的法治人文环境；加强干警培训工作，教育引导广大干警坚定理想信念，提升队伍建设水平，全面践行司法为民宗旨，提高干警的综合素质和业务能力。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绩效指标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权重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基本运行指标</w:t>
            </w:r>
          </w:p>
        </w:tc>
        <w:tc>
          <w:tcPr>
            <w:tcW w:w="85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预算收支管理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基本支出执行率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预算执行率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“三公”经费控制率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结转结余变动率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财会管理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资金使用合规性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会计和内控制度执行有效性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采购管理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政府采购规范性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政府采购节约率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资产管理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资产管理规范性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固定资产利用率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人员管理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在职人员控制率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绩效管理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预算绩效管理工作成效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较上年提升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重点履职指标</w:t>
            </w:r>
          </w:p>
        </w:tc>
        <w:tc>
          <w:tcPr>
            <w:tcW w:w="85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数量指标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受理案件数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≥1600件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结案率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≥85%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质量指标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二审改判率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项目工程验收合格率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时效指标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项目工程完成及时性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培训工作完成及时性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成本指标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年度预度控制率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部门综合指标</w:t>
            </w:r>
          </w:p>
        </w:tc>
        <w:tc>
          <w:tcPr>
            <w:tcW w:w="85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经济效益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执行标的到位率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社会效益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营商环境改善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有效改善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生态效益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机关节能减排率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服务对象满意度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受众满意度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可持续发展能力指标</w:t>
            </w:r>
          </w:p>
        </w:tc>
        <w:tc>
          <w:tcPr>
            <w:tcW w:w="85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组织建设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党建工作开展情况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宣传培训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培训计划完成率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制度建设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制度完善情况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改革创新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创新工作开展情况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仿宋" w:eastAsia="仿宋"/>
          <w:b/>
          <w:sz w:val="28"/>
          <w:szCs w:val="28"/>
        </w:rPr>
      </w:pPr>
      <w:r>
        <w:rPr>
          <w:rFonts w:hint="eastAsia" w:ascii="仿宋" w:eastAsia="仿宋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ascii="仿宋" w:eastAsia="仿宋"/>
          <w:b/>
          <w:sz w:val="24"/>
          <w:szCs w:val="24"/>
        </w:rPr>
      </w:pPr>
      <w:r>
        <w:rPr>
          <w:rFonts w:hint="eastAsia" w:ascii="仿宋" w:eastAsia="仿宋"/>
          <w:b/>
          <w:sz w:val="24"/>
          <w:szCs w:val="24"/>
        </w:rPr>
        <w:t>（2025年度）</w:t>
      </w:r>
    </w:p>
    <w:tbl>
      <w:tblPr>
        <w:tblStyle w:val="2"/>
        <w:tblW w:w="952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18"/>
        <w:gridCol w:w="850"/>
        <w:gridCol w:w="709"/>
        <w:gridCol w:w="1469"/>
        <w:gridCol w:w="516"/>
        <w:gridCol w:w="944"/>
        <w:gridCol w:w="2032"/>
        <w:gridCol w:w="14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799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全省法院业务费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主管部门及代码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  <w:highlight w:val="none"/>
              </w:rPr>
              <w:t>601-甘肃省高级人民法院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实施单位</w:t>
            </w: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  <w:highlight w:val="none"/>
              </w:rPr>
              <w:t>甘肃省张掖市中级人民法院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项目金额（万元）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年度资金总额：</w:t>
            </w:r>
          </w:p>
        </w:tc>
        <w:tc>
          <w:tcPr>
            <w:tcW w:w="496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258.00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其中：当年财政拨款</w:t>
            </w:r>
          </w:p>
        </w:tc>
        <w:tc>
          <w:tcPr>
            <w:tcW w:w="496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258.00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上年结转资金</w:t>
            </w:r>
          </w:p>
        </w:tc>
        <w:tc>
          <w:tcPr>
            <w:tcW w:w="496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其他资金</w:t>
            </w:r>
          </w:p>
        </w:tc>
        <w:tc>
          <w:tcPr>
            <w:tcW w:w="496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年度绩效目标</w:t>
            </w:r>
          </w:p>
        </w:tc>
        <w:tc>
          <w:tcPr>
            <w:tcW w:w="9013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发挥审判职能作用，保障法院审判执行业务正常运转和重点工作的开展，为法院开展司法业务、正常行使司法权力提供经费保障，提升法院综合办案业务效率，推动审判体系和审判能力现代化，法定审限内结案率达95%以上，提升法院公信力和人民满意度，更好地维护国家法制、法律的权威、公平和正义。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2.规范使用资金，提高资金使用效益，及时完成暖通及消防系统项目的采购工作，且完成率和质量验收合格率达100%，为案件审判工作的开展提供有力保障，提高工作人员满意度。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绩效指标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权重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成本指标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经济成本指标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成本控制情况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预算范围内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社会成本指标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对社会风险成本的控制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可控范围内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生态环境成本指标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对生态环境损耗成本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可控范围内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产出指标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数量指标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维修维护项目数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=3个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物业管理面积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=100项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信息化运维服务完成率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暖通工程及消防工程完成率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质量指标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维修维护项目验收合格率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≥98%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信息化运维服务验收合格率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暖通工程及消防工程合格率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物业管理合格率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时效指标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法定审限内结案率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办案经费支付及时率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暖通工程及消防工程完成及时性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信息化运维工作及时性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维修修护及时性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效益指标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经济效益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挽回经济损失效果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社会效益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有效保障审判服务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有效保障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维护社会稳定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生态效益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打击生态犯罪，维护生态秩序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有效维护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满意度指标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服务对象满意度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当事人满意程度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工作人员满意度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≥90%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微软雅黑" w:eastAsia="仿宋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DRlYWU3YTJmZDA5NGIzMjM5NTNiOTVmMDBlZDQifQ=="/>
    <w:docVar w:name="KSO_WPS_MARK_KEY" w:val="06a6b7de-08db-4147-aa6b-96bbf1c600ed"/>
  </w:docVars>
  <w:rsids>
    <w:rsidRoot w:val="1917668C"/>
    <w:rsid w:val="191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2025-02-24T06:45:00Z</dcterms:created>
  <dc:creator>Administrator</dc:creator>
  <cp:lastModifiedBy>Administrator</cp:lastModifiedBy>
  <dcterms:modified xsi:type="dcterms:W3CDTF">2025-02-24T06:46:12Z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3777945E7F164C6C8EFCF21EC3FAFDB4_11</vt:lpwstr>
  </property>
</Properties>
</file>