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2024</w:t>
      </w:r>
      <w:r>
        <w:rPr>
          <w:rFonts w:hint="eastAsia" w:ascii="宋体" w:hAnsi="宋体" w:eastAsia="宋体"/>
          <w:b/>
          <w:bCs/>
          <w:sz w:val="44"/>
          <w:szCs w:val="44"/>
        </w:rPr>
        <w:t>年度</w:t>
      </w:r>
      <w:r>
        <w:rPr>
          <w:rFonts w:hint="eastAsia" w:ascii="宋体" w:hAnsi="宋体" w:eastAsia="宋体"/>
          <w:b/>
          <w:bCs/>
          <w:sz w:val="44"/>
          <w:szCs w:val="44"/>
          <w:lang w:eastAsia="zh-CN"/>
        </w:rPr>
        <w:t>平凉市中级人民法院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平凉市中级人民法院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5</w:t>
      </w:r>
      <w:r>
        <w:rPr>
          <w:rFonts w:hint="eastAsia" w:ascii="宋体" w:hAnsi="宋体" w:eastAsia="宋体"/>
          <w:b/>
          <w:bCs/>
          <w:sz w:val="32"/>
          <w:szCs w:val="32"/>
        </w:rPr>
        <w:t>年</w:t>
      </w:r>
      <w:r>
        <w:rPr>
          <w:rFonts w:hint="eastAsia" w:ascii="宋体" w:hAnsi="宋体" w:eastAsia="宋体"/>
          <w:b/>
          <w:bCs/>
          <w:sz w:val="32"/>
          <w:szCs w:val="32"/>
          <w:lang w:val="en-US" w:eastAsia="zh-CN"/>
        </w:rPr>
        <w:t>4</w:t>
      </w:r>
      <w:r>
        <w:rPr>
          <w:rFonts w:hint="eastAsia" w:ascii="宋体" w:hAnsi="宋体" w:eastAsia="宋体"/>
          <w:b/>
          <w:bCs/>
          <w:sz w:val="32"/>
          <w:szCs w:val="32"/>
        </w:rPr>
        <w:t>月</w:t>
      </w:r>
      <w:r>
        <w:rPr>
          <w:rFonts w:hint="eastAsia" w:ascii="宋体" w:hAnsi="宋体" w:eastAsia="宋体"/>
          <w:b/>
          <w:bCs/>
          <w:sz w:val="32"/>
          <w:szCs w:val="32"/>
          <w:lang w:val="en-US" w:eastAsia="zh-CN"/>
        </w:rPr>
        <w:t>20</w:t>
      </w:r>
      <w:r>
        <w:rPr>
          <w:rFonts w:hint="eastAsia" w:ascii="宋体" w:hAnsi="宋体" w:eastAsia="宋体"/>
          <w:b/>
          <w:bCs/>
          <w:sz w:val="32"/>
          <w:szCs w:val="32"/>
        </w:rPr>
        <w:t>日</w:t>
      </w:r>
    </w:p>
    <w:p>
      <w:pPr>
        <w:ind w:firstLine="560"/>
      </w:pPr>
    </w:p>
    <w:p>
      <w:pPr>
        <w:pStyle w:val="33"/>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3"/>
            <w:spacing w:line="360" w:lineRule="auto"/>
            <w:ind w:firstLine="560"/>
            <w:jc w:val="center"/>
            <w:rPr>
              <w:rFonts w:ascii="黑体" w:hAnsi="黑体" w:eastAsia="黑体"/>
              <w:color w:val="auto"/>
            </w:rPr>
          </w:pPr>
          <w:r>
            <w:rPr>
              <w:rFonts w:ascii="黑体" w:hAnsi="黑体" w:eastAsia="黑体"/>
              <w:color w:val="auto"/>
              <w:lang w:val="zh-CN"/>
            </w:rPr>
            <w:t>目录</w:t>
          </w:r>
        </w:p>
        <w:p>
          <w:pPr>
            <w:pStyle w:val="16"/>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_Toc2776 </w:instrText>
          </w:r>
          <w:r>
            <w:fldChar w:fldCharType="separate"/>
          </w:r>
          <w:r>
            <w:rPr>
              <w:rFonts w:hint="eastAsia"/>
            </w:rPr>
            <w:t>一、基本情况</w:t>
          </w:r>
          <w:r>
            <w:tab/>
          </w:r>
          <w:r>
            <w:fldChar w:fldCharType="begin"/>
          </w:r>
          <w:r>
            <w:instrText xml:space="preserve"> PAGEREF _Toc2776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_Toc27077 </w:instrText>
          </w:r>
          <w:r>
            <w:fldChar w:fldCharType="separate"/>
          </w:r>
          <w:r>
            <w:rPr>
              <w:rFonts w:hint="eastAsia"/>
            </w:rPr>
            <w:t>（一）部门主要职能</w:t>
          </w:r>
          <w:r>
            <w:tab/>
          </w:r>
          <w:r>
            <w:fldChar w:fldCharType="begin"/>
          </w:r>
          <w:r>
            <w:instrText xml:space="preserve"> PAGEREF _Toc27077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_Toc6566 </w:instrText>
          </w:r>
          <w:r>
            <w:fldChar w:fldCharType="separate"/>
          </w:r>
          <w:r>
            <w:rPr>
              <w:rFonts w:hint="eastAsia"/>
            </w:rPr>
            <w:t>（二）内设机构及所属部门概况</w:t>
          </w:r>
          <w:r>
            <w:tab/>
          </w:r>
          <w:r>
            <w:fldChar w:fldCharType="begin"/>
          </w:r>
          <w:r>
            <w:instrText xml:space="preserve"> PAGEREF _Toc6566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_Toc29437 </w:instrText>
          </w:r>
          <w:r>
            <w:fldChar w:fldCharType="separate"/>
          </w:r>
          <w:r>
            <w:rPr>
              <w:rFonts w:hint="eastAsia"/>
            </w:rPr>
            <w:t>二、绩效自评工作组织开展情况</w:t>
          </w:r>
          <w:r>
            <w:tab/>
          </w:r>
          <w:r>
            <w:fldChar w:fldCharType="begin"/>
          </w:r>
          <w:r>
            <w:instrText xml:space="preserve"> PAGEREF _Toc29437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_Toc32565 </w:instrText>
          </w:r>
          <w:r>
            <w:fldChar w:fldCharType="separate"/>
          </w:r>
          <w:r>
            <w:rPr>
              <w:rFonts w:hint="eastAsia"/>
            </w:rPr>
            <w:t>（一）自评工作组织管理情况</w:t>
          </w:r>
          <w:r>
            <w:tab/>
          </w:r>
          <w:r>
            <w:fldChar w:fldCharType="begin"/>
          </w:r>
          <w:r>
            <w:instrText xml:space="preserve"> PAGEREF _Toc32565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_Toc22595 </w:instrText>
          </w:r>
          <w:r>
            <w:fldChar w:fldCharType="separate"/>
          </w:r>
          <w:r>
            <w:rPr>
              <w:rFonts w:hint="eastAsia"/>
            </w:rPr>
            <w:t>（二）自评范围</w:t>
          </w:r>
          <w:r>
            <w:tab/>
          </w:r>
          <w:r>
            <w:fldChar w:fldCharType="begin"/>
          </w:r>
          <w:r>
            <w:instrText xml:space="preserve"> PAGEREF _Toc22595 \h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_Toc16558 </w:instrText>
          </w:r>
          <w:r>
            <w:fldChar w:fldCharType="separate"/>
          </w:r>
          <w:r>
            <w:rPr>
              <w:rFonts w:hint="eastAsia"/>
            </w:rPr>
            <w:t>（三）自评工作程序</w:t>
          </w:r>
          <w:r>
            <w:tab/>
          </w:r>
          <w:r>
            <w:fldChar w:fldCharType="begin"/>
          </w:r>
          <w:r>
            <w:instrText xml:space="preserve"> PAGEREF _Toc16558 \h </w:instrText>
          </w:r>
          <w:r>
            <w:fldChar w:fldCharType="separate"/>
          </w:r>
          <w:r>
            <w:t>2</w:t>
          </w:r>
          <w:r>
            <w:fldChar w:fldCharType="end"/>
          </w:r>
          <w:r>
            <w:fldChar w:fldCharType="end"/>
          </w:r>
        </w:p>
        <w:p>
          <w:pPr>
            <w:pStyle w:val="16"/>
            <w:tabs>
              <w:tab w:val="right" w:leader="dot" w:pos="8306"/>
              <w:tab w:val="clear" w:pos="8296"/>
            </w:tabs>
          </w:pPr>
          <w:r>
            <w:fldChar w:fldCharType="begin"/>
          </w:r>
          <w:r>
            <w:instrText xml:space="preserve"> HYPERLINK \l _Toc9882 </w:instrText>
          </w:r>
          <w:r>
            <w:fldChar w:fldCharType="separate"/>
          </w:r>
          <w:r>
            <w:rPr>
              <w:rFonts w:hint="eastAsia"/>
            </w:rPr>
            <w:t>三、部门整体支出绩效自评情况分析</w:t>
          </w:r>
          <w:r>
            <w:tab/>
          </w:r>
          <w:r>
            <w:fldChar w:fldCharType="begin"/>
          </w:r>
          <w:r>
            <w:instrText xml:space="preserve"> PAGEREF _Toc9882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_Toc27001 </w:instrText>
          </w:r>
          <w:r>
            <w:fldChar w:fldCharType="separate"/>
          </w:r>
          <w:r>
            <w:rPr>
              <w:rFonts w:hint="eastAsia"/>
            </w:rPr>
            <w:t>（一）部门决算情况</w:t>
          </w:r>
          <w:r>
            <w:tab/>
          </w:r>
          <w:r>
            <w:fldChar w:fldCharType="begin"/>
          </w:r>
          <w:r>
            <w:instrText xml:space="preserve"> PAGEREF _Toc27001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_Toc3170 </w:instrText>
          </w:r>
          <w:r>
            <w:fldChar w:fldCharType="separate"/>
          </w:r>
          <w:r>
            <w:rPr>
              <w:rFonts w:hint="eastAsia"/>
            </w:rPr>
            <w:t>（二）总体绩效目标完成情况分析</w:t>
          </w:r>
          <w:r>
            <w:tab/>
          </w:r>
          <w:r>
            <w:fldChar w:fldCharType="begin"/>
          </w:r>
          <w:r>
            <w:instrText xml:space="preserve"> PAGEREF _Toc3170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_Toc17609 </w:instrText>
          </w:r>
          <w:r>
            <w:fldChar w:fldCharType="separate"/>
          </w:r>
          <w:r>
            <w:rPr>
              <w:rFonts w:hint="eastAsia"/>
            </w:rPr>
            <w:t>（三）各项指标完成情况分析</w:t>
          </w:r>
          <w:r>
            <w:tab/>
          </w:r>
          <w:r>
            <w:fldChar w:fldCharType="begin"/>
          </w:r>
          <w:r>
            <w:instrText xml:space="preserve"> PAGEREF _Toc17609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_Toc19746 </w:instrText>
          </w:r>
          <w:r>
            <w:fldChar w:fldCharType="separate"/>
          </w:r>
          <w:r>
            <w:rPr>
              <w:rFonts w:hint="eastAsia"/>
            </w:rPr>
            <w:t>（四）偏离绩效目标的原因及下一步改进措施</w:t>
          </w:r>
          <w:r>
            <w:tab/>
          </w:r>
          <w:r>
            <w:fldChar w:fldCharType="begin"/>
          </w:r>
          <w:r>
            <w:instrText xml:space="preserve"> PAGEREF _Toc19746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_Toc8347 </w:instrText>
          </w:r>
          <w:r>
            <w:fldChar w:fldCharType="separate"/>
          </w:r>
          <w:r>
            <w:rPr>
              <w:rFonts w:hint="eastAsia"/>
            </w:rPr>
            <w:t>四、部门预算项目支出绩效自评情况分析</w:t>
          </w:r>
          <w:r>
            <w:tab/>
          </w:r>
          <w:r>
            <w:fldChar w:fldCharType="begin"/>
          </w:r>
          <w:r>
            <w:instrText xml:space="preserve"> PAGEREF _Toc8347 \h </w:instrText>
          </w:r>
          <w:r>
            <w:fldChar w:fldCharType="separate"/>
          </w:r>
          <w:r>
            <w:t>13</w:t>
          </w:r>
          <w:r>
            <w:fldChar w:fldCharType="end"/>
          </w:r>
          <w:r>
            <w:fldChar w:fldCharType="end"/>
          </w:r>
        </w:p>
        <w:p>
          <w:pPr>
            <w:pStyle w:val="17"/>
            <w:tabs>
              <w:tab w:val="right" w:leader="dot" w:pos="8306"/>
              <w:tab w:val="clear" w:pos="8296"/>
            </w:tabs>
          </w:pPr>
          <w:r>
            <w:fldChar w:fldCharType="begin"/>
          </w:r>
          <w:r>
            <w:instrText xml:space="preserve"> HYPERLINK \l _Toc7444 </w:instrText>
          </w:r>
          <w:r>
            <w:fldChar w:fldCharType="separate"/>
          </w:r>
          <w:r>
            <w:rPr>
              <w:rFonts w:hint="eastAsia"/>
            </w:rPr>
            <w:t>（一）</w:t>
          </w:r>
          <w:r>
            <w:rPr>
              <w:rFonts w:hint="eastAsia" w:hAnsi="宋体"/>
              <w:szCs w:val="28"/>
            </w:rPr>
            <w:t>全省法院</w:t>
          </w:r>
          <w:r>
            <w:rPr>
              <w:rFonts w:hint="eastAsia"/>
            </w:rPr>
            <w:t>业务费</w:t>
          </w:r>
          <w:r>
            <w:tab/>
          </w:r>
          <w:r>
            <w:fldChar w:fldCharType="begin"/>
          </w:r>
          <w:r>
            <w:instrText xml:space="preserve"> PAGEREF _Toc7444 \h </w:instrText>
          </w:r>
          <w:r>
            <w:fldChar w:fldCharType="separate"/>
          </w:r>
          <w:r>
            <w:t>13</w:t>
          </w:r>
          <w:r>
            <w:fldChar w:fldCharType="end"/>
          </w:r>
          <w:r>
            <w:fldChar w:fldCharType="end"/>
          </w:r>
        </w:p>
        <w:p>
          <w:pPr>
            <w:pStyle w:val="17"/>
            <w:tabs>
              <w:tab w:val="right" w:leader="dot" w:pos="8306"/>
              <w:tab w:val="clear" w:pos="8296"/>
            </w:tabs>
          </w:pPr>
          <w:r>
            <w:fldChar w:fldCharType="begin"/>
          </w:r>
          <w:r>
            <w:instrText xml:space="preserve"> HYPERLINK \l _Toc19888 </w:instrText>
          </w:r>
          <w:r>
            <w:fldChar w:fldCharType="separate"/>
          </w:r>
          <w:r>
            <w:rPr>
              <w:rFonts w:hint="eastAsia"/>
            </w:rPr>
            <w:t>（</w:t>
          </w:r>
          <w:r>
            <w:rPr>
              <w:rFonts w:hint="eastAsia"/>
              <w:lang w:val="en-US" w:eastAsia="zh-CN"/>
            </w:rPr>
            <w:t>二</w:t>
          </w:r>
          <w:r>
            <w:rPr>
              <w:rFonts w:hint="eastAsia"/>
            </w:rPr>
            <w:t>）</w:t>
          </w:r>
          <w:r>
            <w:rPr>
              <w:rFonts w:hint="eastAsia" w:hAnsi="宋体"/>
              <w:szCs w:val="28"/>
            </w:rPr>
            <w:t>第一批“全省法院维修改造”项目</w:t>
          </w:r>
          <w:r>
            <w:tab/>
          </w:r>
          <w:r>
            <w:fldChar w:fldCharType="begin"/>
          </w:r>
          <w:r>
            <w:instrText xml:space="preserve"> PAGEREF _Toc19888 \h </w:instrText>
          </w:r>
          <w:r>
            <w:fldChar w:fldCharType="separate"/>
          </w:r>
          <w:r>
            <w:t>19</w:t>
          </w:r>
          <w:r>
            <w:fldChar w:fldCharType="end"/>
          </w:r>
          <w:r>
            <w:fldChar w:fldCharType="end"/>
          </w:r>
        </w:p>
        <w:p>
          <w:pPr>
            <w:pStyle w:val="17"/>
            <w:tabs>
              <w:tab w:val="right" w:leader="dot" w:pos="8306"/>
              <w:tab w:val="clear" w:pos="8296"/>
            </w:tabs>
          </w:pPr>
          <w:r>
            <w:fldChar w:fldCharType="begin"/>
          </w:r>
          <w:r>
            <w:instrText xml:space="preserve"> HYPERLINK \l _Toc27062 </w:instrText>
          </w:r>
          <w:r>
            <w:fldChar w:fldCharType="separate"/>
          </w:r>
          <w:r>
            <w:rPr>
              <w:rFonts w:hint="eastAsia"/>
            </w:rPr>
            <w:t>（</w:t>
          </w:r>
          <w:r>
            <w:rPr>
              <w:rFonts w:hint="eastAsia"/>
              <w:lang w:val="en-US" w:eastAsia="zh-CN"/>
            </w:rPr>
            <w:t>三</w:t>
          </w:r>
          <w:r>
            <w:rPr>
              <w:rFonts w:hint="eastAsia"/>
            </w:rPr>
            <w:t>）</w:t>
          </w:r>
          <w:r>
            <w:rPr>
              <w:rFonts w:hint="eastAsia" w:hAnsi="宋体"/>
              <w:szCs w:val="28"/>
              <w:lang w:eastAsia="zh-CN"/>
            </w:rPr>
            <w:t>全省“智慧法院”信息化建设及运维资金</w:t>
          </w:r>
          <w:r>
            <w:tab/>
          </w:r>
          <w:r>
            <w:fldChar w:fldCharType="begin"/>
          </w:r>
          <w:r>
            <w:instrText xml:space="preserve"> PAGEREF _Toc27062 \h </w:instrText>
          </w:r>
          <w:r>
            <w:fldChar w:fldCharType="separate"/>
          </w:r>
          <w:r>
            <w:t>22</w:t>
          </w:r>
          <w:r>
            <w:fldChar w:fldCharType="end"/>
          </w:r>
          <w:r>
            <w:fldChar w:fldCharType="end"/>
          </w:r>
        </w:p>
        <w:p>
          <w:pPr>
            <w:pStyle w:val="16"/>
            <w:tabs>
              <w:tab w:val="right" w:leader="dot" w:pos="8306"/>
              <w:tab w:val="clear" w:pos="8296"/>
            </w:tabs>
            <w:rPr>
              <w:rFonts w:hint="eastAsia" w:eastAsia="仿宋_GB2312"/>
              <w:lang w:val="en-US" w:eastAsia="zh-CN"/>
            </w:rPr>
          </w:pPr>
          <w:r>
            <w:fldChar w:fldCharType="begin"/>
          </w:r>
          <w:r>
            <w:instrText xml:space="preserve"> HYPERLINK \l _Toc21400 </w:instrText>
          </w:r>
          <w:r>
            <w:fldChar w:fldCharType="separate"/>
          </w:r>
          <w:r>
            <w:rPr>
              <w:rFonts w:hint="eastAsia"/>
              <w:lang w:val="en-US" w:eastAsia="zh-CN"/>
            </w:rPr>
            <w:t>五、绩效自评结果拟应用和公开情况</w:t>
          </w:r>
          <w:r>
            <w:tab/>
          </w:r>
          <w:r>
            <w:rPr>
              <w:rFonts w:hint="eastAsia"/>
              <w:lang w:val="en-US" w:eastAsia="zh-CN"/>
            </w:rPr>
            <w:t>2</w:t>
          </w:r>
          <w:r>
            <w:fldChar w:fldCharType="end"/>
          </w:r>
          <w:r>
            <w:rPr>
              <w:rFonts w:hint="eastAsia"/>
              <w:lang w:val="en-US" w:eastAsia="zh-CN"/>
            </w:rPr>
            <w:t>7</w:t>
          </w:r>
        </w:p>
        <w:p>
          <w:pPr>
            <w:pStyle w:val="16"/>
            <w:tabs>
              <w:tab w:val="right" w:leader="dot" w:pos="8306"/>
              <w:tab w:val="clear" w:pos="8296"/>
            </w:tabs>
            <w:rPr>
              <w:rFonts w:hint="eastAsia" w:eastAsia="仿宋_GB2312"/>
              <w:lang w:val="en-US" w:eastAsia="zh-CN"/>
            </w:rPr>
          </w:pPr>
          <w:r>
            <w:fldChar w:fldCharType="begin"/>
          </w:r>
          <w:r>
            <w:instrText xml:space="preserve"> HYPERLINK \l _Toc18183 </w:instrText>
          </w:r>
          <w:r>
            <w:fldChar w:fldCharType="separate"/>
          </w:r>
          <w:r>
            <w:rPr>
              <w:rFonts w:hint="eastAsia"/>
              <w:lang w:val="en-US" w:eastAsia="zh-CN"/>
            </w:rPr>
            <w:t>六、其他需要说明的问题</w:t>
          </w:r>
          <w:r>
            <w:tab/>
          </w:r>
          <w:r>
            <w:rPr>
              <w:rFonts w:hint="eastAsia"/>
              <w:lang w:val="en-US" w:eastAsia="zh-CN"/>
            </w:rPr>
            <w:t>2</w:t>
          </w:r>
          <w:r>
            <w:fldChar w:fldCharType="end"/>
          </w:r>
          <w:r>
            <w:rPr>
              <w:rFonts w:hint="eastAsia"/>
              <w:lang w:val="en-US" w:eastAsia="zh-CN"/>
            </w:rPr>
            <w:t>7</w:t>
          </w:r>
        </w:p>
        <w:p>
          <w:pPr>
            <w:ind w:firstLine="0" w:firstLineChars="0"/>
          </w:pPr>
          <w:r>
            <w:fldChar w:fldCharType="end"/>
          </w:r>
        </w:p>
      </w:sdtContent>
    </w:sdt>
    <w:p>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bookmarkStart w:id="0" w:name="_Toc4040"/>
      <w:bookmarkStart w:id="1" w:name="_Toc13158"/>
      <w:bookmarkStart w:id="2" w:name="_Toc18188"/>
      <w:bookmarkStart w:id="3" w:name="_Toc22477"/>
      <w:bookmarkStart w:id="4" w:name="_Toc28671"/>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平凉市中级人民法院2024</w:t>
      </w:r>
      <w:r>
        <w:rPr>
          <w:rFonts w:hint="eastAsia" w:ascii="宋体" w:hAnsi="宋体" w:eastAsia="宋体" w:cs="Arial"/>
          <w:b/>
          <w:bCs/>
          <w:sz w:val="44"/>
          <w:szCs w:val="44"/>
        </w:rPr>
        <w:t>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spacing w:before="0" w:after="0" w:line="560" w:lineRule="exact"/>
        <w:ind w:firstLine="643" w:firstLineChars="200"/>
      </w:pPr>
      <w:bookmarkStart w:id="5" w:name="_Toc2776"/>
      <w:r>
        <w:rPr>
          <w:rFonts w:hint="eastAsia"/>
        </w:rPr>
        <w:t>一、基本情况</w:t>
      </w:r>
      <w:bookmarkEnd w:id="2"/>
      <w:bookmarkEnd w:id="3"/>
      <w:bookmarkEnd w:id="4"/>
      <w:bookmarkEnd w:id="5"/>
    </w:p>
    <w:p>
      <w:pPr>
        <w:pStyle w:val="3"/>
        <w:spacing w:before="0" w:after="0" w:line="560" w:lineRule="exact"/>
        <w:ind w:firstLine="643"/>
      </w:pPr>
      <w:bookmarkStart w:id="6" w:name="_Toc18868"/>
      <w:bookmarkStart w:id="7" w:name="_Toc27077"/>
      <w:bookmarkStart w:id="8" w:name="_Toc24636"/>
      <w:bookmarkStart w:id="9" w:name="_Toc819"/>
      <w:r>
        <w:rPr>
          <w:rFonts w:hint="eastAsia"/>
        </w:rPr>
        <w:t>（一）部门主要职能</w:t>
      </w:r>
      <w:bookmarkEnd w:id="6"/>
      <w:bookmarkEnd w:id="7"/>
      <w:bookmarkEnd w:id="8"/>
      <w:bookmarkEnd w:id="9"/>
    </w:p>
    <w:p>
      <w:pPr>
        <w:spacing w:line="560" w:lineRule="exact"/>
        <w:ind w:firstLine="640"/>
        <w:rPr>
          <w:rFonts w:hint="eastAsia"/>
          <w:sz w:val="32"/>
          <w:szCs w:val="24"/>
        </w:rPr>
      </w:pPr>
      <w:bookmarkStart w:id="10" w:name="_Toc7151"/>
      <w:bookmarkStart w:id="11" w:name="_Toc20782"/>
      <w:bookmarkStart w:id="12" w:name="_Toc25335"/>
      <w:r>
        <w:rPr>
          <w:rFonts w:hint="default"/>
          <w:sz w:val="32"/>
          <w:szCs w:val="24"/>
          <w:lang w:val="en-US" w:eastAsia="zh-CN"/>
        </w:rPr>
        <w:t>平凉市中级人民法院是国家审判机关，依法独立行使审判权，对市人民代表大会及其常务委员会负责并报告工作</w:t>
      </w:r>
      <w:r>
        <w:rPr>
          <w:rFonts w:hint="eastAsia"/>
          <w:sz w:val="32"/>
          <w:szCs w:val="24"/>
        </w:rPr>
        <w:t>。</w:t>
      </w:r>
    </w:p>
    <w:p>
      <w:pPr>
        <w:spacing w:line="560" w:lineRule="exact"/>
        <w:ind w:firstLine="640"/>
        <w:rPr>
          <w:rFonts w:hint="eastAsia"/>
          <w:sz w:val="32"/>
          <w:szCs w:val="24"/>
        </w:rPr>
      </w:pPr>
      <w:r>
        <w:rPr>
          <w:rFonts w:hint="default"/>
          <w:sz w:val="32"/>
          <w:szCs w:val="24"/>
          <w:lang w:val="en-US" w:eastAsia="zh-CN"/>
        </w:rPr>
        <w:t>审判法律规定由中级法院管辖审判的刑事、民商事、行政等一审、二审案件。受理不服本地区基层人民法院判决、裁定的各类申诉、再审及上级法院指令由本院再审的案件及抗诉案件</w:t>
      </w:r>
      <w:r>
        <w:rPr>
          <w:rFonts w:hint="eastAsia"/>
          <w:sz w:val="32"/>
          <w:szCs w:val="24"/>
          <w:lang w:val="en-US" w:eastAsia="zh-CN"/>
        </w:rPr>
        <w:t>。</w:t>
      </w:r>
    </w:p>
    <w:p>
      <w:pPr>
        <w:pStyle w:val="3"/>
        <w:spacing w:before="0" w:after="0" w:line="560" w:lineRule="exact"/>
        <w:ind w:firstLine="643"/>
      </w:pPr>
      <w:bookmarkStart w:id="13" w:name="_Toc6566"/>
      <w:r>
        <w:rPr>
          <w:rFonts w:hint="eastAsia"/>
        </w:rPr>
        <w:t>（二）内设机构及所属部门概况</w:t>
      </w:r>
      <w:bookmarkEnd w:id="10"/>
      <w:bookmarkEnd w:id="11"/>
      <w:bookmarkEnd w:id="12"/>
      <w:bookmarkEnd w:id="13"/>
    </w:p>
    <w:p>
      <w:pPr>
        <w:spacing w:line="560" w:lineRule="exact"/>
        <w:ind w:firstLine="640"/>
        <w:rPr>
          <w:rFonts w:hint="eastAsia"/>
          <w:sz w:val="32"/>
          <w:szCs w:val="24"/>
          <w:lang w:val="en-US" w:eastAsia="zh-CN"/>
        </w:rPr>
      </w:pPr>
      <w:bookmarkStart w:id="14" w:name="_Toc18193"/>
      <w:bookmarkStart w:id="15" w:name="_Toc13794"/>
      <w:bookmarkStart w:id="16" w:name="_Toc4574"/>
      <w:r>
        <w:rPr>
          <w:rFonts w:hint="default"/>
          <w:sz w:val="32"/>
          <w:szCs w:val="24"/>
          <w:lang w:val="en-US" w:eastAsia="zh-CN"/>
        </w:rPr>
        <w:t>院机关内设机构19个，包括：办公室，政治部、研究室、监察室、审判管理办公室、司法行政装备处、刑事审判第一庭、刑事审判第二庭、民事审判第一庭、民事审判第二庭、民事审判第三庭、行政审判庭、赔偿委员会办公室、立案庭、信访督查室、审判监督庭、执行局、法警队、法医技术室。另外，还有市纪委派驻市法院纪检组</w:t>
      </w:r>
      <w:r>
        <w:rPr>
          <w:rFonts w:hint="eastAsia"/>
          <w:sz w:val="32"/>
          <w:szCs w:val="24"/>
          <w:lang w:val="en-US" w:eastAsia="zh-CN"/>
        </w:rPr>
        <w:t>。</w:t>
      </w:r>
    </w:p>
    <w:p>
      <w:pPr>
        <w:pStyle w:val="2"/>
        <w:spacing w:before="0" w:after="0" w:line="560" w:lineRule="exact"/>
        <w:ind w:firstLine="643" w:firstLineChars="200"/>
      </w:pPr>
      <w:bookmarkStart w:id="17" w:name="_Toc29437"/>
      <w:r>
        <w:rPr>
          <w:rFonts w:hint="eastAsia"/>
        </w:rPr>
        <w:t>二、绩效自评工作组织开展情况</w:t>
      </w:r>
      <w:bookmarkEnd w:id="14"/>
      <w:bookmarkEnd w:id="15"/>
      <w:bookmarkEnd w:id="16"/>
      <w:bookmarkEnd w:id="17"/>
    </w:p>
    <w:p>
      <w:pPr>
        <w:pStyle w:val="3"/>
        <w:spacing w:before="0" w:after="0" w:line="560" w:lineRule="exact"/>
        <w:ind w:firstLine="643"/>
      </w:pPr>
      <w:bookmarkStart w:id="18" w:name="_Toc32565"/>
      <w:bookmarkStart w:id="19" w:name="_Toc4177"/>
      <w:bookmarkStart w:id="20" w:name="_Toc11147"/>
      <w:bookmarkStart w:id="21" w:name="_Toc31965"/>
      <w:r>
        <w:rPr>
          <w:rFonts w:hint="eastAsia"/>
        </w:rPr>
        <w:t>（一）自评工作组织管理情况</w:t>
      </w:r>
      <w:bookmarkEnd w:id="18"/>
    </w:p>
    <w:p>
      <w:pPr>
        <w:spacing w:line="560" w:lineRule="exact"/>
        <w:ind w:firstLine="640"/>
        <w:rPr>
          <w:sz w:val="32"/>
          <w:szCs w:val="24"/>
        </w:rPr>
      </w:pPr>
      <w:bookmarkStart w:id="22" w:name="_Toc13356"/>
      <w:bookmarkStart w:id="23" w:name="_Toc28216"/>
      <w:bookmarkStart w:id="24" w:name="_Toc29448"/>
      <w:bookmarkStart w:id="25" w:name="_Toc26980"/>
      <w:r>
        <w:rPr>
          <w:rFonts w:hint="eastAsia"/>
          <w:sz w:val="32"/>
          <w:szCs w:val="24"/>
        </w:rPr>
        <w:t>我院十分重视此次绩效评价工作，要求财务部门严格按照</w:t>
      </w:r>
      <w:r>
        <w:rPr>
          <w:rFonts w:hint="eastAsia"/>
          <w:sz w:val="32"/>
          <w:szCs w:val="24"/>
          <w:lang w:eastAsia="zh-CN"/>
        </w:rPr>
        <w:t>甘肃省</w:t>
      </w:r>
      <w:r>
        <w:rPr>
          <w:rFonts w:hint="eastAsia"/>
          <w:sz w:val="32"/>
          <w:szCs w:val="24"/>
        </w:rPr>
        <w:t>有关文件精神，科学分析，精准评价，确保绩效评价客观公正。工作启动后，严格按照《中华人民共和国预算法》《中华人民共和国预算法实施条例》《中共中央国务院关于全面实施预算绩效管理的意见》（甘发〔2018〕34号）、《中共甘肃省委甘肃省人民政府关于全面实施预算绩效管理的实施意见》（中发〔2018〕32号）、《甘肃省省级预算绩效管理办法》（甘财绩〔2020〕5号）等文件的要求，联合各相关业务部门共同完成此次自评工作。自评工作遵循科学公正、统筹兼顾、激励约束和公开透明的原则，以我院</w:t>
      </w:r>
      <w:r>
        <w:rPr>
          <w:rFonts w:hint="eastAsia"/>
          <w:sz w:val="32"/>
          <w:szCs w:val="24"/>
          <w:lang w:eastAsia="zh-CN"/>
        </w:rPr>
        <w:t>2024</w:t>
      </w:r>
      <w:r>
        <w:rPr>
          <w:rFonts w:hint="eastAsia"/>
          <w:sz w:val="32"/>
          <w:szCs w:val="24"/>
        </w:rPr>
        <w:t>年初设定的绩效目标及相关法律法规、政策要求、行业规划、部门职责等为依据，运用定量和定性相结合的评价方法，对我院</w:t>
      </w:r>
      <w:r>
        <w:rPr>
          <w:rFonts w:hint="eastAsia"/>
          <w:sz w:val="32"/>
          <w:szCs w:val="24"/>
          <w:lang w:eastAsia="zh-CN"/>
        </w:rPr>
        <w:t>2024</w:t>
      </w:r>
      <w:r>
        <w:rPr>
          <w:rFonts w:hint="eastAsia"/>
          <w:sz w:val="32"/>
          <w:szCs w:val="24"/>
        </w:rPr>
        <w:t>年度省级预算执行情况的经济性、效率性、效益性进行客观公正的分析评价。</w:t>
      </w:r>
    </w:p>
    <w:p>
      <w:pPr>
        <w:pStyle w:val="3"/>
        <w:spacing w:before="0" w:after="0" w:line="560" w:lineRule="exact"/>
        <w:ind w:firstLine="643"/>
      </w:pPr>
      <w:bookmarkStart w:id="26" w:name="_Toc22595"/>
      <w:r>
        <w:rPr>
          <w:rFonts w:hint="eastAsia"/>
        </w:rPr>
        <w:t>（二）自评范围</w:t>
      </w:r>
      <w:bookmarkEnd w:id="22"/>
      <w:bookmarkEnd w:id="23"/>
      <w:bookmarkEnd w:id="24"/>
      <w:bookmarkEnd w:id="25"/>
      <w:bookmarkEnd w:id="26"/>
    </w:p>
    <w:p>
      <w:pPr>
        <w:spacing w:line="560" w:lineRule="exact"/>
        <w:ind w:firstLine="640"/>
        <w:rPr>
          <w:sz w:val="32"/>
          <w:szCs w:val="24"/>
        </w:rPr>
      </w:pPr>
      <w:r>
        <w:rPr>
          <w:rFonts w:hint="eastAsia"/>
          <w:sz w:val="32"/>
          <w:szCs w:val="24"/>
        </w:rPr>
        <w:t>本次预算绩效自评，按照省级部门项目支出、省对市县转移支付、部门整体支出三类评价对象全覆盖的原则，结合我院</w:t>
      </w:r>
      <w:r>
        <w:rPr>
          <w:sz w:val="32"/>
          <w:szCs w:val="24"/>
        </w:rPr>
        <w:t>实际情况，自评所有对象为</w:t>
      </w:r>
      <w:r>
        <w:rPr>
          <w:rFonts w:hint="eastAsia" w:hAnsi="宋体"/>
          <w:sz w:val="32"/>
          <w:szCs w:val="32"/>
        </w:rPr>
        <w:t>部门整体支出自评和全省法院</w:t>
      </w:r>
      <w:r>
        <w:rPr>
          <w:rFonts w:hint="eastAsia"/>
          <w:sz w:val="32"/>
          <w:szCs w:val="24"/>
        </w:rPr>
        <w:t>业务费</w:t>
      </w:r>
      <w:r>
        <w:rPr>
          <w:rFonts w:hint="eastAsia"/>
          <w:sz w:val="32"/>
          <w:szCs w:val="24"/>
          <w:lang w:eastAsia="zh-CN"/>
        </w:rPr>
        <w:t>、上级补助收入、</w:t>
      </w:r>
      <w:r>
        <w:rPr>
          <w:rFonts w:hint="eastAsia" w:hAnsi="宋体"/>
          <w:sz w:val="32"/>
          <w:szCs w:val="32"/>
        </w:rPr>
        <w:t>中央政法转移支付资金</w:t>
      </w:r>
      <w:r>
        <w:rPr>
          <w:rFonts w:hint="eastAsia" w:hAnsi="宋体"/>
          <w:sz w:val="32"/>
          <w:szCs w:val="32"/>
          <w:lang w:eastAsia="zh-CN"/>
        </w:rPr>
        <w:t>、第一批“全省法院维修改造”项目、全省“智慧法院”信息化建设及运维资金</w:t>
      </w:r>
      <w:r>
        <w:rPr>
          <w:rFonts w:hint="eastAsia" w:hAnsi="宋体"/>
          <w:sz w:val="32"/>
          <w:szCs w:val="32"/>
          <w:lang w:val="en-US" w:eastAsia="zh-CN"/>
        </w:rPr>
        <w:t>4</w:t>
      </w:r>
      <w:r>
        <w:rPr>
          <w:rFonts w:hint="eastAsia" w:hAnsi="宋体"/>
          <w:sz w:val="32"/>
          <w:szCs w:val="32"/>
        </w:rPr>
        <w:t>个</w:t>
      </w:r>
      <w:r>
        <w:rPr>
          <w:sz w:val="32"/>
          <w:szCs w:val="24"/>
        </w:rPr>
        <w:t>项目自评</w:t>
      </w:r>
      <w:r>
        <w:rPr>
          <w:rFonts w:hint="eastAsia" w:hAnsi="宋体"/>
          <w:sz w:val="32"/>
          <w:szCs w:val="32"/>
        </w:rPr>
        <w:t>。</w:t>
      </w:r>
    </w:p>
    <w:p>
      <w:pPr>
        <w:pStyle w:val="3"/>
        <w:spacing w:before="0" w:after="0" w:line="560" w:lineRule="exact"/>
        <w:ind w:firstLine="643"/>
      </w:pPr>
      <w:bookmarkStart w:id="27" w:name="_Toc25429"/>
      <w:bookmarkStart w:id="28" w:name="_Toc25203"/>
      <w:bookmarkStart w:id="29" w:name="_Toc18694"/>
      <w:bookmarkStart w:id="30" w:name="_Toc16558"/>
      <w:bookmarkStart w:id="31" w:name="_Toc22785"/>
      <w:r>
        <w:rPr>
          <w:rFonts w:hint="eastAsia"/>
        </w:rPr>
        <w:t>（三）自评工作程序</w:t>
      </w:r>
      <w:bookmarkEnd w:id="27"/>
      <w:bookmarkEnd w:id="28"/>
      <w:bookmarkEnd w:id="29"/>
      <w:bookmarkEnd w:id="30"/>
      <w:bookmarkEnd w:id="31"/>
    </w:p>
    <w:p>
      <w:pPr>
        <w:spacing w:line="560" w:lineRule="exact"/>
        <w:ind w:firstLine="640"/>
        <w:rPr>
          <w:sz w:val="32"/>
          <w:szCs w:val="24"/>
        </w:rPr>
      </w:pPr>
      <w:r>
        <w:rPr>
          <w:rFonts w:hint="eastAsia"/>
          <w:sz w:val="32"/>
          <w:szCs w:val="24"/>
        </w:rPr>
        <w:t>本次绩效自评工作主要包括以下工作程序：</w:t>
      </w:r>
    </w:p>
    <w:p>
      <w:pPr>
        <w:spacing w:line="560" w:lineRule="exact"/>
        <w:ind w:firstLine="640"/>
        <w:rPr>
          <w:sz w:val="32"/>
          <w:szCs w:val="24"/>
        </w:rPr>
      </w:pPr>
      <w:r>
        <w:rPr>
          <w:rFonts w:hint="eastAsia"/>
          <w:sz w:val="32"/>
          <w:szCs w:val="24"/>
        </w:rPr>
        <w:t>1.根据我院整体支出和项目支出绩效目标的设定情况，通过各业务部门收集绩效目标实现程度、预算执行进度等绩效评价基础资料。</w:t>
      </w:r>
    </w:p>
    <w:p>
      <w:pPr>
        <w:spacing w:line="560" w:lineRule="exact"/>
        <w:ind w:firstLine="640"/>
        <w:rPr>
          <w:sz w:val="32"/>
          <w:szCs w:val="24"/>
        </w:rPr>
      </w:pPr>
      <w:r>
        <w:rPr>
          <w:rFonts w:hint="eastAsia"/>
          <w:sz w:val="32"/>
          <w:szCs w:val="24"/>
        </w:rPr>
        <w:t>2.整理分析相关资料，统计财政资金预算执行情况和各项绩效目标完成情况，对年初设定的绩效指标及各项指标完成情况进行对比分析，填写《</w:t>
      </w:r>
      <w:r>
        <w:rPr>
          <w:rFonts w:hint="eastAsia"/>
          <w:sz w:val="32"/>
          <w:szCs w:val="24"/>
          <w:lang w:eastAsia="zh-CN"/>
        </w:rPr>
        <w:t>2024</w:t>
      </w:r>
      <w:r>
        <w:rPr>
          <w:rFonts w:hint="eastAsia"/>
          <w:sz w:val="32"/>
          <w:szCs w:val="24"/>
        </w:rPr>
        <w:t>年度部门预算执行情况绩效自评报表》。</w:t>
      </w:r>
    </w:p>
    <w:p>
      <w:pPr>
        <w:spacing w:line="560" w:lineRule="exact"/>
        <w:ind w:firstLine="640"/>
        <w:rPr>
          <w:sz w:val="32"/>
          <w:szCs w:val="24"/>
        </w:rPr>
      </w:pPr>
      <w:r>
        <w:rPr>
          <w:rFonts w:hint="eastAsia"/>
          <w:sz w:val="32"/>
          <w:szCs w:val="24"/>
        </w:rPr>
        <w:t>3.总结评价结论，归纳问题，分析原因，提出改进措施，完成《</w:t>
      </w:r>
      <w:r>
        <w:rPr>
          <w:rFonts w:hint="eastAsia"/>
          <w:sz w:val="32"/>
          <w:szCs w:val="24"/>
          <w:lang w:eastAsia="zh-CN"/>
        </w:rPr>
        <w:t>2024</w:t>
      </w:r>
      <w:r>
        <w:rPr>
          <w:rFonts w:hint="eastAsia"/>
          <w:sz w:val="32"/>
          <w:szCs w:val="24"/>
        </w:rPr>
        <w:t>年度预算执行情况自评报告》撰写。</w:t>
      </w:r>
    </w:p>
    <w:p>
      <w:pPr>
        <w:spacing w:line="560" w:lineRule="exact"/>
        <w:ind w:firstLine="640"/>
        <w:rPr>
          <w:sz w:val="32"/>
          <w:szCs w:val="24"/>
        </w:rPr>
      </w:pPr>
      <w:r>
        <w:rPr>
          <w:rFonts w:hint="eastAsia"/>
          <w:sz w:val="32"/>
          <w:szCs w:val="24"/>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2"/>
        <w:spacing w:before="0" w:after="0" w:line="560" w:lineRule="exact"/>
        <w:ind w:firstLine="643" w:firstLineChars="200"/>
      </w:pPr>
      <w:bookmarkStart w:id="32" w:name="_Toc9882"/>
      <w:bookmarkStart w:id="33" w:name="_Toc26000"/>
      <w:bookmarkStart w:id="34" w:name="_Toc17042"/>
      <w:bookmarkStart w:id="35" w:name="_Toc31556"/>
      <w:r>
        <w:rPr>
          <w:rFonts w:hint="eastAsia"/>
        </w:rPr>
        <w:t>三、部门整体支出绩效自评情况分析</w:t>
      </w:r>
      <w:bookmarkEnd w:id="32"/>
      <w:bookmarkEnd w:id="33"/>
      <w:bookmarkEnd w:id="34"/>
      <w:bookmarkEnd w:id="35"/>
      <w:r>
        <w:rPr>
          <w:rFonts w:hint="eastAsia"/>
        </w:rPr>
        <w:tab/>
      </w:r>
    </w:p>
    <w:p>
      <w:pPr>
        <w:pStyle w:val="3"/>
        <w:spacing w:before="0" w:after="0" w:line="560" w:lineRule="exact"/>
        <w:ind w:firstLine="643"/>
      </w:pPr>
      <w:bookmarkStart w:id="36" w:name="_Toc27001"/>
      <w:bookmarkStart w:id="37" w:name="_Toc8171"/>
      <w:bookmarkStart w:id="38" w:name="_Toc3483"/>
      <w:bookmarkStart w:id="39" w:name="_Toc32623"/>
      <w:r>
        <w:rPr>
          <w:rFonts w:hint="eastAsia"/>
        </w:rPr>
        <w:t>（一）部门决算情况</w:t>
      </w:r>
      <w:bookmarkEnd w:id="36"/>
      <w:bookmarkEnd w:id="37"/>
      <w:bookmarkEnd w:id="38"/>
      <w:bookmarkEnd w:id="39"/>
    </w:p>
    <w:p>
      <w:pPr>
        <w:spacing w:line="560" w:lineRule="exact"/>
        <w:ind w:firstLine="640"/>
        <w:rPr>
          <w:sz w:val="32"/>
          <w:szCs w:val="24"/>
        </w:rPr>
      </w:pPr>
      <w:r>
        <w:rPr>
          <w:rFonts w:hint="eastAsia"/>
          <w:sz w:val="32"/>
          <w:szCs w:val="24"/>
          <w:lang w:eastAsia="zh-CN"/>
        </w:rPr>
        <w:t>2024</w:t>
      </w:r>
      <w:r>
        <w:rPr>
          <w:rFonts w:hint="eastAsia"/>
          <w:sz w:val="32"/>
          <w:szCs w:val="24"/>
        </w:rPr>
        <w:t>年度，</w:t>
      </w:r>
      <w:r>
        <w:rPr>
          <w:rFonts w:hint="eastAsia"/>
          <w:sz w:val="32"/>
          <w:szCs w:val="24"/>
          <w:lang w:eastAsia="zh-CN"/>
        </w:rPr>
        <w:t>平凉市中级人民法院</w:t>
      </w:r>
      <w:r>
        <w:rPr>
          <w:rFonts w:hint="eastAsia"/>
          <w:sz w:val="32"/>
          <w:szCs w:val="24"/>
        </w:rPr>
        <w:t>年初预算</w:t>
      </w:r>
      <w:r>
        <w:rPr>
          <w:rFonts w:hint="eastAsia"/>
          <w:sz w:val="32"/>
          <w:szCs w:val="24"/>
          <w:lang w:eastAsia="zh-CN"/>
        </w:rPr>
        <w:t>3059.87</w:t>
      </w:r>
      <w:r>
        <w:rPr>
          <w:rFonts w:hint="eastAsia"/>
          <w:sz w:val="32"/>
          <w:szCs w:val="24"/>
        </w:rPr>
        <w:t>万元，全年预算数</w:t>
      </w:r>
      <w:r>
        <w:rPr>
          <w:rFonts w:hint="eastAsia"/>
          <w:sz w:val="32"/>
          <w:szCs w:val="24"/>
          <w:lang w:eastAsia="zh-CN"/>
        </w:rPr>
        <w:t>3400.81</w:t>
      </w:r>
      <w:r>
        <w:rPr>
          <w:rFonts w:hint="eastAsia"/>
          <w:sz w:val="32"/>
          <w:szCs w:val="24"/>
        </w:rPr>
        <w:t>万元，实际支出数</w:t>
      </w:r>
      <w:r>
        <w:rPr>
          <w:rFonts w:hint="eastAsia"/>
          <w:sz w:val="32"/>
          <w:szCs w:val="24"/>
          <w:lang w:eastAsia="zh-CN"/>
        </w:rPr>
        <w:t>3381.83</w:t>
      </w:r>
      <w:r>
        <w:rPr>
          <w:rFonts w:hint="eastAsia"/>
          <w:sz w:val="32"/>
          <w:szCs w:val="24"/>
        </w:rPr>
        <w:t>万元，部门整体支出预算执行率为</w:t>
      </w:r>
      <w:r>
        <w:rPr>
          <w:rFonts w:hint="eastAsia"/>
          <w:sz w:val="32"/>
          <w:szCs w:val="24"/>
          <w:lang w:eastAsia="zh-CN"/>
        </w:rPr>
        <w:t>99.44</w:t>
      </w:r>
      <w:r>
        <w:rPr>
          <w:rFonts w:hint="eastAsia"/>
          <w:sz w:val="32"/>
          <w:szCs w:val="24"/>
        </w:rPr>
        <w:t>%。</w:t>
      </w:r>
    </w:p>
    <w:p>
      <w:pPr>
        <w:pStyle w:val="3"/>
        <w:spacing w:before="0" w:after="0" w:line="560" w:lineRule="exact"/>
        <w:ind w:firstLine="643"/>
      </w:pPr>
      <w:bookmarkStart w:id="40" w:name="_Toc22782"/>
      <w:bookmarkStart w:id="41" w:name="_Toc3170"/>
      <w:bookmarkStart w:id="42" w:name="_Toc10769"/>
      <w:bookmarkStart w:id="43" w:name="_Toc21423"/>
      <w:r>
        <w:rPr>
          <w:rFonts w:hint="eastAsia"/>
        </w:rPr>
        <w:t>（二）总体绩效目标完成情况分析</w:t>
      </w:r>
      <w:bookmarkEnd w:id="40"/>
      <w:bookmarkEnd w:id="41"/>
      <w:bookmarkEnd w:id="42"/>
      <w:bookmarkEnd w:id="43"/>
    </w:p>
    <w:p>
      <w:pPr>
        <w:spacing w:line="560" w:lineRule="exact"/>
        <w:ind w:firstLine="640"/>
        <w:rPr>
          <w:sz w:val="32"/>
          <w:szCs w:val="24"/>
        </w:rPr>
      </w:pPr>
      <w:r>
        <w:rPr>
          <w:rFonts w:hint="eastAsia"/>
          <w:sz w:val="32"/>
          <w:szCs w:val="24"/>
        </w:rPr>
        <w:t>经综合评价与分析，</w:t>
      </w:r>
      <w:r>
        <w:rPr>
          <w:rFonts w:hint="eastAsia"/>
          <w:sz w:val="32"/>
          <w:szCs w:val="24"/>
          <w:lang w:eastAsia="zh-CN"/>
        </w:rPr>
        <w:t>平凉市中级人民法院2024</w:t>
      </w:r>
      <w:r>
        <w:rPr>
          <w:rFonts w:hint="eastAsia"/>
          <w:sz w:val="32"/>
          <w:szCs w:val="24"/>
        </w:rPr>
        <w:t>年度部门整体支出绩效评价最终得分为</w:t>
      </w:r>
      <w:r>
        <w:rPr>
          <w:rFonts w:hint="eastAsia"/>
          <w:sz w:val="32"/>
          <w:szCs w:val="24"/>
          <w:lang w:eastAsia="zh-CN"/>
        </w:rPr>
        <w:t>90.49</w:t>
      </w:r>
      <w:r>
        <w:rPr>
          <w:rFonts w:hint="eastAsia"/>
          <w:sz w:val="32"/>
          <w:szCs w:val="24"/>
        </w:rPr>
        <w:t>分，评价结果为“优”。最终评分结果如下表所示：</w:t>
      </w:r>
    </w:p>
    <w:p>
      <w:pPr>
        <w:ind w:firstLine="482"/>
        <w:jc w:val="center"/>
        <w:rPr>
          <w:rFonts w:ascii="宋体" w:hAnsi="宋体"/>
        </w:rPr>
      </w:pPr>
      <w:r>
        <w:rPr>
          <w:rFonts w:hint="eastAsia" w:ascii="宋体" w:hAnsi="宋体" w:cs="宋体"/>
          <w:b/>
          <w:bCs/>
          <w:kern w:val="0"/>
          <w:sz w:val="24"/>
          <w:lang w:eastAsia="zh-CN"/>
        </w:rPr>
        <w:t>2024</w:t>
      </w:r>
      <w:r>
        <w:rPr>
          <w:rFonts w:hint="eastAsia" w:ascii="宋体" w:hAnsi="宋体" w:cs="宋体"/>
          <w:b/>
          <w:bCs/>
          <w:kern w:val="0"/>
          <w:sz w:val="24"/>
        </w:rPr>
        <w:t>年度部门整体支出绩效评价指标得分情况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分值</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9.94</w:t>
            </w:r>
          </w:p>
        </w:tc>
        <w:tc>
          <w:tcPr>
            <w:tcW w:w="1701" w:type="dxa"/>
            <w:vAlign w:val="center"/>
          </w:tcPr>
          <w:p>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99.40%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部门管理</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19.00</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95.0</w:t>
            </w:r>
            <w:r>
              <w:rPr>
                <w:rFonts w:hint="eastAsia" w:ascii="宋体" w:hAnsi="宋体" w:eastAsia="宋体" w:cs="宋体"/>
                <w:color w:val="000000"/>
                <w:kern w:val="0"/>
                <w:sz w:val="20"/>
                <w:szCs w:val="20"/>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履职效果</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60</w:t>
            </w:r>
          </w:p>
        </w:tc>
        <w:tc>
          <w:tcPr>
            <w:tcW w:w="1701" w:type="dxa"/>
            <w:vAlign w:val="center"/>
          </w:tcPr>
          <w:p>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lang w:val="en-US" w:eastAsia="zh-CN"/>
              </w:rPr>
              <w:t>52.35</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87.25</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能力建设</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701" w:type="dxa"/>
            <w:vAlign w:val="center"/>
          </w:tcPr>
          <w:p>
            <w:pPr>
              <w:widowControl/>
              <w:ind w:firstLine="0" w:firstLineChars="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9.20</w:t>
            </w:r>
          </w:p>
        </w:tc>
        <w:tc>
          <w:tcPr>
            <w:tcW w:w="1701" w:type="dxa"/>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lang w:val="en-US" w:eastAsia="zh-CN"/>
              </w:rPr>
              <w:t>92.0</w:t>
            </w:r>
            <w:r>
              <w:rPr>
                <w:rFonts w:hint="eastAsia" w:ascii="宋体" w:hAnsi="宋体" w:eastAsia="宋体" w:cs="宋体"/>
                <w:color w:val="000000"/>
                <w:kern w:val="0"/>
                <w:sz w:val="20"/>
                <w:szCs w:val="20"/>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合计</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90.49</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eastAsia="zh-CN"/>
              </w:rPr>
              <w:t>90.49</w:t>
            </w:r>
            <w:r>
              <w:rPr>
                <w:rFonts w:hint="eastAsia" w:ascii="宋体" w:hAnsi="宋体" w:eastAsia="宋体" w:cs="宋体"/>
                <w:b/>
                <w:bCs/>
                <w:color w:val="000000"/>
                <w:kern w:val="0"/>
                <w:sz w:val="20"/>
                <w:szCs w:val="20"/>
              </w:rPr>
              <w:t>%</w:t>
            </w:r>
          </w:p>
        </w:tc>
      </w:tr>
    </w:tbl>
    <w:p>
      <w:pPr>
        <w:widowControl/>
        <w:spacing w:line="560" w:lineRule="exact"/>
        <w:ind w:firstLine="643"/>
        <w:rPr>
          <w:b/>
          <w:bCs/>
          <w:sz w:val="32"/>
          <w:szCs w:val="24"/>
        </w:rPr>
      </w:pPr>
      <w:r>
        <w:rPr>
          <w:rFonts w:hint="eastAsia"/>
          <w:b/>
          <w:bCs/>
          <w:sz w:val="32"/>
          <w:szCs w:val="24"/>
        </w:rPr>
        <w:t>1.总体绩效目标</w:t>
      </w:r>
    </w:p>
    <w:p>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eastAsia="仿宋_GB2312"/>
          <w:sz w:val="32"/>
          <w:szCs w:val="24"/>
          <w:lang w:eastAsia="zh-CN"/>
        </w:rPr>
      </w:pPr>
      <w:r>
        <w:rPr>
          <w:rFonts w:hint="eastAsia"/>
          <w:sz w:val="32"/>
          <w:szCs w:val="24"/>
        </w:rPr>
        <w:t>通过2024年各项经费的投入，确保我院基层人民法庭办案办公的正常开展，更好的执行及维护国家法制，法律的权威，维护社会稳定和谐，保障基层法庭运营维护经费，改善基层法庭办案办公条件，提供稳定经费保障，确保基层法庭有一个良好的办案办公条件</w:t>
      </w:r>
      <w:r>
        <w:rPr>
          <w:rFonts w:hint="eastAsia"/>
          <w:sz w:val="32"/>
          <w:szCs w:val="24"/>
          <w:lang w:eastAsia="zh-CN"/>
        </w:rPr>
        <w:t>。</w:t>
      </w:r>
    </w:p>
    <w:p>
      <w:pPr>
        <w:spacing w:line="560" w:lineRule="exact"/>
        <w:ind w:firstLine="643"/>
        <w:rPr>
          <w:rFonts w:hint="eastAsia"/>
          <w:b/>
          <w:bCs/>
          <w:sz w:val="32"/>
          <w:szCs w:val="24"/>
        </w:rPr>
      </w:pPr>
      <w:r>
        <w:rPr>
          <w:rFonts w:hint="eastAsia"/>
          <w:b/>
          <w:bCs/>
          <w:sz w:val="32"/>
          <w:szCs w:val="24"/>
        </w:rPr>
        <w:t>2.实际完成情况</w:t>
      </w:r>
    </w:p>
    <w:p>
      <w:pPr>
        <w:pStyle w:val="29"/>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sz w:val="32"/>
          <w:szCs w:val="24"/>
          <w:lang w:eastAsia="zh-CN"/>
        </w:rPr>
      </w:pPr>
      <w:r>
        <w:rPr>
          <w:rFonts w:hint="eastAsia"/>
          <w:sz w:val="32"/>
          <w:szCs w:val="24"/>
          <w:lang w:eastAsia="zh-CN"/>
        </w:rPr>
        <w:t>2024年，</w:t>
      </w:r>
      <w:r>
        <w:rPr>
          <w:rFonts w:hint="eastAsia"/>
          <w:sz w:val="32"/>
          <w:szCs w:val="24"/>
          <w:lang w:val="en-US" w:eastAsia="zh-CN"/>
        </w:rPr>
        <w:t>平凉市中级人民法院</w:t>
      </w:r>
      <w:r>
        <w:rPr>
          <w:rFonts w:hint="eastAsia"/>
          <w:sz w:val="32"/>
          <w:szCs w:val="24"/>
          <w:lang w:eastAsia="zh-CN"/>
        </w:rPr>
        <w:t>在绩效自评工作中，高度重视基层人民法庭办案办公经费保障。在中央政法转移支付资金、全省法院业务费等项目上，严格按照预算执行，确保资金精准投入，有效为法庭日常运转提供保障，提升办案效率，有力保障审判服务，完成执法执勤车辆运行维护工作。这些经费投入，切实改善了基层法庭办案办公条件，确保基层法庭能正常开展工作，维护了国家法制权威与社会稳定和谐。</w:t>
      </w:r>
    </w:p>
    <w:p>
      <w:pPr>
        <w:pStyle w:val="3"/>
        <w:spacing w:before="0" w:after="0" w:line="560" w:lineRule="exact"/>
        <w:ind w:firstLine="643"/>
      </w:pPr>
      <w:bookmarkStart w:id="44" w:name="_Toc7799"/>
      <w:bookmarkStart w:id="45" w:name="_Toc17819"/>
      <w:bookmarkStart w:id="46" w:name="_Toc17609"/>
      <w:bookmarkStart w:id="47" w:name="_Toc18553"/>
      <w:r>
        <w:rPr>
          <w:rFonts w:hint="eastAsia"/>
        </w:rPr>
        <w:t>（三）各项指标完成情况分析</w:t>
      </w:r>
      <w:bookmarkEnd w:id="44"/>
      <w:bookmarkEnd w:id="45"/>
      <w:bookmarkEnd w:id="46"/>
      <w:bookmarkEnd w:id="47"/>
    </w:p>
    <w:p>
      <w:pPr>
        <w:pStyle w:val="4"/>
        <w:spacing w:line="560" w:lineRule="exact"/>
        <w:ind w:firstLine="643"/>
        <w:rPr>
          <w:sz w:val="32"/>
          <w:szCs w:val="36"/>
        </w:rPr>
      </w:pPr>
      <w:r>
        <w:rPr>
          <w:sz w:val="32"/>
          <w:szCs w:val="36"/>
        </w:rPr>
        <w:t>1</w:t>
      </w:r>
      <w:r>
        <w:rPr>
          <w:rFonts w:hint="eastAsia"/>
          <w:sz w:val="32"/>
          <w:szCs w:val="36"/>
        </w:rPr>
        <w:t>.部门整体支出</w:t>
      </w:r>
      <w:r>
        <w:rPr>
          <w:sz w:val="32"/>
          <w:szCs w:val="36"/>
        </w:rPr>
        <w:t>预算执行率</w:t>
      </w:r>
      <w:r>
        <w:rPr>
          <w:rFonts w:hint="eastAsia"/>
          <w:sz w:val="32"/>
          <w:szCs w:val="36"/>
        </w:rPr>
        <w:t>完成情况分析</w:t>
      </w:r>
    </w:p>
    <w:p>
      <w:pPr>
        <w:spacing w:line="560" w:lineRule="exact"/>
        <w:ind w:firstLine="640"/>
        <w:rPr>
          <w:color w:val="000000" w:themeColor="text1"/>
          <w:sz w:val="32"/>
          <w:szCs w:val="32"/>
        </w:rPr>
      </w:pPr>
      <w:r>
        <w:rPr>
          <w:rFonts w:hint="eastAsia" w:hAnsi="宋体"/>
          <w:sz w:val="32"/>
          <w:szCs w:val="32"/>
        </w:rPr>
        <w:t>我</w:t>
      </w:r>
      <w:r>
        <w:rPr>
          <w:rFonts w:hint="eastAsia"/>
          <w:sz w:val="32"/>
          <w:szCs w:val="24"/>
          <w:lang w:eastAsia="zh-CN"/>
        </w:rPr>
        <w:t>院</w:t>
      </w:r>
      <w:r>
        <w:rPr>
          <w:rFonts w:hint="eastAsia"/>
          <w:sz w:val="32"/>
          <w:szCs w:val="24"/>
        </w:rPr>
        <w:t>年初预算</w:t>
      </w:r>
      <w:r>
        <w:rPr>
          <w:rFonts w:hint="eastAsia"/>
          <w:sz w:val="32"/>
          <w:szCs w:val="24"/>
          <w:lang w:eastAsia="zh-CN"/>
        </w:rPr>
        <w:t>3059.87</w:t>
      </w:r>
      <w:r>
        <w:rPr>
          <w:rFonts w:hint="eastAsia"/>
          <w:sz w:val="32"/>
          <w:szCs w:val="24"/>
        </w:rPr>
        <w:t>万元，全年预算数</w:t>
      </w:r>
      <w:r>
        <w:rPr>
          <w:rFonts w:hint="eastAsia"/>
          <w:sz w:val="32"/>
          <w:szCs w:val="24"/>
          <w:lang w:eastAsia="zh-CN"/>
        </w:rPr>
        <w:t>3400.81</w:t>
      </w:r>
      <w:r>
        <w:rPr>
          <w:rFonts w:hint="eastAsia"/>
          <w:sz w:val="32"/>
          <w:szCs w:val="24"/>
        </w:rPr>
        <w:t>万元，实际支出数</w:t>
      </w:r>
      <w:r>
        <w:rPr>
          <w:rFonts w:hint="eastAsia"/>
          <w:sz w:val="32"/>
          <w:szCs w:val="24"/>
          <w:lang w:eastAsia="zh-CN"/>
        </w:rPr>
        <w:t>3381.83</w:t>
      </w:r>
      <w:r>
        <w:rPr>
          <w:rFonts w:hint="eastAsia"/>
          <w:sz w:val="32"/>
          <w:szCs w:val="24"/>
        </w:rPr>
        <w:t>万元，部门整体支出预算执行率为</w:t>
      </w:r>
      <w:r>
        <w:rPr>
          <w:rFonts w:hint="eastAsia"/>
          <w:sz w:val="32"/>
          <w:szCs w:val="24"/>
          <w:lang w:eastAsia="zh-CN"/>
        </w:rPr>
        <w:t>99.44</w:t>
      </w:r>
      <w:r>
        <w:rPr>
          <w:rFonts w:hint="eastAsia"/>
          <w:sz w:val="32"/>
          <w:szCs w:val="24"/>
        </w:rPr>
        <w:t>%。</w:t>
      </w:r>
      <w:r>
        <w:rPr>
          <w:rFonts w:hint="eastAsia" w:hAnsi="宋体"/>
          <w:sz w:val="32"/>
          <w:szCs w:val="32"/>
        </w:rPr>
        <w:t>该</w:t>
      </w:r>
      <w:r>
        <w:rPr>
          <w:rFonts w:hint="eastAsia"/>
          <w:color w:val="000000" w:themeColor="text1"/>
          <w:sz w:val="32"/>
          <w:szCs w:val="32"/>
        </w:rPr>
        <w:t>指标分值10分，自评得分</w:t>
      </w:r>
      <w:r>
        <w:rPr>
          <w:rFonts w:hint="eastAsia"/>
          <w:color w:val="000000" w:themeColor="text1"/>
          <w:sz w:val="32"/>
          <w:szCs w:val="32"/>
          <w:lang w:eastAsia="zh-CN"/>
        </w:rPr>
        <w:t>9.94</w:t>
      </w:r>
      <w:r>
        <w:rPr>
          <w:rFonts w:hint="eastAsia"/>
          <w:color w:val="000000" w:themeColor="text1"/>
          <w:sz w:val="32"/>
          <w:szCs w:val="32"/>
        </w:rPr>
        <w:t>分，得分率为</w:t>
      </w:r>
      <w:r>
        <w:rPr>
          <w:rFonts w:hint="eastAsia"/>
          <w:color w:val="000000" w:themeColor="text1"/>
          <w:sz w:val="32"/>
          <w:szCs w:val="32"/>
          <w:lang w:eastAsia="zh-CN"/>
        </w:rPr>
        <w:t>99.40</w:t>
      </w:r>
      <w:r>
        <w:rPr>
          <w:rFonts w:hint="eastAsia"/>
          <w:color w:val="000000" w:themeColor="text1"/>
          <w:sz w:val="32"/>
          <w:szCs w:val="32"/>
        </w:rPr>
        <w:t>%。</w:t>
      </w:r>
    </w:p>
    <w:p>
      <w:pPr>
        <w:pStyle w:val="4"/>
        <w:spacing w:line="560" w:lineRule="exact"/>
        <w:ind w:firstLine="643"/>
        <w:rPr>
          <w:sz w:val="32"/>
          <w:szCs w:val="36"/>
        </w:rPr>
      </w:pPr>
      <w:r>
        <w:rPr>
          <w:sz w:val="32"/>
          <w:szCs w:val="36"/>
        </w:rPr>
        <w:t>2</w:t>
      </w:r>
      <w:r>
        <w:rPr>
          <w:rFonts w:hint="eastAsia"/>
          <w:sz w:val="32"/>
          <w:szCs w:val="36"/>
        </w:rPr>
        <w:t>.</w:t>
      </w:r>
      <w:r>
        <w:rPr>
          <w:sz w:val="32"/>
          <w:szCs w:val="36"/>
        </w:rPr>
        <w:t>部门管理</w:t>
      </w:r>
      <w:r>
        <w:rPr>
          <w:rFonts w:hint="eastAsia"/>
          <w:sz w:val="32"/>
          <w:szCs w:val="36"/>
        </w:rPr>
        <w:t>目标完成情况分析</w:t>
      </w:r>
    </w:p>
    <w:p>
      <w:pPr>
        <w:spacing w:line="560" w:lineRule="exact"/>
        <w:ind w:firstLine="640"/>
        <w:rPr>
          <w:rFonts w:hint="eastAsia"/>
          <w:sz w:val="32"/>
          <w:szCs w:val="24"/>
        </w:rPr>
      </w:pPr>
      <w:r>
        <w:rPr>
          <w:rFonts w:hint="eastAsia"/>
          <w:sz w:val="32"/>
          <w:szCs w:val="24"/>
        </w:rPr>
        <w:t>部门管理指标包括资金投入、财务管理、采购管理、资产管理、人员管理、重点工作管理6个二级指标，下设10个三级指标。</w:t>
      </w:r>
      <w:r>
        <w:rPr>
          <w:rFonts w:hint="eastAsia" w:hAnsi="宋体"/>
          <w:sz w:val="32"/>
          <w:szCs w:val="32"/>
        </w:rPr>
        <w:t>该</w:t>
      </w:r>
      <w:r>
        <w:rPr>
          <w:rFonts w:hint="eastAsia"/>
          <w:sz w:val="32"/>
          <w:szCs w:val="24"/>
        </w:rPr>
        <w:t>指标分值20分，自评</w:t>
      </w:r>
      <w:r>
        <w:rPr>
          <w:sz w:val="32"/>
          <w:szCs w:val="24"/>
        </w:rPr>
        <w:t>得</w:t>
      </w:r>
      <w:r>
        <w:rPr>
          <w:rFonts w:hint="eastAsia"/>
          <w:sz w:val="32"/>
          <w:szCs w:val="24"/>
        </w:rPr>
        <w:t>分1</w:t>
      </w:r>
      <w:r>
        <w:rPr>
          <w:rFonts w:hint="eastAsia"/>
          <w:sz w:val="32"/>
          <w:szCs w:val="24"/>
          <w:lang w:val="en-US" w:eastAsia="zh-CN"/>
        </w:rPr>
        <w:t>9</w:t>
      </w:r>
      <w:r>
        <w:rPr>
          <w:rFonts w:hint="eastAsia"/>
          <w:sz w:val="32"/>
          <w:szCs w:val="24"/>
        </w:rPr>
        <w:t>分，得分率为</w:t>
      </w:r>
      <w:r>
        <w:rPr>
          <w:rFonts w:hint="eastAsia"/>
          <w:sz w:val="32"/>
          <w:szCs w:val="24"/>
          <w:lang w:val="en-US" w:eastAsia="zh-CN"/>
        </w:rPr>
        <w:t>95</w:t>
      </w:r>
      <w:r>
        <w:rPr>
          <w:rFonts w:hint="eastAsia"/>
          <w:sz w:val="32"/>
          <w:szCs w:val="24"/>
        </w:rPr>
        <w:t>%。具体如下表：</w:t>
      </w:r>
    </w:p>
    <w:tbl>
      <w:tblPr>
        <w:tblStyle w:val="22"/>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338"/>
        <w:gridCol w:w="2055"/>
        <w:gridCol w:w="1456"/>
        <w:gridCol w:w="1429"/>
        <w:gridCol w:w="627"/>
        <w:gridCol w:w="698"/>
        <w:gridCol w:w="9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15"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807"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46"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7"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19"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37"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资金投入</w:t>
            </w:r>
          </w:p>
        </w:tc>
        <w:tc>
          <w:tcPr>
            <w:tcW w:w="20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基本支出预算执行率</w:t>
            </w:r>
          </w:p>
        </w:tc>
        <w:tc>
          <w:tcPr>
            <w:tcW w:w="14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4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99.19</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0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结转结余变动率</w:t>
            </w:r>
          </w:p>
        </w:tc>
        <w:tc>
          <w:tcPr>
            <w:tcW w:w="14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&lt;=0%</w:t>
            </w:r>
          </w:p>
        </w:tc>
        <w:tc>
          <w:tcPr>
            <w:tcW w:w="14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0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tc>
        <w:tc>
          <w:tcPr>
            <w:tcW w:w="14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97.6</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0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项目支出预算执行率</w:t>
            </w:r>
          </w:p>
        </w:tc>
        <w:tc>
          <w:tcPr>
            <w:tcW w:w="14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14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1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财务管理</w:t>
            </w: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807" w:type="pct"/>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Merge w:val="continue"/>
            <w:vAlign w:val="center"/>
          </w:tcPr>
          <w:p>
            <w:pPr>
              <w:jc w:val="center"/>
              <w:rPr>
                <w:rFonts w:hint="eastAsia" w:ascii="宋体" w:hAnsi="宋体" w:eastAsia="宋体" w:cs="宋体"/>
                <w:color w:val="000000"/>
                <w:kern w:val="0"/>
                <w:sz w:val="20"/>
                <w:szCs w:val="20"/>
                <w:highlight w:val="none"/>
                <w:lang w:val="en-US" w:eastAsia="zh-CN" w:bidi="ar-SA"/>
              </w:rPr>
            </w:pP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807" w:type="pct"/>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4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采购管理</w:t>
            </w: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政府采购规范性</w:t>
            </w:r>
          </w:p>
        </w:tc>
        <w:tc>
          <w:tcPr>
            <w:tcW w:w="807" w:type="pct"/>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人员管理</w:t>
            </w: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在职人员控制率</w:t>
            </w:r>
          </w:p>
        </w:tc>
        <w:tc>
          <w:tcPr>
            <w:tcW w:w="807" w:type="pct"/>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846" w:type="pct"/>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91.83</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w:t>
            </w: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重点工作管理制度健全性</w:t>
            </w:r>
          </w:p>
        </w:tc>
        <w:tc>
          <w:tcPr>
            <w:tcW w:w="807" w:type="pct"/>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84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9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w:t>
            </w:r>
          </w:p>
        </w:tc>
        <w:tc>
          <w:tcPr>
            <w:tcW w:w="121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tc>
        <w:tc>
          <w:tcPr>
            <w:tcW w:w="807"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84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1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37"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65" w:type="pct"/>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19"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19</w:t>
            </w:r>
          </w:p>
        </w:tc>
        <w:tc>
          <w:tcPr>
            <w:tcW w:w="537"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95.00%</w:t>
            </w:r>
          </w:p>
        </w:tc>
      </w:tr>
    </w:tbl>
    <w:p>
      <w:pPr>
        <w:spacing w:line="560" w:lineRule="exact"/>
        <w:ind w:firstLine="643"/>
        <w:rPr>
          <w:rFonts w:hAnsi="宋体"/>
          <w:sz w:val="32"/>
          <w:szCs w:val="32"/>
        </w:rPr>
      </w:pPr>
      <w:r>
        <w:rPr>
          <w:rFonts w:hint="eastAsia" w:hAnsi="宋体"/>
          <w:b/>
          <w:bCs/>
          <w:sz w:val="32"/>
          <w:szCs w:val="32"/>
        </w:rPr>
        <w:t>基本支出预算执行率：</w:t>
      </w:r>
      <w:r>
        <w:rPr>
          <w:rFonts w:hint="eastAsia" w:hAnsi="宋体"/>
          <w:sz w:val="32"/>
          <w:szCs w:val="32"/>
        </w:rPr>
        <w:t>基本支出全年预算数为2362</w:t>
      </w:r>
      <w:r>
        <w:rPr>
          <w:rFonts w:hint="eastAsia" w:hAnsi="宋体"/>
          <w:sz w:val="32"/>
          <w:szCs w:val="32"/>
          <w:lang w:val="en-US" w:eastAsia="zh-CN"/>
        </w:rPr>
        <w:t>.81</w:t>
      </w:r>
      <w:r>
        <w:rPr>
          <w:rFonts w:hint="eastAsia" w:hAnsi="宋体"/>
          <w:sz w:val="32"/>
          <w:szCs w:val="32"/>
        </w:rPr>
        <w:t>万元，实际支出数为</w:t>
      </w:r>
      <w:r>
        <w:rPr>
          <w:rFonts w:hint="eastAsia" w:hAnsi="宋体"/>
          <w:sz w:val="32"/>
          <w:szCs w:val="32"/>
          <w:lang w:val="en-US" w:eastAsia="zh-CN"/>
        </w:rPr>
        <w:t>2343.83</w:t>
      </w:r>
      <w:r>
        <w:rPr>
          <w:rFonts w:hint="eastAsia" w:hAnsi="宋体"/>
          <w:sz w:val="32"/>
          <w:szCs w:val="32"/>
        </w:rPr>
        <w:t>万元，基本支出预算执行率为</w:t>
      </w:r>
      <w:r>
        <w:rPr>
          <w:rFonts w:hint="eastAsia" w:hAnsi="宋体"/>
          <w:sz w:val="32"/>
          <w:szCs w:val="32"/>
          <w:lang w:val="en-US" w:eastAsia="zh-CN"/>
        </w:rPr>
        <w:t>99.19</w:t>
      </w:r>
      <w:r>
        <w:rPr>
          <w:rFonts w:hint="eastAsia" w:hAnsi="宋体"/>
          <w:sz w:val="32"/>
          <w:szCs w:val="32"/>
        </w:rPr>
        <w:t>%。该指标分值2分，自评得分2分，得分率为100%。</w:t>
      </w:r>
    </w:p>
    <w:p>
      <w:pPr>
        <w:spacing w:line="560" w:lineRule="exact"/>
        <w:ind w:firstLine="643"/>
        <w:rPr>
          <w:sz w:val="32"/>
          <w:szCs w:val="24"/>
        </w:rPr>
      </w:pPr>
      <w:r>
        <w:rPr>
          <w:rFonts w:hint="eastAsia" w:hAnsi="宋体"/>
          <w:b/>
          <w:bCs/>
          <w:sz w:val="32"/>
          <w:szCs w:val="32"/>
        </w:rPr>
        <w:t>结转结余变动率：</w:t>
      </w:r>
      <w:r>
        <w:rPr>
          <w:rFonts w:hint="eastAsia" w:hAnsi="宋体"/>
          <w:sz w:val="32"/>
          <w:szCs w:val="32"/>
        </w:rPr>
        <w:t>我院</w:t>
      </w:r>
      <w:r>
        <w:rPr>
          <w:rFonts w:hint="eastAsia" w:hAnsi="宋体"/>
          <w:sz w:val="32"/>
          <w:szCs w:val="32"/>
          <w:highlight w:val="none"/>
        </w:rPr>
        <w:t>一般公共预算财政拨款收入</w:t>
      </w:r>
      <w:r>
        <w:rPr>
          <w:rFonts w:hint="eastAsia" w:hAnsi="宋体"/>
          <w:sz w:val="32"/>
          <w:szCs w:val="32"/>
          <w:highlight w:val="none"/>
          <w:lang w:eastAsia="zh-CN"/>
        </w:rPr>
        <w:t>2024</w:t>
      </w:r>
      <w:r>
        <w:rPr>
          <w:rFonts w:hint="eastAsia" w:hAnsi="宋体"/>
          <w:sz w:val="32"/>
          <w:szCs w:val="32"/>
          <w:highlight w:val="none"/>
        </w:rPr>
        <w:t>年度结转结余资金</w:t>
      </w:r>
      <w:r>
        <w:rPr>
          <w:rFonts w:hint="eastAsia" w:hAnsi="宋体"/>
          <w:sz w:val="32"/>
          <w:szCs w:val="32"/>
          <w:highlight w:val="none"/>
          <w:lang w:val="en-US" w:eastAsia="zh-CN"/>
        </w:rPr>
        <w:t>0</w:t>
      </w:r>
      <w:r>
        <w:rPr>
          <w:rFonts w:hint="eastAsia" w:hAnsi="宋体"/>
          <w:sz w:val="32"/>
          <w:szCs w:val="32"/>
          <w:highlight w:val="none"/>
        </w:rPr>
        <w:t>万元，结转结余资金变动率为</w:t>
      </w:r>
      <w:r>
        <w:rPr>
          <w:rFonts w:hint="eastAsia" w:hAnsi="宋体"/>
          <w:sz w:val="32"/>
          <w:szCs w:val="32"/>
          <w:highlight w:val="none"/>
          <w:lang w:val="en-US" w:eastAsia="zh-CN"/>
        </w:rPr>
        <w:t>0</w:t>
      </w:r>
      <w:r>
        <w:rPr>
          <w:rFonts w:hint="eastAsia" w:hAnsi="宋体"/>
          <w:sz w:val="32"/>
          <w:szCs w:val="32"/>
          <w:highlight w:val="none"/>
        </w:rPr>
        <w:t>%，该指</w:t>
      </w:r>
      <w:r>
        <w:rPr>
          <w:rFonts w:hint="eastAsia" w:hAnsi="宋体"/>
          <w:sz w:val="32"/>
          <w:szCs w:val="32"/>
        </w:rPr>
        <w:t>标分值2分，自评得分为</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w:t>
      </w:r>
      <w:r>
        <w:rPr>
          <w:rFonts w:hint="eastAsia" w:hAnsi="宋体"/>
          <w:sz w:val="32"/>
          <w:szCs w:val="32"/>
        </w:rPr>
        <w:t>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b w:val="0"/>
          <w:bCs w:val="0"/>
          <w:sz w:val="32"/>
          <w:szCs w:val="32"/>
          <w:highlight w:val="none"/>
          <w:lang w:val="en-US" w:eastAsia="zh-CN"/>
        </w:rPr>
        <w:t>2024年</w:t>
      </w:r>
      <w:r>
        <w:rPr>
          <w:rFonts w:hint="eastAsia" w:hAnsi="宋体"/>
          <w:sz w:val="32"/>
          <w:szCs w:val="32"/>
          <w:highlight w:val="none"/>
        </w:rPr>
        <w:t>“三公经费”</w:t>
      </w:r>
      <w:r>
        <w:rPr>
          <w:rFonts w:hint="eastAsia" w:hAnsi="宋体"/>
          <w:sz w:val="32"/>
          <w:szCs w:val="32"/>
          <w:highlight w:val="none"/>
          <w:lang w:val="en-US" w:eastAsia="zh-CN"/>
        </w:rPr>
        <w:t>年初预算数69.62万元，实际支出数67.95万元，</w:t>
      </w:r>
      <w:r>
        <w:rPr>
          <w:rFonts w:hint="eastAsia" w:hAnsi="宋体"/>
          <w:sz w:val="32"/>
          <w:szCs w:val="32"/>
          <w:highlight w:val="none"/>
        </w:rPr>
        <w:t>“三公经费”控制率为</w:t>
      </w:r>
      <w:r>
        <w:rPr>
          <w:rFonts w:hint="eastAsia" w:hAnsi="宋体"/>
          <w:sz w:val="32"/>
          <w:szCs w:val="32"/>
          <w:highlight w:val="none"/>
          <w:lang w:val="en-US" w:eastAsia="zh-CN"/>
        </w:rPr>
        <w:t>97.6%</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sz w:val="32"/>
          <w:szCs w:val="32"/>
          <w:highlight w:val="none"/>
          <w:lang w:eastAsia="zh-CN"/>
        </w:rPr>
        <w:t>2024年度</w:t>
      </w:r>
      <w:r>
        <w:rPr>
          <w:rFonts w:hint="eastAsia" w:hAnsi="宋体"/>
          <w:sz w:val="32"/>
          <w:szCs w:val="32"/>
          <w:highlight w:val="none"/>
        </w:rPr>
        <w:t>项目支出全年预算数</w:t>
      </w:r>
      <w:r>
        <w:rPr>
          <w:rFonts w:hint="eastAsia" w:hAnsi="宋体"/>
          <w:sz w:val="32"/>
          <w:szCs w:val="32"/>
          <w:highlight w:val="none"/>
          <w:lang w:val="en-US" w:eastAsia="zh-CN"/>
        </w:rPr>
        <w:t>1038万元，</w:t>
      </w:r>
      <w:r>
        <w:rPr>
          <w:rFonts w:hint="eastAsia" w:hAnsi="宋体"/>
          <w:sz w:val="32"/>
          <w:szCs w:val="32"/>
          <w:highlight w:val="none"/>
        </w:rPr>
        <w:t>实际支出数</w:t>
      </w:r>
      <w:r>
        <w:rPr>
          <w:rFonts w:hint="eastAsia" w:hAnsi="宋体"/>
          <w:sz w:val="32"/>
          <w:szCs w:val="32"/>
          <w:highlight w:val="none"/>
          <w:lang w:eastAsia="zh-CN"/>
        </w:rPr>
        <w:t>为</w:t>
      </w:r>
      <w:r>
        <w:rPr>
          <w:rFonts w:hint="eastAsia" w:hAnsi="宋体"/>
          <w:sz w:val="32"/>
          <w:szCs w:val="32"/>
          <w:highlight w:val="none"/>
          <w:lang w:val="en-US" w:eastAsia="zh-CN"/>
        </w:rPr>
        <w:t>1038</w:t>
      </w:r>
      <w:r>
        <w:rPr>
          <w:rFonts w:hint="eastAsia" w:hAnsi="宋体"/>
          <w:sz w:val="32"/>
          <w:szCs w:val="32"/>
          <w:highlight w:val="none"/>
        </w:rPr>
        <w:t>万元，项目支出预算执行率为</w:t>
      </w:r>
      <w:r>
        <w:rPr>
          <w:rFonts w:hint="eastAsia" w:hAnsi="宋体"/>
          <w:sz w:val="32"/>
          <w:szCs w:val="32"/>
          <w:highlight w:val="none"/>
          <w:lang w:val="en-US" w:eastAsia="zh-CN"/>
        </w:rPr>
        <w:t>100%</w:t>
      </w:r>
      <w:r>
        <w:rPr>
          <w:rFonts w:hint="eastAsia" w:hAnsi="宋体"/>
          <w:sz w:val="32"/>
          <w:szCs w:val="32"/>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2分，得</w:t>
      </w:r>
      <w:r>
        <w:rPr>
          <w:rFonts w:hint="eastAsia" w:hAnsi="宋体"/>
          <w:sz w:val="32"/>
          <w:szCs w:val="32"/>
          <w:highlight w:val="none"/>
        </w:rPr>
        <w:t>分率为</w:t>
      </w:r>
      <w:r>
        <w:rPr>
          <w:rFonts w:hint="eastAsia" w:hAnsi="宋体"/>
          <w:sz w:val="32"/>
          <w:szCs w:val="32"/>
          <w:highlight w:val="none"/>
          <w:lang w:val="en-US" w:eastAsia="zh-CN"/>
        </w:rPr>
        <w:t>100%</w:t>
      </w:r>
      <w:r>
        <w:rPr>
          <w:rFonts w:hint="eastAsia" w:hAnsi="宋体"/>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highlight w:val="none"/>
        </w:rPr>
      </w:pPr>
      <w:r>
        <w:rPr>
          <w:rFonts w:hint="eastAsia" w:hAnsi="宋体"/>
          <w:b/>
          <w:bCs/>
          <w:sz w:val="32"/>
          <w:szCs w:val="32"/>
        </w:rPr>
        <w:t>财务管理制度健全性：</w:t>
      </w:r>
      <w:r>
        <w:rPr>
          <w:rFonts w:hint="eastAsia" w:hAnsi="宋体"/>
          <w:sz w:val="32"/>
          <w:szCs w:val="32"/>
          <w:lang w:eastAsia="zh-CN"/>
        </w:rPr>
        <w:t>我院</w:t>
      </w:r>
      <w:r>
        <w:rPr>
          <w:rFonts w:hint="eastAsia" w:hAnsi="宋体"/>
          <w:sz w:val="32"/>
          <w:szCs w:val="32"/>
          <w:lang w:val="en-US" w:eastAsia="zh-CN"/>
        </w:rPr>
        <w:t>根据制定了的相关财务制度，</w:t>
      </w:r>
      <w:r>
        <w:rPr>
          <w:rFonts w:hint="eastAsia" w:hAnsi="宋体"/>
          <w:sz w:val="32"/>
          <w:szCs w:val="32"/>
        </w:rPr>
        <w:t>经费收支管理</w:t>
      </w:r>
      <w:r>
        <w:rPr>
          <w:rFonts w:hint="eastAsia" w:hAnsi="宋体"/>
          <w:sz w:val="32"/>
          <w:szCs w:val="32"/>
          <w:lang w:eastAsia="zh-CN"/>
        </w:rPr>
        <w:t>以及</w:t>
      </w:r>
      <w:r>
        <w:rPr>
          <w:rFonts w:hint="eastAsia" w:hAnsi="宋体"/>
          <w:sz w:val="32"/>
          <w:szCs w:val="32"/>
        </w:rPr>
        <w:t>票据管理</w:t>
      </w:r>
      <w:r>
        <w:rPr>
          <w:rFonts w:hint="eastAsia" w:hAnsi="宋体"/>
          <w:sz w:val="32"/>
          <w:szCs w:val="32"/>
          <w:lang w:eastAsia="zh-CN"/>
        </w:rPr>
        <w:t>等事项</w:t>
      </w:r>
      <w:r>
        <w:rPr>
          <w:rFonts w:hint="eastAsia" w:hAnsi="宋体"/>
          <w:sz w:val="32"/>
          <w:szCs w:val="32"/>
          <w:lang w:val="en-US" w:eastAsia="zh-CN"/>
        </w:rPr>
        <w:t>有完备的审批流程和管控手续，</w:t>
      </w:r>
      <w:r>
        <w:rPr>
          <w:rFonts w:hint="eastAsia" w:hAnsi="宋体"/>
          <w:sz w:val="32"/>
          <w:szCs w:val="32"/>
        </w:rPr>
        <w:t>在预算执行、事项支出、会计核算以及重大事项支出程序等方面不存在不规范现象，财务管理制度内容完备，具备可操作性。该指标分值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highlight w:val="none"/>
        </w:rPr>
        <w:t>分，得分率为</w:t>
      </w:r>
      <w:r>
        <w:rPr>
          <w:rFonts w:hint="eastAsia" w:hAnsi="宋体"/>
          <w:sz w:val="32"/>
          <w:szCs w:val="32"/>
          <w:highlight w:val="none"/>
          <w:lang w:val="en-US" w:eastAsia="zh-CN"/>
        </w:rPr>
        <w:t>90</w:t>
      </w:r>
      <w:r>
        <w:rPr>
          <w:rFonts w:hint="eastAsia" w:hAnsi="宋体"/>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highlight w:val="none"/>
        </w:rPr>
        <w:t>资金使用规范性：</w:t>
      </w:r>
      <w:r>
        <w:rPr>
          <w:rFonts w:hint="eastAsia" w:hAnsi="宋体"/>
          <w:sz w:val="32"/>
          <w:szCs w:val="32"/>
          <w:highlight w:val="none"/>
        </w:rPr>
        <w:t>我院资金支出总体上审批程序合规、手续齐全，支出内容</w:t>
      </w:r>
      <w:r>
        <w:rPr>
          <w:rFonts w:hint="eastAsia" w:hAnsi="宋体"/>
          <w:sz w:val="32"/>
          <w:szCs w:val="32"/>
        </w:rPr>
        <w:t>符合省财政预算批复规定的用途，严格使用公务卡报销，有效提高了财务资金使用的合理性和规范性,防止了国有资金流失</w:t>
      </w:r>
      <w:r>
        <w:rPr>
          <w:rFonts w:hint="eastAsia" w:hAnsi="宋体"/>
          <w:sz w:val="32"/>
          <w:szCs w:val="32"/>
          <w:lang w:eastAsia="zh-CN"/>
        </w:rPr>
        <w:t>。</w:t>
      </w:r>
      <w:r>
        <w:rPr>
          <w:rFonts w:hint="eastAsia" w:hAnsi="宋体"/>
          <w:sz w:val="32"/>
          <w:szCs w:val="32"/>
        </w:rPr>
        <w:t>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政府采购规范性：</w:t>
      </w:r>
      <w:r>
        <w:rPr>
          <w:rFonts w:hint="eastAsia" w:hAnsi="宋体"/>
          <w:sz w:val="32"/>
          <w:szCs w:val="32"/>
        </w:rPr>
        <w:t>我院采购实际执行情况与采购计划安排无差异。采购事项严格执行相关标准，采购业务符合政府采购相关规定。指标分值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 w:val="32"/>
          <w:szCs w:val="32"/>
        </w:rPr>
      </w:pPr>
      <w:r>
        <w:rPr>
          <w:rFonts w:hint="eastAsia" w:hAnsi="宋体"/>
          <w:b/>
          <w:bCs/>
          <w:sz w:val="32"/>
          <w:szCs w:val="32"/>
        </w:rPr>
        <w:t>在职人员控制率：</w:t>
      </w:r>
      <w:r>
        <w:rPr>
          <w:rFonts w:hint="eastAsia" w:hAnsi="宋体"/>
          <w:sz w:val="32"/>
          <w:szCs w:val="32"/>
        </w:rPr>
        <w:t>我院人员管理规范，</w:t>
      </w:r>
      <w:r>
        <w:rPr>
          <w:rFonts w:hint="eastAsia" w:hAnsi="宋体"/>
          <w:sz w:val="32"/>
          <w:szCs w:val="32"/>
          <w:lang w:eastAsia="zh-CN"/>
        </w:rPr>
        <w:t>部门</w:t>
      </w:r>
      <w:r>
        <w:rPr>
          <w:rFonts w:hint="eastAsia" w:hAnsi="宋体"/>
          <w:sz w:val="32"/>
          <w:szCs w:val="32"/>
        </w:rPr>
        <w:t>整体的财政供养人员规模得到有效控制</w:t>
      </w:r>
      <w:r>
        <w:rPr>
          <w:rFonts w:hint="eastAsia" w:hAnsi="宋体"/>
          <w:sz w:val="32"/>
          <w:szCs w:val="32"/>
          <w:lang w:eastAsia="zh-CN"/>
        </w:rPr>
        <w:t>，在职人员</w:t>
      </w:r>
      <w:r>
        <w:rPr>
          <w:rFonts w:hint="eastAsia" w:hAnsi="宋体"/>
          <w:sz w:val="32"/>
          <w:szCs w:val="32"/>
          <w:lang w:val="en-US" w:eastAsia="zh-CN"/>
        </w:rPr>
        <w:t>控制率91.83%。</w:t>
      </w:r>
      <w:r>
        <w:rPr>
          <w:rFonts w:hint="eastAsia" w:hAnsi="宋体"/>
          <w:sz w:val="32"/>
          <w:szCs w:val="32"/>
        </w:rPr>
        <w:t>该指标分值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分，得分率为</w:t>
      </w:r>
      <w:r>
        <w:rPr>
          <w:rFonts w:hint="eastAsia" w:hAnsi="宋体"/>
          <w:sz w:val="32"/>
          <w:szCs w:val="32"/>
          <w:lang w:val="en-US" w:eastAsia="zh-CN"/>
        </w:rPr>
        <w:t>100.00%</w:t>
      </w:r>
      <w:r>
        <w:rPr>
          <w:rFonts w:hint="eastAsia" w:hAnsi="宋体"/>
          <w:sz w:val="32"/>
          <w:szCs w:val="32"/>
        </w:rPr>
        <w:t>。</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我院针对重点工作，修订并完善了相关案件审判制度，制度合法、合规、完整，并且能够有效执行和指导重点工作的有效推进和实施。指标分值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 w:val="32"/>
          <w:szCs w:val="32"/>
        </w:rPr>
      </w:pPr>
      <w:r>
        <w:rPr>
          <w:rFonts w:hint="eastAsia" w:hAnsi="宋体"/>
          <w:b/>
          <w:bCs/>
          <w:sz w:val="32"/>
          <w:szCs w:val="32"/>
        </w:rPr>
        <w:t>资产管理规范性：</w:t>
      </w:r>
      <w:r>
        <w:rPr>
          <w:rFonts w:hint="eastAsia" w:hAnsi="宋体"/>
          <w:sz w:val="32"/>
          <w:szCs w:val="32"/>
          <w:lang w:eastAsia="zh-CN"/>
        </w:rPr>
        <w:t>2024年</w:t>
      </w:r>
      <w:r>
        <w:rPr>
          <w:rFonts w:hint="eastAsia" w:hAnsi="宋体"/>
          <w:sz w:val="32"/>
          <w:szCs w:val="32"/>
        </w:rPr>
        <w:t>我院账务和资产卡片数据相符，资产卡片与实物相符，各类资产保存完整、使用合规、配置合理、处置规范，资产处置收入能够及时足额上缴财政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highlight w:val="none"/>
          <w:lang w:val="en-US" w:eastAsia="zh-CN"/>
        </w:rPr>
        <w:t>2</w:t>
      </w:r>
      <w:r>
        <w:rPr>
          <w:rFonts w:hint="eastAsia" w:hAnsi="宋体"/>
          <w:sz w:val="32"/>
          <w:szCs w:val="32"/>
        </w:rPr>
        <w:t>分，自评得分</w:t>
      </w:r>
      <w:r>
        <w:rPr>
          <w:rFonts w:hint="eastAsia" w:hAnsi="宋体"/>
          <w:sz w:val="32"/>
          <w:szCs w:val="32"/>
          <w:highlight w:val="none"/>
          <w:lang w:val="en-US" w:eastAsia="zh-CN"/>
        </w:rPr>
        <w:t>1.8</w:t>
      </w:r>
      <w:r>
        <w:rPr>
          <w:rFonts w:hint="eastAsia" w:hAnsi="宋体"/>
          <w:sz w:val="32"/>
          <w:szCs w:val="32"/>
        </w:rPr>
        <w:t>分，得分率为</w:t>
      </w:r>
      <w:r>
        <w:rPr>
          <w:rFonts w:hint="eastAsia" w:hAnsi="宋体"/>
          <w:sz w:val="32"/>
          <w:szCs w:val="32"/>
          <w:lang w:val="en-US" w:eastAsia="zh-CN"/>
        </w:rPr>
        <w:t>9</w:t>
      </w:r>
      <w:r>
        <w:rPr>
          <w:rFonts w:hint="eastAsia" w:hAnsi="宋体"/>
          <w:sz w:val="32"/>
          <w:szCs w:val="32"/>
        </w:rPr>
        <w:t>0%。</w:t>
      </w:r>
    </w:p>
    <w:p>
      <w:pPr>
        <w:pStyle w:val="4"/>
        <w:spacing w:line="560" w:lineRule="exact"/>
        <w:ind w:firstLine="643"/>
        <w:rPr>
          <w:sz w:val="32"/>
          <w:szCs w:val="36"/>
        </w:rPr>
      </w:pPr>
      <w:bookmarkStart w:id="48" w:name="_Toc40046032"/>
      <w:r>
        <w:rPr>
          <w:rFonts w:hint="eastAsia"/>
          <w:sz w:val="32"/>
          <w:szCs w:val="36"/>
        </w:rPr>
        <w:t>3.履职效果</w:t>
      </w:r>
      <w:bookmarkEnd w:id="48"/>
      <w:r>
        <w:rPr>
          <w:rFonts w:hint="eastAsia"/>
          <w:sz w:val="32"/>
          <w:szCs w:val="36"/>
        </w:rPr>
        <w:t>目标完成情况分析</w:t>
      </w:r>
    </w:p>
    <w:p>
      <w:pPr>
        <w:spacing w:line="560" w:lineRule="exact"/>
        <w:ind w:firstLine="640"/>
        <w:rPr>
          <w:rFonts w:hint="eastAsia"/>
          <w:sz w:val="32"/>
          <w:szCs w:val="24"/>
        </w:rPr>
      </w:pPr>
      <w:r>
        <w:rPr>
          <w:rFonts w:hint="eastAsia"/>
          <w:sz w:val="32"/>
          <w:szCs w:val="24"/>
        </w:rPr>
        <w:t>履职效果指标包括部门履职目标、部门效果、服务对象满意度及社会影响4个二级指标，下设</w:t>
      </w:r>
      <w:r>
        <w:rPr>
          <w:rFonts w:hint="eastAsia"/>
          <w:sz w:val="32"/>
          <w:szCs w:val="24"/>
          <w:lang w:val="en-US" w:eastAsia="zh-CN"/>
        </w:rPr>
        <w:t>17</w:t>
      </w:r>
      <w:r>
        <w:rPr>
          <w:rFonts w:hint="eastAsia"/>
          <w:sz w:val="32"/>
          <w:szCs w:val="24"/>
        </w:rPr>
        <w:t>个三级指标。履职效果指标分值60分，自评</w:t>
      </w:r>
      <w:r>
        <w:rPr>
          <w:sz w:val="32"/>
          <w:szCs w:val="24"/>
        </w:rPr>
        <w:t>得</w:t>
      </w:r>
      <w:r>
        <w:rPr>
          <w:rFonts w:hint="eastAsia"/>
          <w:sz w:val="32"/>
          <w:szCs w:val="24"/>
        </w:rPr>
        <w:t>分</w:t>
      </w:r>
      <w:r>
        <w:rPr>
          <w:rFonts w:hint="eastAsia"/>
          <w:sz w:val="32"/>
          <w:szCs w:val="24"/>
          <w:lang w:eastAsia="zh-CN"/>
        </w:rPr>
        <w:t>52.35</w:t>
      </w:r>
      <w:r>
        <w:rPr>
          <w:rFonts w:hint="eastAsia"/>
          <w:sz w:val="32"/>
          <w:szCs w:val="24"/>
        </w:rPr>
        <w:t>分，得分率为</w:t>
      </w:r>
      <w:r>
        <w:rPr>
          <w:rFonts w:hint="eastAsia"/>
          <w:sz w:val="32"/>
          <w:szCs w:val="24"/>
          <w:lang w:eastAsia="zh-CN"/>
        </w:rPr>
        <w:t>87.25</w:t>
      </w:r>
      <w:r>
        <w:rPr>
          <w:sz w:val="32"/>
          <w:szCs w:val="24"/>
        </w:rPr>
        <w:t>%</w:t>
      </w:r>
      <w:r>
        <w:rPr>
          <w:rFonts w:hint="eastAsia"/>
          <w:sz w:val="32"/>
          <w:szCs w:val="24"/>
        </w:rPr>
        <w:t>。</w:t>
      </w:r>
    </w:p>
    <w:tbl>
      <w:tblPr>
        <w:tblStyle w:val="22"/>
        <w:tblpPr w:vertAnchor="text" w:tblpXSpec="left" w:tblpY="1"/>
        <w:tblOverlap w:val="never"/>
        <w:tblW w:w="5024"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0" w:type="dxa"/>
          <w:bottom w:w="0" w:type="dxa"/>
          <w:right w:w="0" w:type="dxa"/>
        </w:tblCellMar>
      </w:tblPr>
      <w:tblGrid>
        <w:gridCol w:w="1414"/>
        <w:gridCol w:w="2312"/>
        <w:gridCol w:w="1260"/>
        <w:gridCol w:w="1260"/>
        <w:gridCol w:w="525"/>
        <w:gridCol w:w="572"/>
        <w:gridCol w:w="100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85"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5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75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1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342"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600"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部门履职目标</w:t>
            </w: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受理案件及时性</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行政案件结案率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90.13</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执行案件结案率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&gt;=70%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97.95</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0.79</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刑事案件结案率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&gt;=85%</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98.32</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民商事案件结案率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&gt;=85%</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91.73</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法定审限内结案率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95.32</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当庭宣判率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执行案件重本合格率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再审审查率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&lt;=5%</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8.93</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81.47%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登记立案率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&gt;=80%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成本控制情况</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在预算范围内</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部门效果目标</w:t>
            </w: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民商事案件调解成功率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15.38</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0.96</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执行标的到位率</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60.32</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231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化解社会矛盾，维护社会稳定</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w:t>
            </w:r>
          </w:p>
        </w:tc>
        <w:tc>
          <w:tcPr>
            <w:tcW w:w="126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restar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社会影响</w:t>
            </w:r>
          </w:p>
        </w:tc>
        <w:tc>
          <w:tcPr>
            <w:tcW w:w="1385"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单位获奖情况</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&gt;=1件</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vMerge w:val="continue"/>
            <w:shd w:val="clear" w:color="auto" w:fill="auto"/>
            <w:vAlign w:val="center"/>
          </w:tcPr>
          <w:p>
            <w:pPr>
              <w:jc w:val="center"/>
              <w:rPr>
                <w:rFonts w:hint="eastAsia" w:ascii="宋体" w:hAnsi="宋体" w:eastAsia="宋体" w:cs="宋体"/>
                <w:b/>
                <w:bCs/>
                <w:i w:val="0"/>
                <w:iCs w:val="0"/>
                <w:color w:val="000000"/>
                <w:kern w:val="0"/>
                <w:sz w:val="20"/>
                <w:szCs w:val="20"/>
                <w:u w:val="none"/>
                <w:lang w:val="en-US" w:eastAsia="zh-CN" w:bidi="ar"/>
              </w:rPr>
            </w:pPr>
          </w:p>
        </w:tc>
        <w:tc>
          <w:tcPr>
            <w:tcW w:w="1385"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违法违纪情况</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=0件</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847"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w:t>
            </w:r>
          </w:p>
        </w:tc>
        <w:tc>
          <w:tcPr>
            <w:tcW w:w="1385"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当事人满意度</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75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314" w:type="pct"/>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72"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3"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0" w:type="dxa"/>
            <w:bottom w:w="0" w:type="dxa"/>
            <w:right w:w="0" w:type="dxa"/>
          </w:tblCellMar>
        </w:tblPrEx>
        <w:trPr>
          <w:cantSplit/>
          <w:trHeight w:val="397" w:hRule="atLeast"/>
          <w:tblHeader/>
        </w:trPr>
        <w:tc>
          <w:tcPr>
            <w:tcW w:w="3741" w:type="pct"/>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14"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60</w:t>
            </w:r>
          </w:p>
        </w:tc>
        <w:tc>
          <w:tcPr>
            <w:tcW w:w="342"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52.35</w:t>
            </w:r>
          </w:p>
        </w:tc>
        <w:tc>
          <w:tcPr>
            <w:tcW w:w="600"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87.25%</w:t>
            </w:r>
          </w:p>
        </w:tc>
      </w:tr>
    </w:tbl>
    <w:p>
      <w:pPr>
        <w:spacing w:line="560" w:lineRule="exact"/>
        <w:ind w:firstLine="643"/>
        <w:rPr>
          <w:rFonts w:hint="eastAsia"/>
          <w:b w:val="0"/>
          <w:bCs w:val="0"/>
          <w:sz w:val="32"/>
          <w:szCs w:val="24"/>
        </w:rPr>
      </w:pPr>
      <w:r>
        <w:rPr>
          <w:rFonts w:hint="eastAsia"/>
          <w:b/>
          <w:bCs/>
          <w:sz w:val="32"/>
          <w:szCs w:val="24"/>
        </w:rPr>
        <w:t>受理案件及时性：</w:t>
      </w:r>
      <w:r>
        <w:rPr>
          <w:rFonts w:hint="eastAsia"/>
          <w:b w:val="0"/>
          <w:bCs w:val="0"/>
          <w:sz w:val="32"/>
          <w:szCs w:val="24"/>
        </w:rPr>
        <w:t>年度指标及时，实际完成值100%，分值3.13分，得分2.82分，得分率90.10%。案件受理能够做到及时，</w:t>
      </w:r>
      <w:r>
        <w:rPr>
          <w:rFonts w:hint="eastAsia"/>
          <w:b w:val="0"/>
          <w:bCs w:val="0"/>
          <w:sz w:val="32"/>
          <w:szCs w:val="24"/>
          <w:lang w:val="en-US" w:eastAsia="zh-CN"/>
        </w:rPr>
        <w:t>今后</w:t>
      </w:r>
      <w:r>
        <w:rPr>
          <w:rFonts w:hint="eastAsia"/>
          <w:b w:val="0"/>
          <w:bCs w:val="0"/>
          <w:sz w:val="32"/>
          <w:szCs w:val="24"/>
        </w:rPr>
        <w:t>在受理流程衔接、人员配置等方面需进一步优化，以提升受理案件的及时性和高效性。</w:t>
      </w:r>
    </w:p>
    <w:p>
      <w:pPr>
        <w:spacing w:line="560" w:lineRule="exact"/>
        <w:ind w:firstLine="643"/>
        <w:rPr>
          <w:rFonts w:hint="eastAsia"/>
          <w:b w:val="0"/>
          <w:bCs w:val="0"/>
          <w:sz w:val="32"/>
          <w:szCs w:val="24"/>
        </w:rPr>
      </w:pPr>
      <w:r>
        <w:rPr>
          <w:rFonts w:hint="eastAsia"/>
          <w:b/>
          <w:bCs/>
          <w:sz w:val="32"/>
          <w:szCs w:val="24"/>
        </w:rPr>
        <w:t>行政案件结案率：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80%，行政案件立案数152</w:t>
      </w:r>
      <w:r>
        <w:rPr>
          <w:rFonts w:hint="eastAsia"/>
          <w:b w:val="0"/>
          <w:bCs w:val="0"/>
          <w:sz w:val="32"/>
          <w:szCs w:val="24"/>
          <w:lang w:val="en-US" w:eastAsia="zh-CN"/>
        </w:rPr>
        <w:t>件，行政案件结案数137件，</w:t>
      </w:r>
      <w:r>
        <w:rPr>
          <w:rFonts w:hint="eastAsia"/>
          <w:b w:val="0"/>
          <w:bCs w:val="0"/>
          <w:sz w:val="32"/>
          <w:szCs w:val="24"/>
        </w:rPr>
        <w:t>实际完成值90.13</w:t>
      </w:r>
      <w:r>
        <w:rPr>
          <w:rFonts w:hint="eastAsia"/>
          <w:b w:val="0"/>
          <w:bCs w:val="0"/>
          <w:sz w:val="32"/>
          <w:szCs w:val="24"/>
          <w:lang w:val="en-US" w:eastAsia="zh-CN"/>
        </w:rPr>
        <w:t>%</w:t>
      </w:r>
      <w:r>
        <w:rPr>
          <w:rFonts w:hint="eastAsia"/>
          <w:b w:val="0"/>
          <w:bCs w:val="0"/>
          <w:sz w:val="32"/>
          <w:szCs w:val="24"/>
        </w:rPr>
        <w:t>，分值3.13分，得分2.92分，得分率</w:t>
      </w:r>
      <w:r>
        <w:rPr>
          <w:rFonts w:hint="eastAsia"/>
          <w:b w:val="0"/>
          <w:bCs w:val="0"/>
          <w:sz w:val="32"/>
          <w:szCs w:val="24"/>
          <w:lang w:val="en-US" w:eastAsia="zh-CN"/>
        </w:rPr>
        <w:t>93.29</w:t>
      </w:r>
      <w:r>
        <w:rPr>
          <w:rFonts w:hint="eastAsia"/>
          <w:b w:val="0"/>
          <w:bCs w:val="0"/>
          <w:sz w:val="32"/>
          <w:szCs w:val="24"/>
        </w:rPr>
        <w:t>%。</w:t>
      </w:r>
      <w:r>
        <w:rPr>
          <w:rFonts w:hint="eastAsia"/>
          <w:b w:val="0"/>
          <w:bCs w:val="0"/>
          <w:sz w:val="32"/>
          <w:szCs w:val="24"/>
          <w:lang w:val="en-US" w:eastAsia="zh-CN"/>
        </w:rPr>
        <w:t>我</w:t>
      </w:r>
      <w:r>
        <w:rPr>
          <w:rFonts w:hint="eastAsia"/>
          <w:b w:val="0"/>
          <w:bCs w:val="0"/>
          <w:sz w:val="32"/>
          <w:szCs w:val="24"/>
        </w:rPr>
        <w:t>院行政案件结案率达到基础标准。</w:t>
      </w:r>
    </w:p>
    <w:p>
      <w:pPr>
        <w:spacing w:line="560" w:lineRule="exact"/>
        <w:ind w:firstLine="643"/>
        <w:rPr>
          <w:rFonts w:hint="eastAsia"/>
          <w:b/>
          <w:bCs/>
          <w:sz w:val="32"/>
          <w:szCs w:val="24"/>
        </w:rPr>
      </w:pPr>
      <w:r>
        <w:rPr>
          <w:rFonts w:hint="eastAsia"/>
          <w:b/>
          <w:bCs/>
          <w:sz w:val="32"/>
          <w:szCs w:val="24"/>
        </w:rPr>
        <w:t>执行案件结案率：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70%，执行案件立案数487</w:t>
      </w:r>
      <w:r>
        <w:rPr>
          <w:rFonts w:hint="eastAsia"/>
          <w:b w:val="0"/>
          <w:bCs w:val="0"/>
          <w:sz w:val="32"/>
          <w:szCs w:val="24"/>
          <w:lang w:val="en-US" w:eastAsia="zh-CN"/>
        </w:rPr>
        <w:t>件，执行案件结案数477件，</w:t>
      </w:r>
      <w:r>
        <w:rPr>
          <w:rFonts w:hint="eastAsia"/>
          <w:b w:val="0"/>
          <w:bCs w:val="0"/>
          <w:sz w:val="32"/>
          <w:szCs w:val="24"/>
        </w:rPr>
        <w:t>实际完成值97.95</w:t>
      </w:r>
      <w:r>
        <w:rPr>
          <w:rFonts w:hint="eastAsia"/>
          <w:b w:val="0"/>
          <w:bCs w:val="0"/>
          <w:sz w:val="32"/>
          <w:szCs w:val="24"/>
          <w:lang w:val="en-US" w:eastAsia="zh-CN"/>
        </w:rPr>
        <w:t>%</w:t>
      </w:r>
      <w:r>
        <w:rPr>
          <w:rFonts w:hint="eastAsia"/>
          <w:b w:val="0"/>
          <w:bCs w:val="0"/>
          <w:sz w:val="32"/>
          <w:szCs w:val="24"/>
        </w:rPr>
        <w:t>，分值3.13分，得分0.79分，得分率</w:t>
      </w:r>
      <w:r>
        <w:rPr>
          <w:rFonts w:hint="eastAsia"/>
          <w:b w:val="0"/>
          <w:bCs w:val="0"/>
          <w:sz w:val="32"/>
          <w:szCs w:val="24"/>
          <w:lang w:val="en-US" w:eastAsia="zh-CN"/>
        </w:rPr>
        <w:t>25.24</w:t>
      </w:r>
      <w:r>
        <w:rPr>
          <w:rFonts w:hint="eastAsia"/>
          <w:b w:val="0"/>
          <w:bCs w:val="0"/>
          <w:sz w:val="32"/>
          <w:szCs w:val="24"/>
        </w:rPr>
        <w:t>%。表明执行案件结案工作取得一定成效，超过指标要求。</w:t>
      </w:r>
    </w:p>
    <w:p>
      <w:pPr>
        <w:spacing w:line="560" w:lineRule="exact"/>
        <w:ind w:firstLine="643"/>
        <w:rPr>
          <w:rFonts w:hint="eastAsia"/>
          <w:b w:val="0"/>
          <w:bCs w:val="0"/>
          <w:sz w:val="32"/>
          <w:szCs w:val="24"/>
        </w:rPr>
      </w:pPr>
      <w:r>
        <w:rPr>
          <w:rFonts w:hint="eastAsia"/>
          <w:b/>
          <w:bCs/>
          <w:sz w:val="32"/>
          <w:szCs w:val="24"/>
        </w:rPr>
        <w:t>刑事案件结案率：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85%，刑事案件立案数537</w:t>
      </w:r>
      <w:r>
        <w:rPr>
          <w:rFonts w:hint="eastAsia"/>
          <w:b w:val="0"/>
          <w:bCs w:val="0"/>
          <w:sz w:val="32"/>
          <w:szCs w:val="24"/>
          <w:lang w:val="en-US" w:eastAsia="zh-CN"/>
        </w:rPr>
        <w:t>件，刑事案件结案数528件，</w:t>
      </w:r>
      <w:r>
        <w:rPr>
          <w:rFonts w:hint="eastAsia"/>
          <w:b w:val="0"/>
          <w:bCs w:val="0"/>
          <w:sz w:val="32"/>
          <w:szCs w:val="24"/>
        </w:rPr>
        <w:t>实际完成值98.32</w:t>
      </w:r>
      <w:r>
        <w:rPr>
          <w:rFonts w:hint="eastAsia"/>
          <w:b w:val="0"/>
          <w:bCs w:val="0"/>
          <w:sz w:val="32"/>
          <w:szCs w:val="24"/>
          <w:lang w:val="en-US" w:eastAsia="zh-CN"/>
        </w:rPr>
        <w:t>%</w:t>
      </w:r>
      <w:r>
        <w:rPr>
          <w:rFonts w:hint="eastAsia"/>
          <w:b w:val="0"/>
          <w:bCs w:val="0"/>
          <w:sz w:val="32"/>
          <w:szCs w:val="24"/>
        </w:rPr>
        <w:t>，分值3.13分，得分</w:t>
      </w:r>
      <w:r>
        <w:rPr>
          <w:rFonts w:hint="eastAsia"/>
          <w:b w:val="0"/>
          <w:bCs w:val="0"/>
          <w:sz w:val="32"/>
          <w:szCs w:val="24"/>
          <w:lang w:val="en-US" w:eastAsia="zh-CN"/>
        </w:rPr>
        <w:t>2.69</w:t>
      </w:r>
      <w:r>
        <w:rPr>
          <w:rFonts w:hint="eastAsia"/>
          <w:b w:val="0"/>
          <w:bCs w:val="0"/>
          <w:sz w:val="32"/>
          <w:szCs w:val="24"/>
        </w:rPr>
        <w:t>分，得分率</w:t>
      </w:r>
      <w:r>
        <w:rPr>
          <w:rFonts w:hint="eastAsia"/>
          <w:b w:val="0"/>
          <w:bCs w:val="0"/>
          <w:sz w:val="32"/>
          <w:szCs w:val="24"/>
          <w:lang w:val="en-US" w:eastAsia="zh-CN"/>
        </w:rPr>
        <w:t>85.94</w:t>
      </w:r>
      <w:r>
        <w:rPr>
          <w:rFonts w:hint="eastAsia"/>
          <w:b w:val="0"/>
          <w:bCs w:val="0"/>
          <w:sz w:val="32"/>
          <w:szCs w:val="24"/>
        </w:rPr>
        <w:t>%。接近指标要求且得分率较高，说明刑事审判工作整体推进良好。</w:t>
      </w:r>
    </w:p>
    <w:p>
      <w:pPr>
        <w:spacing w:line="560" w:lineRule="exact"/>
        <w:ind w:firstLine="643"/>
        <w:rPr>
          <w:rFonts w:hint="eastAsia"/>
          <w:b w:val="0"/>
          <w:bCs w:val="0"/>
          <w:sz w:val="32"/>
          <w:szCs w:val="24"/>
        </w:rPr>
      </w:pPr>
      <w:r>
        <w:rPr>
          <w:rFonts w:hint="eastAsia"/>
          <w:b/>
          <w:bCs/>
          <w:sz w:val="32"/>
          <w:szCs w:val="24"/>
        </w:rPr>
        <w:t>民</w:t>
      </w:r>
      <w:r>
        <w:rPr>
          <w:rFonts w:hint="eastAsia"/>
          <w:b/>
          <w:bCs/>
          <w:sz w:val="32"/>
          <w:szCs w:val="24"/>
          <w:lang w:val="en-US" w:eastAsia="zh-CN"/>
        </w:rPr>
        <w:t>商</w:t>
      </w:r>
      <w:r>
        <w:rPr>
          <w:rFonts w:hint="eastAsia"/>
          <w:b/>
          <w:bCs/>
          <w:sz w:val="32"/>
          <w:szCs w:val="24"/>
        </w:rPr>
        <w:t>事案件结案率：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85%，民商事案件立案数2236</w:t>
      </w:r>
      <w:r>
        <w:rPr>
          <w:rFonts w:hint="eastAsia"/>
          <w:b w:val="0"/>
          <w:bCs w:val="0"/>
          <w:sz w:val="32"/>
          <w:szCs w:val="24"/>
          <w:lang w:val="en-US" w:eastAsia="zh-CN"/>
        </w:rPr>
        <w:t>件，民商事案件结案数2051件，</w:t>
      </w:r>
      <w:r>
        <w:rPr>
          <w:rFonts w:hint="eastAsia"/>
          <w:b w:val="0"/>
          <w:bCs w:val="0"/>
          <w:sz w:val="32"/>
          <w:szCs w:val="24"/>
        </w:rPr>
        <w:t>实际完成值91.73</w:t>
      </w:r>
      <w:r>
        <w:rPr>
          <w:rFonts w:hint="eastAsia"/>
          <w:b w:val="0"/>
          <w:bCs w:val="0"/>
          <w:sz w:val="32"/>
          <w:szCs w:val="24"/>
          <w:lang w:val="en-US" w:eastAsia="zh-CN"/>
        </w:rPr>
        <w:t>%</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%。表现出色，远超指标值，说明民事审判工作流程顺畅，审判团队业务能力较强，在化解民事纠纷方面卓有成效，可总结经验推广至其他审判领域。</w:t>
      </w:r>
    </w:p>
    <w:p>
      <w:pPr>
        <w:spacing w:line="560" w:lineRule="exact"/>
        <w:ind w:firstLine="643"/>
        <w:rPr>
          <w:rFonts w:hint="eastAsia"/>
          <w:b w:val="0"/>
          <w:bCs w:val="0"/>
          <w:sz w:val="32"/>
          <w:szCs w:val="24"/>
        </w:rPr>
      </w:pPr>
      <w:r>
        <w:rPr>
          <w:rFonts w:hint="eastAsia"/>
          <w:b/>
          <w:bCs/>
          <w:sz w:val="32"/>
          <w:szCs w:val="24"/>
        </w:rPr>
        <w:t>法定审限内结案率：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90%，法定审限内结案数3032</w:t>
      </w:r>
      <w:r>
        <w:rPr>
          <w:rFonts w:hint="eastAsia"/>
          <w:b w:val="0"/>
          <w:bCs w:val="0"/>
          <w:sz w:val="32"/>
          <w:szCs w:val="24"/>
          <w:lang w:val="en-US" w:eastAsia="zh-CN"/>
        </w:rPr>
        <w:t>件，审结案件总数3181件，</w:t>
      </w:r>
      <w:r>
        <w:rPr>
          <w:rFonts w:hint="eastAsia"/>
          <w:b w:val="0"/>
          <w:bCs w:val="0"/>
          <w:sz w:val="32"/>
          <w:szCs w:val="24"/>
        </w:rPr>
        <w:t>实际完成值95.32</w:t>
      </w:r>
      <w:r>
        <w:rPr>
          <w:rFonts w:hint="eastAsia"/>
          <w:b w:val="0"/>
          <w:bCs w:val="0"/>
          <w:sz w:val="32"/>
          <w:szCs w:val="24"/>
          <w:lang w:val="en-US" w:eastAsia="zh-CN"/>
        </w:rPr>
        <w:t>%</w:t>
      </w:r>
      <w:r>
        <w:rPr>
          <w:rFonts w:hint="eastAsia"/>
          <w:b w:val="0"/>
          <w:bCs w:val="0"/>
          <w:sz w:val="32"/>
          <w:szCs w:val="24"/>
        </w:rPr>
        <w:t>，分值3.13分，得分3.1</w:t>
      </w:r>
      <w:r>
        <w:rPr>
          <w:rFonts w:hint="eastAsia"/>
          <w:b w:val="0"/>
          <w:bCs w:val="0"/>
          <w:sz w:val="32"/>
          <w:szCs w:val="24"/>
          <w:lang w:val="en-US" w:eastAsia="zh-CN"/>
        </w:rPr>
        <w:t>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%。成绩优异，远超指标要求，表明审判工作在法定审限内推进高效，审判效率高，审判流程管理规范，能有效保障当事人诉讼权益。</w:t>
      </w:r>
    </w:p>
    <w:p>
      <w:pPr>
        <w:spacing w:line="560" w:lineRule="exact"/>
        <w:ind w:firstLine="643"/>
        <w:rPr>
          <w:rFonts w:hint="eastAsia"/>
          <w:b w:val="0"/>
          <w:bCs w:val="0"/>
          <w:sz w:val="32"/>
          <w:szCs w:val="24"/>
        </w:rPr>
      </w:pPr>
      <w:r>
        <w:rPr>
          <w:rFonts w:hint="eastAsia"/>
          <w:b/>
          <w:bCs/>
          <w:sz w:val="32"/>
          <w:szCs w:val="24"/>
        </w:rPr>
        <w:t>当庭宣判率：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80%，实际完成值</w:t>
      </w:r>
      <w:r>
        <w:rPr>
          <w:rFonts w:hint="eastAsia"/>
          <w:b w:val="0"/>
          <w:bCs w:val="0"/>
          <w:sz w:val="32"/>
          <w:szCs w:val="24"/>
          <w:lang w:val="en-US" w:eastAsia="zh-CN"/>
        </w:rPr>
        <w:t>81%</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%。当庭宣判工作制度执行到位，审判人员业务能力和庭审把控能力较强，保证了司法审判的公正性和效率性。</w:t>
      </w:r>
    </w:p>
    <w:p>
      <w:pPr>
        <w:spacing w:line="560" w:lineRule="exact"/>
        <w:ind w:firstLine="643"/>
        <w:rPr>
          <w:rFonts w:hint="eastAsia"/>
          <w:b w:val="0"/>
          <w:bCs w:val="0"/>
          <w:sz w:val="32"/>
          <w:szCs w:val="24"/>
        </w:rPr>
      </w:pPr>
      <w:r>
        <w:rPr>
          <w:rFonts w:hint="eastAsia"/>
          <w:b/>
          <w:bCs/>
          <w:sz w:val="32"/>
          <w:szCs w:val="24"/>
        </w:rPr>
        <w:t>执行案件重合合格率：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w:t>
      </w:r>
      <w:r>
        <w:rPr>
          <w:rFonts w:hint="eastAsia"/>
          <w:b w:val="0"/>
          <w:bCs w:val="0"/>
          <w:sz w:val="32"/>
          <w:szCs w:val="24"/>
          <w:lang w:val="en-US" w:eastAsia="zh-CN"/>
        </w:rPr>
        <w:t>00%</w:t>
      </w:r>
      <w:r>
        <w:rPr>
          <w:rFonts w:hint="eastAsia"/>
          <w:b w:val="0"/>
          <w:bCs w:val="0"/>
          <w:sz w:val="32"/>
          <w:szCs w:val="24"/>
        </w:rPr>
        <w:t>，实际完成值100</w:t>
      </w:r>
      <w:r>
        <w:rPr>
          <w:rFonts w:hint="eastAsia"/>
          <w:b w:val="0"/>
          <w:bCs w:val="0"/>
          <w:sz w:val="32"/>
          <w:szCs w:val="24"/>
          <w:lang w:val="en-US" w:eastAsia="zh-CN"/>
        </w:rPr>
        <w:t>%</w:t>
      </w:r>
      <w:r>
        <w:rPr>
          <w:rFonts w:hint="eastAsia"/>
          <w:b w:val="0"/>
          <w:bCs w:val="0"/>
          <w:sz w:val="32"/>
          <w:szCs w:val="24"/>
        </w:rPr>
        <w:t>，分值3.13分，得分3.13分，得分率100.00%。体现执行案件质量把控严格，在案件审查、执行实施等环节工作到位，确保执行案件质量符合高标准。</w:t>
      </w:r>
    </w:p>
    <w:p>
      <w:pPr>
        <w:spacing w:line="560" w:lineRule="exact"/>
        <w:ind w:firstLine="643"/>
        <w:rPr>
          <w:rFonts w:hint="eastAsia"/>
          <w:b w:val="0"/>
          <w:bCs w:val="0"/>
          <w:sz w:val="32"/>
          <w:szCs w:val="24"/>
        </w:rPr>
      </w:pPr>
      <w:r>
        <w:rPr>
          <w:rFonts w:hint="eastAsia"/>
          <w:b/>
          <w:bCs/>
          <w:sz w:val="32"/>
          <w:szCs w:val="24"/>
        </w:rPr>
        <w:t>再审审查率：</w:t>
      </w:r>
      <w:r>
        <w:rPr>
          <w:rFonts w:hint="eastAsia"/>
          <w:b w:val="0"/>
          <w:bCs w:val="0"/>
          <w:sz w:val="32"/>
          <w:szCs w:val="24"/>
        </w:rPr>
        <w:t>年度指标值</w:t>
      </w:r>
      <w:r>
        <w:rPr>
          <w:rFonts w:hint="eastAsia"/>
          <w:b w:val="0"/>
          <w:bCs w:val="0"/>
          <w:sz w:val="32"/>
          <w:szCs w:val="24"/>
          <w:lang w:eastAsia="zh-CN"/>
        </w:rPr>
        <w:t>小于</w:t>
      </w:r>
      <w:r>
        <w:rPr>
          <w:rFonts w:hint="eastAsia"/>
          <w:b w:val="0"/>
          <w:bCs w:val="0"/>
          <w:sz w:val="32"/>
          <w:szCs w:val="24"/>
        </w:rPr>
        <w:t>5%，生效案件再审审查数210</w:t>
      </w:r>
      <w:r>
        <w:rPr>
          <w:rFonts w:hint="eastAsia"/>
          <w:b w:val="0"/>
          <w:bCs w:val="0"/>
          <w:sz w:val="32"/>
          <w:szCs w:val="24"/>
          <w:lang w:val="en-US" w:eastAsia="zh-CN"/>
        </w:rPr>
        <w:t>件，生效案件数2351件</w:t>
      </w:r>
      <w:r>
        <w:rPr>
          <w:rFonts w:hint="eastAsia"/>
          <w:b w:val="0"/>
          <w:bCs w:val="0"/>
          <w:sz w:val="32"/>
          <w:szCs w:val="24"/>
        </w:rPr>
        <w:t>实际完成值</w:t>
      </w:r>
      <w:r>
        <w:rPr>
          <w:rFonts w:hint="eastAsia"/>
          <w:b w:val="0"/>
          <w:bCs w:val="0"/>
          <w:sz w:val="32"/>
          <w:szCs w:val="24"/>
          <w:lang w:val="en-US" w:eastAsia="zh-CN"/>
        </w:rPr>
        <w:t>8.93%</w:t>
      </w:r>
      <w:r>
        <w:rPr>
          <w:rFonts w:hint="eastAsia"/>
          <w:b w:val="0"/>
          <w:bCs w:val="0"/>
          <w:sz w:val="32"/>
          <w:szCs w:val="24"/>
        </w:rPr>
        <w:t>，分值3.13分，得分2.55分，得分率</w:t>
      </w:r>
      <w:r>
        <w:rPr>
          <w:rFonts w:hint="eastAsia"/>
          <w:b w:val="0"/>
          <w:bCs w:val="0"/>
          <w:sz w:val="32"/>
          <w:szCs w:val="24"/>
          <w:lang w:val="en-US" w:eastAsia="zh-CN"/>
        </w:rPr>
        <w:t>81.47</w:t>
      </w:r>
      <w:r>
        <w:rPr>
          <w:rFonts w:hint="eastAsia"/>
          <w:b w:val="0"/>
          <w:bCs w:val="0"/>
          <w:sz w:val="32"/>
          <w:szCs w:val="24"/>
        </w:rPr>
        <w:t>%。严格控制在指标范围内，反映再审审查工作严谨规范，对案件再审把控严格，确保司法裁判的稳定性和权威性。</w:t>
      </w:r>
    </w:p>
    <w:p>
      <w:pPr>
        <w:spacing w:line="560" w:lineRule="exact"/>
        <w:ind w:firstLine="643"/>
        <w:rPr>
          <w:rFonts w:hint="eastAsia"/>
          <w:b w:val="0"/>
          <w:bCs w:val="0"/>
          <w:sz w:val="32"/>
          <w:szCs w:val="24"/>
        </w:rPr>
      </w:pPr>
      <w:r>
        <w:rPr>
          <w:rFonts w:hint="eastAsia"/>
          <w:b/>
          <w:bCs/>
          <w:sz w:val="32"/>
          <w:szCs w:val="24"/>
        </w:rPr>
        <w:t>登记立案率：</w:t>
      </w:r>
      <w:r>
        <w:rPr>
          <w:rFonts w:hint="eastAsia"/>
          <w:b w:val="0"/>
          <w:bCs w:val="0"/>
          <w:sz w:val="32"/>
          <w:szCs w:val="24"/>
        </w:rPr>
        <w:t>年度指标值</w:t>
      </w:r>
      <w:r>
        <w:rPr>
          <w:rFonts w:hint="eastAsia"/>
          <w:b w:val="0"/>
          <w:bCs w:val="0"/>
          <w:sz w:val="32"/>
          <w:szCs w:val="24"/>
          <w:lang w:eastAsia="zh-CN"/>
        </w:rPr>
        <w:t>大于</w:t>
      </w:r>
      <w:r>
        <w:rPr>
          <w:rFonts w:hint="eastAsia"/>
          <w:b w:val="0"/>
          <w:bCs w:val="0"/>
          <w:sz w:val="32"/>
          <w:szCs w:val="24"/>
        </w:rPr>
        <w:t>80%，实际完成值</w:t>
      </w:r>
      <w:r>
        <w:rPr>
          <w:rFonts w:hint="eastAsia"/>
          <w:b w:val="0"/>
          <w:bCs w:val="0"/>
          <w:sz w:val="32"/>
          <w:szCs w:val="24"/>
          <w:lang w:val="en-US" w:eastAsia="zh-CN"/>
        </w:rPr>
        <w:t>98%</w:t>
      </w:r>
      <w:r>
        <w:rPr>
          <w:rFonts w:hint="eastAsia"/>
          <w:b w:val="0"/>
          <w:bCs w:val="0"/>
          <w:sz w:val="32"/>
          <w:szCs w:val="24"/>
        </w:rPr>
        <w:t>，分值3.13分，得分2.15分，得分率</w:t>
      </w:r>
      <w:r>
        <w:rPr>
          <w:rFonts w:hint="eastAsia"/>
          <w:b w:val="0"/>
          <w:bCs w:val="0"/>
          <w:sz w:val="32"/>
          <w:szCs w:val="24"/>
          <w:lang w:val="en-US" w:eastAsia="zh-CN"/>
        </w:rPr>
        <w:t>68.69</w:t>
      </w:r>
      <w:r>
        <w:rPr>
          <w:rFonts w:hint="eastAsia"/>
          <w:b w:val="0"/>
          <w:bCs w:val="0"/>
          <w:sz w:val="32"/>
          <w:szCs w:val="24"/>
        </w:rPr>
        <w:t>%</w:t>
      </w:r>
      <w:r>
        <w:rPr>
          <w:rFonts w:hint="eastAsia"/>
          <w:b w:val="0"/>
          <w:bCs w:val="0"/>
          <w:sz w:val="32"/>
          <w:szCs w:val="24"/>
          <w:lang w:eastAsia="zh-CN"/>
        </w:rPr>
        <w:t>。</w:t>
      </w:r>
      <w:r>
        <w:rPr>
          <w:rFonts w:hint="eastAsia"/>
          <w:b w:val="0"/>
          <w:bCs w:val="0"/>
          <w:sz w:val="32"/>
          <w:szCs w:val="24"/>
          <w:lang w:val="en-US" w:eastAsia="zh-CN"/>
        </w:rPr>
        <w:t>我</w:t>
      </w:r>
      <w:r>
        <w:rPr>
          <w:rFonts w:hint="eastAsia"/>
          <w:b w:val="0"/>
          <w:bCs w:val="0"/>
          <w:sz w:val="32"/>
          <w:szCs w:val="24"/>
        </w:rPr>
        <w:t>院登记立案工作达到基础标准。</w:t>
      </w:r>
    </w:p>
    <w:p>
      <w:pPr>
        <w:spacing w:line="560" w:lineRule="exact"/>
        <w:ind w:firstLine="643"/>
        <w:rPr>
          <w:rFonts w:hint="eastAsia"/>
          <w:b/>
          <w:bCs/>
          <w:sz w:val="32"/>
          <w:szCs w:val="24"/>
        </w:rPr>
      </w:pPr>
      <w:r>
        <w:rPr>
          <w:rFonts w:hint="eastAsia"/>
          <w:b/>
          <w:bCs/>
          <w:sz w:val="32"/>
          <w:szCs w:val="24"/>
        </w:rPr>
        <w:t>成本控制情况：</w:t>
      </w:r>
      <w:r>
        <w:rPr>
          <w:rFonts w:hint="eastAsia"/>
          <w:b w:val="0"/>
          <w:bCs w:val="0"/>
          <w:sz w:val="32"/>
          <w:szCs w:val="24"/>
        </w:rPr>
        <w:t>年度指标在预算范围内，实际完成值100%，分值3.13分，得分2.82分，得分率90.10%。说明成本管理处于合理区间。</w:t>
      </w:r>
    </w:p>
    <w:p>
      <w:pPr>
        <w:spacing w:line="560" w:lineRule="exact"/>
        <w:ind w:firstLine="643"/>
        <w:rPr>
          <w:rFonts w:hint="eastAsia"/>
          <w:b w:val="0"/>
          <w:bCs w:val="0"/>
          <w:sz w:val="32"/>
          <w:szCs w:val="24"/>
        </w:rPr>
      </w:pPr>
      <w:r>
        <w:rPr>
          <w:rFonts w:hint="eastAsia"/>
          <w:b/>
          <w:bCs/>
          <w:sz w:val="32"/>
          <w:szCs w:val="24"/>
        </w:rPr>
        <w:t> 民事案件调解成功率：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50%，民商事案件调解撤诉数4</w:t>
      </w:r>
      <w:r>
        <w:rPr>
          <w:rFonts w:hint="eastAsia"/>
          <w:b w:val="0"/>
          <w:bCs w:val="0"/>
          <w:sz w:val="32"/>
          <w:szCs w:val="24"/>
          <w:lang w:val="en-US" w:eastAsia="zh-CN"/>
        </w:rPr>
        <w:t>件，民商事案件一审案件数量26件，</w:t>
      </w:r>
      <w:r>
        <w:rPr>
          <w:rFonts w:hint="eastAsia"/>
          <w:b w:val="0"/>
          <w:bCs w:val="0"/>
          <w:sz w:val="32"/>
          <w:szCs w:val="24"/>
        </w:rPr>
        <w:t>实际完成值15.38</w:t>
      </w:r>
      <w:r>
        <w:rPr>
          <w:rFonts w:hint="eastAsia"/>
          <w:b w:val="0"/>
          <w:bCs w:val="0"/>
          <w:sz w:val="32"/>
          <w:szCs w:val="24"/>
          <w:lang w:val="en-US" w:eastAsia="zh-CN"/>
        </w:rPr>
        <w:t>%</w:t>
      </w:r>
      <w:r>
        <w:rPr>
          <w:rFonts w:hint="eastAsia"/>
          <w:b w:val="0"/>
          <w:bCs w:val="0"/>
          <w:sz w:val="32"/>
          <w:szCs w:val="24"/>
        </w:rPr>
        <w:t>，分值3.13分，得分0.96分，得分率</w:t>
      </w:r>
      <w:r>
        <w:rPr>
          <w:rFonts w:hint="eastAsia"/>
          <w:b w:val="0"/>
          <w:bCs w:val="0"/>
          <w:sz w:val="32"/>
          <w:szCs w:val="24"/>
          <w:lang w:val="en-US" w:eastAsia="zh-CN"/>
        </w:rPr>
        <w:t>30.67</w:t>
      </w:r>
      <w:r>
        <w:rPr>
          <w:rFonts w:hint="eastAsia"/>
          <w:b w:val="0"/>
          <w:bCs w:val="0"/>
          <w:sz w:val="32"/>
          <w:szCs w:val="24"/>
        </w:rPr>
        <w:t>%。</w:t>
      </w:r>
      <w:r>
        <w:rPr>
          <w:rFonts w:hint="eastAsia"/>
          <w:b w:val="0"/>
          <w:bCs w:val="0"/>
          <w:sz w:val="32"/>
          <w:szCs w:val="24"/>
          <w:lang w:val="en-US" w:eastAsia="zh-CN"/>
        </w:rPr>
        <w:t>今后将</w:t>
      </w:r>
      <w:r>
        <w:rPr>
          <w:rFonts w:hint="eastAsia"/>
          <w:b w:val="0"/>
          <w:bCs w:val="0"/>
          <w:sz w:val="32"/>
          <w:szCs w:val="24"/>
        </w:rPr>
        <w:t>在调解方法创新、调解团队建设等方面下功夫，提高调解成功率。</w:t>
      </w:r>
    </w:p>
    <w:p>
      <w:pPr>
        <w:spacing w:line="560" w:lineRule="exact"/>
        <w:ind w:firstLine="643"/>
        <w:rPr>
          <w:rFonts w:hint="eastAsia"/>
          <w:b w:val="0"/>
          <w:bCs w:val="0"/>
          <w:sz w:val="32"/>
          <w:szCs w:val="24"/>
        </w:rPr>
      </w:pPr>
      <w:r>
        <w:rPr>
          <w:rFonts w:hint="eastAsia"/>
          <w:b/>
          <w:bCs/>
          <w:sz w:val="32"/>
          <w:szCs w:val="24"/>
        </w:rPr>
        <w:t>执行标的到位率：</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10%，执行标的到位数额6.85亿</w:t>
      </w:r>
      <w:r>
        <w:rPr>
          <w:rFonts w:hint="eastAsia"/>
          <w:b w:val="0"/>
          <w:bCs w:val="0"/>
          <w:sz w:val="32"/>
          <w:szCs w:val="24"/>
          <w:lang w:val="en-US" w:eastAsia="zh-CN"/>
        </w:rPr>
        <w:t>元</w:t>
      </w:r>
      <w:r>
        <w:rPr>
          <w:rFonts w:hint="eastAsia"/>
          <w:b w:val="0"/>
          <w:bCs w:val="0"/>
          <w:sz w:val="32"/>
          <w:szCs w:val="24"/>
          <w:lang w:eastAsia="zh-CN"/>
        </w:rPr>
        <w:t>，申请执行标的数额16.36亿</w:t>
      </w:r>
      <w:r>
        <w:rPr>
          <w:rFonts w:hint="eastAsia"/>
          <w:b w:val="0"/>
          <w:bCs w:val="0"/>
          <w:sz w:val="32"/>
          <w:szCs w:val="24"/>
          <w:lang w:val="en-US" w:eastAsia="zh-CN"/>
        </w:rPr>
        <w:t>元，</w:t>
      </w:r>
      <w:r>
        <w:rPr>
          <w:rFonts w:hint="eastAsia"/>
          <w:b w:val="0"/>
          <w:bCs w:val="0"/>
          <w:sz w:val="32"/>
          <w:szCs w:val="24"/>
        </w:rPr>
        <w:t>实际完成值</w:t>
      </w:r>
      <w:r>
        <w:rPr>
          <w:rFonts w:hint="eastAsia"/>
          <w:b w:val="0"/>
          <w:bCs w:val="0"/>
          <w:sz w:val="32"/>
          <w:szCs w:val="24"/>
          <w:lang w:eastAsia="zh-CN"/>
        </w:rPr>
        <w:t>60.32</w:t>
      </w:r>
      <w:r>
        <w:rPr>
          <w:rFonts w:hint="eastAsia"/>
          <w:b w:val="0"/>
          <w:bCs w:val="0"/>
          <w:sz w:val="32"/>
          <w:szCs w:val="24"/>
          <w:lang w:val="en-US" w:eastAsia="zh-CN"/>
        </w:rPr>
        <w:t>%</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w:t>
      </w:r>
      <w:r>
        <w:rPr>
          <w:rFonts w:hint="eastAsia"/>
          <w:b w:val="0"/>
          <w:bCs w:val="0"/>
          <w:sz w:val="32"/>
          <w:szCs w:val="24"/>
          <w:lang w:val="en-US" w:eastAsia="zh-CN"/>
        </w:rPr>
        <w:t>100</w:t>
      </w:r>
      <w:r>
        <w:rPr>
          <w:rFonts w:hint="eastAsia"/>
          <w:b w:val="0"/>
          <w:bCs w:val="0"/>
          <w:sz w:val="32"/>
          <w:szCs w:val="24"/>
        </w:rPr>
        <w:t>%。表明法院在执行标的落实上达到目标要求，执行工作在保障当事人权益方面有一定成效。</w:t>
      </w:r>
    </w:p>
    <w:p>
      <w:pPr>
        <w:spacing w:line="560" w:lineRule="exact"/>
        <w:ind w:firstLine="643"/>
        <w:rPr>
          <w:rFonts w:hint="eastAsia"/>
          <w:b w:val="0"/>
          <w:bCs w:val="0"/>
          <w:sz w:val="32"/>
          <w:szCs w:val="24"/>
        </w:rPr>
      </w:pPr>
      <w:r>
        <w:rPr>
          <w:rFonts w:hint="eastAsia"/>
          <w:b/>
          <w:bCs/>
          <w:sz w:val="32"/>
          <w:szCs w:val="24"/>
        </w:rPr>
        <w:t>化解社会矛盾，维护社会稳定：</w:t>
      </w:r>
      <w:r>
        <w:rPr>
          <w:rFonts w:hint="eastAsia"/>
          <w:b w:val="0"/>
          <w:bCs w:val="0"/>
          <w:sz w:val="32"/>
          <w:szCs w:val="24"/>
        </w:rPr>
        <w:t>年度指标维护，实际完成值100%，分值3.13分，得分2.82分，得分率90.10%。在化解矛盾、维护稳定方面有积极成效，需进一步加强相关工作。</w:t>
      </w:r>
    </w:p>
    <w:p>
      <w:pPr>
        <w:spacing w:line="560" w:lineRule="exact"/>
        <w:ind w:firstLine="643"/>
        <w:rPr>
          <w:rFonts w:hint="eastAsia"/>
          <w:b w:val="0"/>
          <w:bCs w:val="0"/>
          <w:sz w:val="32"/>
          <w:szCs w:val="24"/>
        </w:rPr>
      </w:pPr>
      <w:r>
        <w:rPr>
          <w:rFonts w:hint="eastAsia"/>
          <w:b/>
          <w:bCs/>
          <w:sz w:val="32"/>
          <w:szCs w:val="24"/>
        </w:rPr>
        <w:t>单位获奖情况：</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1件，实际完成值</w:t>
      </w:r>
      <w:r>
        <w:rPr>
          <w:rFonts w:hint="eastAsia"/>
          <w:b w:val="0"/>
          <w:bCs w:val="0"/>
          <w:sz w:val="32"/>
          <w:szCs w:val="24"/>
          <w:lang w:val="en-US" w:eastAsia="zh-CN"/>
        </w:rPr>
        <w:t>1件</w:t>
      </w:r>
      <w:r>
        <w:rPr>
          <w:rFonts w:hint="eastAsia"/>
          <w:b w:val="0"/>
          <w:bCs w:val="0"/>
          <w:sz w:val="32"/>
          <w:szCs w:val="24"/>
        </w:rPr>
        <w:t>，分值3.13分，得分</w:t>
      </w:r>
      <w:r>
        <w:rPr>
          <w:rFonts w:hint="eastAsia"/>
          <w:b w:val="0"/>
          <w:bCs w:val="0"/>
          <w:sz w:val="32"/>
          <w:szCs w:val="24"/>
          <w:lang w:val="en-US" w:eastAsia="zh-CN"/>
        </w:rPr>
        <w:t>3.13</w:t>
      </w:r>
      <w:r>
        <w:rPr>
          <w:rFonts w:hint="eastAsia"/>
          <w:b w:val="0"/>
          <w:bCs w:val="0"/>
          <w:sz w:val="32"/>
          <w:szCs w:val="24"/>
        </w:rPr>
        <w:t>分。得分率100.00%。达标，说</w:t>
      </w:r>
      <w:r>
        <w:rPr>
          <w:rFonts w:hint="eastAsia"/>
          <w:b w:val="0"/>
          <w:bCs w:val="0"/>
          <w:sz w:val="32"/>
          <w:szCs w:val="24"/>
          <w:lang w:eastAsia="zh-CN"/>
        </w:rPr>
        <w:t>明我院</w:t>
      </w:r>
      <w:r>
        <w:rPr>
          <w:rFonts w:hint="eastAsia"/>
          <w:b w:val="0"/>
          <w:bCs w:val="0"/>
          <w:sz w:val="32"/>
          <w:szCs w:val="24"/>
        </w:rPr>
        <w:t>工作得到一定认可，在司法实践、队伍建设等方面或有突出表现，激励法院继续提升工作水平，树立良好司法形象。</w:t>
      </w:r>
    </w:p>
    <w:p>
      <w:pPr>
        <w:spacing w:line="560" w:lineRule="exact"/>
        <w:ind w:firstLine="643"/>
        <w:rPr>
          <w:rFonts w:hint="eastAsia"/>
          <w:b w:val="0"/>
          <w:bCs w:val="0"/>
          <w:sz w:val="32"/>
          <w:szCs w:val="24"/>
        </w:rPr>
      </w:pPr>
      <w:r>
        <w:rPr>
          <w:rFonts w:hint="eastAsia"/>
          <w:b/>
          <w:bCs/>
          <w:sz w:val="32"/>
          <w:szCs w:val="24"/>
        </w:rPr>
        <w:t>违法违纪情况：</w:t>
      </w:r>
      <w:r>
        <w:rPr>
          <w:rFonts w:hint="eastAsia"/>
          <w:b w:val="0"/>
          <w:bCs w:val="0"/>
          <w:sz w:val="32"/>
          <w:szCs w:val="24"/>
        </w:rPr>
        <w:t>年度指标值0起，实际完成值0，分值3.05分，得分3.05分，得分率100.00%。表现良好，干警队伍纪律性强，廉洁司法落实到位，树立了良好的法院形象，需继续保持。</w:t>
      </w:r>
    </w:p>
    <w:p>
      <w:pPr>
        <w:spacing w:line="560" w:lineRule="exact"/>
        <w:ind w:firstLine="643"/>
        <w:rPr>
          <w:rFonts w:hAnsi="宋体"/>
          <w:b w:val="0"/>
          <w:bCs w:val="0"/>
          <w:sz w:val="32"/>
          <w:szCs w:val="32"/>
        </w:rPr>
      </w:pPr>
      <w:r>
        <w:rPr>
          <w:rFonts w:hint="eastAsia"/>
          <w:b/>
          <w:bCs/>
          <w:sz w:val="32"/>
          <w:szCs w:val="24"/>
        </w:rPr>
        <w:t>当事人满意度：</w:t>
      </w:r>
      <w:r>
        <w:rPr>
          <w:rFonts w:hint="eastAsia"/>
          <w:b w:val="0"/>
          <w:bCs w:val="0"/>
          <w:sz w:val="32"/>
          <w:szCs w:val="24"/>
        </w:rPr>
        <w:t>年度指标值</w:t>
      </w:r>
      <w:r>
        <w:rPr>
          <w:rFonts w:hint="eastAsia"/>
          <w:b w:val="0"/>
          <w:bCs w:val="0"/>
          <w:sz w:val="32"/>
          <w:szCs w:val="24"/>
          <w:lang w:eastAsia="zh-CN"/>
        </w:rPr>
        <w:t>大于等于</w:t>
      </w:r>
      <w:r>
        <w:rPr>
          <w:rFonts w:hint="eastAsia"/>
          <w:b w:val="0"/>
          <w:bCs w:val="0"/>
          <w:sz w:val="32"/>
          <w:szCs w:val="24"/>
        </w:rPr>
        <w:t>90%，实际完成值9</w:t>
      </w:r>
      <w:r>
        <w:rPr>
          <w:rFonts w:hint="eastAsia"/>
          <w:b w:val="0"/>
          <w:bCs w:val="0"/>
          <w:sz w:val="32"/>
          <w:szCs w:val="24"/>
          <w:lang w:val="en-US" w:eastAsia="zh-CN"/>
        </w:rPr>
        <w:t>6%</w:t>
      </w:r>
      <w:r>
        <w:rPr>
          <w:rFonts w:hint="eastAsia"/>
          <w:b w:val="0"/>
          <w:bCs w:val="0"/>
          <w:sz w:val="32"/>
          <w:szCs w:val="24"/>
        </w:rPr>
        <w:t>，分值10分，得分10分，得分率100.00%。成绩突出，充分表</w:t>
      </w:r>
      <w:r>
        <w:rPr>
          <w:rFonts w:hint="eastAsia"/>
          <w:b w:val="0"/>
          <w:bCs w:val="0"/>
          <w:sz w:val="32"/>
          <w:szCs w:val="24"/>
          <w:lang w:eastAsia="zh-CN"/>
        </w:rPr>
        <w:t>明我院</w:t>
      </w:r>
      <w:r>
        <w:rPr>
          <w:rFonts w:hint="eastAsia"/>
          <w:b w:val="0"/>
          <w:bCs w:val="0"/>
          <w:sz w:val="32"/>
          <w:szCs w:val="24"/>
        </w:rPr>
        <w:t>工作在保障当事人权益、提升服务质量等方面得到高度认可，是法院各项工作协同推进的积极成果</w:t>
      </w:r>
      <w:r>
        <w:rPr>
          <w:rFonts w:hint="eastAsia" w:hAnsi="宋体"/>
          <w:b w:val="0"/>
          <w:bCs w:val="0"/>
          <w:sz w:val="32"/>
          <w:szCs w:val="32"/>
        </w:rPr>
        <w:t>。</w:t>
      </w:r>
    </w:p>
    <w:p>
      <w:pPr>
        <w:pStyle w:val="4"/>
        <w:spacing w:line="560" w:lineRule="exact"/>
        <w:ind w:firstLine="643"/>
        <w:rPr>
          <w:sz w:val="32"/>
          <w:szCs w:val="36"/>
        </w:rPr>
      </w:pPr>
      <w:bookmarkStart w:id="49" w:name="_Toc40046033"/>
      <w:r>
        <w:rPr>
          <w:rFonts w:hint="eastAsia"/>
          <w:sz w:val="32"/>
          <w:szCs w:val="36"/>
        </w:rPr>
        <w:t>4.能力建设</w:t>
      </w:r>
      <w:bookmarkEnd w:id="49"/>
    </w:p>
    <w:p>
      <w:pPr>
        <w:spacing w:line="560" w:lineRule="exact"/>
        <w:ind w:firstLine="640"/>
        <w:rPr>
          <w:rFonts w:hint="eastAsia"/>
          <w:sz w:val="32"/>
          <w:szCs w:val="24"/>
        </w:rPr>
      </w:pPr>
      <w:r>
        <w:rPr>
          <w:rFonts w:hint="eastAsia" w:hAnsi="宋体"/>
          <w:sz w:val="32"/>
          <w:szCs w:val="32"/>
        </w:rPr>
        <w:t>能力建设指标</w:t>
      </w:r>
      <w:r>
        <w:rPr>
          <w:rFonts w:hint="eastAsia"/>
          <w:sz w:val="32"/>
          <w:szCs w:val="24"/>
        </w:rPr>
        <w:t>包括长效管理、人力资源建设及档案管理3个二级指标，下设5个三级指标。履职效果指标分值10分，自评</w:t>
      </w:r>
      <w:r>
        <w:rPr>
          <w:sz w:val="32"/>
          <w:szCs w:val="24"/>
        </w:rPr>
        <w:t>得</w:t>
      </w:r>
      <w:r>
        <w:rPr>
          <w:rFonts w:hint="eastAsia"/>
          <w:sz w:val="32"/>
          <w:szCs w:val="24"/>
        </w:rPr>
        <w:t>分</w:t>
      </w:r>
      <w:r>
        <w:rPr>
          <w:rFonts w:hint="eastAsia"/>
          <w:sz w:val="32"/>
          <w:szCs w:val="24"/>
          <w:lang w:val="en-US" w:eastAsia="zh-CN"/>
        </w:rPr>
        <w:t>9.2</w:t>
      </w:r>
      <w:r>
        <w:rPr>
          <w:rFonts w:hint="eastAsia"/>
          <w:sz w:val="32"/>
          <w:szCs w:val="24"/>
        </w:rPr>
        <w:t>分，得分率为100</w:t>
      </w:r>
      <w:r>
        <w:rPr>
          <w:sz w:val="32"/>
          <w:szCs w:val="24"/>
        </w:rPr>
        <w:t>%</w:t>
      </w:r>
      <w:r>
        <w:rPr>
          <w:rFonts w:hint="eastAsia"/>
          <w:sz w:val="32"/>
          <w:szCs w:val="24"/>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13"/>
        <w:gridCol w:w="2235"/>
        <w:gridCol w:w="1275"/>
        <w:gridCol w:w="1620"/>
        <w:gridCol w:w="750"/>
        <w:gridCol w:w="705"/>
        <w:gridCol w:w="9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二级指标</w:t>
            </w:r>
          </w:p>
        </w:tc>
        <w:tc>
          <w:tcPr>
            <w:tcW w:w="22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三级指标</w:t>
            </w:r>
          </w:p>
        </w:tc>
        <w:tc>
          <w:tcPr>
            <w:tcW w:w="12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年度指标值</w:t>
            </w:r>
          </w:p>
        </w:tc>
        <w:tc>
          <w:tcPr>
            <w:tcW w:w="162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实际完成值</w:t>
            </w:r>
          </w:p>
        </w:tc>
        <w:tc>
          <w:tcPr>
            <w:tcW w:w="7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分值</w:t>
            </w:r>
          </w:p>
        </w:tc>
        <w:tc>
          <w:tcPr>
            <w:tcW w:w="70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w:t>
            </w:r>
          </w:p>
        </w:tc>
        <w:tc>
          <w:tcPr>
            <w:tcW w:w="9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长效管理</w:t>
            </w:r>
          </w:p>
        </w:tc>
        <w:tc>
          <w:tcPr>
            <w:tcW w:w="22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中期规划建设完备程度</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2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信息化管理覆盖率</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162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2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党建工作开展规律性</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规律</w:t>
            </w:r>
          </w:p>
        </w:tc>
        <w:tc>
          <w:tcPr>
            <w:tcW w:w="162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人力资源建设</w:t>
            </w:r>
          </w:p>
        </w:tc>
        <w:tc>
          <w:tcPr>
            <w:tcW w:w="22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人员培训机制完备性</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1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w:t>
            </w:r>
          </w:p>
        </w:tc>
        <w:tc>
          <w:tcPr>
            <w:tcW w:w="22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档案管理完备性</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完备</w:t>
            </w:r>
          </w:p>
        </w:tc>
        <w:tc>
          <w:tcPr>
            <w:tcW w:w="162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w:t>
            </w:r>
          </w:p>
        </w:tc>
        <w:tc>
          <w:tcPr>
            <w:tcW w:w="70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43" w:type="dxa"/>
            <w:gridSpan w:val="4"/>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合计</w:t>
            </w:r>
          </w:p>
        </w:tc>
        <w:tc>
          <w:tcPr>
            <w:tcW w:w="750" w:type="dxa"/>
            <w:shd w:val="clear" w:color="auto" w:fill="BDD6EE"/>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10</w:t>
            </w:r>
          </w:p>
        </w:tc>
        <w:tc>
          <w:tcPr>
            <w:tcW w:w="705" w:type="dxa"/>
            <w:shd w:val="clear" w:color="auto" w:fill="BDD6EE"/>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9.2</w:t>
            </w:r>
          </w:p>
        </w:tc>
        <w:tc>
          <w:tcPr>
            <w:tcW w:w="9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92.00%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cstheme="minorBidi"/>
          <w:b w:val="0"/>
          <w:bCs w:val="0"/>
          <w:kern w:val="2"/>
          <w:sz w:val="32"/>
          <w:szCs w:val="32"/>
          <w:lang w:val="en-US" w:eastAsia="zh-CN" w:bidi="ar-SA"/>
        </w:rPr>
      </w:pPr>
      <w:r>
        <w:rPr>
          <w:rFonts w:hint="eastAsia" w:ascii="仿宋_GB2312" w:hAnsi="宋体" w:eastAsia="仿宋_GB2312" w:cstheme="minorBidi"/>
          <w:b/>
          <w:bCs/>
          <w:color w:val="auto"/>
          <w:kern w:val="2"/>
          <w:sz w:val="32"/>
          <w:szCs w:val="32"/>
          <w:lang w:val="en-US" w:eastAsia="zh-CN" w:bidi="ar-SA"/>
        </w:rPr>
        <w:t>中期规划建设完备程度</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指标要求中期规划建设完备程度处于100%-80%（含），实际完成值在此范围内，分值2分，得分1.8分，得分率90.00%。体现法院在中期规划建设上较为完备，工作有计划、有步骤推进，不过仍有提升空间，需持续完善规划体系，确保法院长远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theme="minorBidi"/>
          <w:b w:val="0"/>
          <w:bCs w:val="0"/>
          <w:color w:val="auto"/>
          <w:kern w:val="2"/>
          <w:sz w:val="32"/>
          <w:szCs w:val="32"/>
          <w:lang w:val="en-US" w:eastAsia="zh-CN" w:bidi="ar-SA"/>
        </w:rPr>
      </w:pPr>
      <w:r>
        <w:rPr>
          <w:rFonts w:hint="eastAsia" w:ascii="仿宋_GB2312" w:hAnsi="宋体" w:eastAsia="仿宋_GB2312" w:cstheme="minorBidi"/>
          <w:b/>
          <w:bCs/>
          <w:color w:val="auto"/>
          <w:kern w:val="2"/>
          <w:sz w:val="32"/>
          <w:szCs w:val="32"/>
          <w:lang w:val="en-US" w:eastAsia="zh-CN" w:bidi="ar-SA"/>
        </w:rPr>
        <w:t>信息化管理覆盖率</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指标要求信息化管理覆盖率</w:t>
      </w:r>
      <w:r>
        <w:rPr>
          <w:rFonts w:hint="eastAsia" w:hAnsi="宋体" w:cstheme="minorBidi"/>
          <w:b w:val="0"/>
          <w:bCs w:val="0"/>
          <w:color w:val="auto"/>
          <w:kern w:val="2"/>
          <w:sz w:val="32"/>
          <w:szCs w:val="32"/>
          <w:lang w:val="en-US" w:eastAsia="zh-CN" w:bidi="ar-SA"/>
        </w:rPr>
        <w:t>大于等于</w:t>
      </w:r>
      <w:r>
        <w:rPr>
          <w:rFonts w:hint="eastAsia" w:ascii="仿宋_GB2312" w:hAnsi="宋体" w:eastAsia="仿宋_GB2312" w:cstheme="minorBidi"/>
          <w:b w:val="0"/>
          <w:bCs w:val="0"/>
          <w:color w:val="auto"/>
          <w:kern w:val="2"/>
          <w:sz w:val="32"/>
          <w:szCs w:val="32"/>
          <w:lang w:val="en-US" w:eastAsia="zh-CN" w:bidi="ar-SA"/>
        </w:rPr>
        <w:t>98%，实际完成值为99</w:t>
      </w:r>
      <w:r>
        <w:rPr>
          <w:rFonts w:hint="eastAsia" w:hAnsi="宋体" w:cstheme="minorBidi"/>
          <w:b w:val="0"/>
          <w:bCs w:val="0"/>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，分值2分，得分2分，得分率100.00%。说明我院在信息化建设与管理方面成效显著，已实现高比例覆盖，为提升审判执行工作效率、司法公开等提供了有力的技术支撑。</w:t>
      </w:r>
    </w:p>
    <w:p>
      <w:pPr>
        <w:spacing w:line="560" w:lineRule="exact"/>
        <w:ind w:firstLine="643"/>
        <w:rPr>
          <w:sz w:val="32"/>
          <w:szCs w:val="24"/>
        </w:rPr>
      </w:pPr>
      <w:r>
        <w:rPr>
          <w:rFonts w:hint="eastAsia" w:ascii="仿宋_GB2312" w:hAnsi="宋体" w:eastAsia="仿宋_GB2312" w:cstheme="minorBidi"/>
          <w:b/>
          <w:bCs/>
          <w:color w:val="auto"/>
          <w:kern w:val="2"/>
          <w:sz w:val="32"/>
          <w:szCs w:val="32"/>
          <w:lang w:val="en-US" w:eastAsia="zh-CN" w:bidi="ar-SA"/>
        </w:rPr>
        <w:t>党建工作开展规律性</w:t>
      </w:r>
      <w:r>
        <w:rPr>
          <w:rFonts w:hint="eastAsia" w:hAnsi="宋体" w:cstheme="minorBidi"/>
          <w:b/>
          <w:bCs/>
          <w:color w:val="auto"/>
          <w:kern w:val="2"/>
          <w:sz w:val="32"/>
          <w:szCs w:val="32"/>
          <w:lang w:val="en-US" w:eastAsia="zh-CN" w:bidi="ar-SA"/>
        </w:rPr>
        <w:t>：</w:t>
      </w:r>
      <w:r>
        <w:rPr>
          <w:rFonts w:hint="eastAsia" w:ascii="仿宋_GB2312" w:hAnsi="宋体" w:eastAsia="仿宋_GB2312" w:cstheme="minorBidi"/>
          <w:b w:val="0"/>
          <w:bCs w:val="0"/>
          <w:color w:val="auto"/>
          <w:kern w:val="2"/>
          <w:sz w:val="32"/>
          <w:szCs w:val="32"/>
          <w:lang w:val="en-US" w:eastAsia="zh-CN" w:bidi="ar-SA"/>
        </w:rPr>
        <w:t>年度指标要求党建工作开展规律处于100%-80%（含），实际完成值在该区间内，分值2分，得分1.8分，得分率90.00%。这表明我院党建工作开展较为规范有序，整体节奏稳定，保证了党建引领作用的有效发挥，后续可进一步优化提升</w:t>
      </w:r>
      <w:r>
        <w:rPr>
          <w:rFonts w:hint="eastAsia" w:hAnsi="宋体"/>
          <w:sz w:val="32"/>
          <w:szCs w:val="32"/>
        </w:rPr>
        <w:t>。</w:t>
      </w:r>
    </w:p>
    <w:p>
      <w:pPr>
        <w:spacing w:line="560" w:lineRule="exact"/>
        <w:ind w:firstLine="643"/>
        <w:rPr>
          <w:rFonts w:hAnsi="宋体"/>
          <w:b/>
          <w:bCs/>
          <w:sz w:val="32"/>
          <w:szCs w:val="32"/>
        </w:rPr>
      </w:pPr>
      <w:r>
        <w:rPr>
          <w:rFonts w:hint="eastAsia" w:hAnsi="宋体" w:cs="宋体"/>
          <w:b/>
          <w:bCs/>
          <w:kern w:val="0"/>
          <w:sz w:val="32"/>
          <w:szCs w:val="32"/>
        </w:rPr>
        <w:t>人员培训机制完备性：</w:t>
      </w:r>
      <w:r>
        <w:rPr>
          <w:rFonts w:hint="eastAsia" w:hAnsi="宋体"/>
          <w:sz w:val="32"/>
          <w:szCs w:val="32"/>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分值2分，得分1.8分，得分率90.00%</w:t>
      </w:r>
      <w:r>
        <w:rPr>
          <w:rFonts w:hint="eastAsia" w:hAnsi="宋体" w:cs="宋体"/>
          <w:kern w:val="0"/>
          <w:sz w:val="32"/>
          <w:szCs w:val="32"/>
        </w:rPr>
        <w:t>。</w:t>
      </w:r>
    </w:p>
    <w:p>
      <w:pPr>
        <w:spacing w:line="560" w:lineRule="exact"/>
        <w:ind w:firstLine="643"/>
        <w:rPr>
          <w:sz w:val="32"/>
          <w:szCs w:val="32"/>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24"/>
        </w:rPr>
        <w:t>。</w:t>
      </w:r>
      <w:r>
        <w:rPr>
          <w:rFonts w:hint="eastAsia" w:hAnsi="宋体" w:cs="宋体"/>
          <w:kern w:val="0"/>
          <w:sz w:val="32"/>
          <w:szCs w:val="32"/>
        </w:rPr>
        <w:t>该指标</w:t>
      </w:r>
      <w:r>
        <w:rPr>
          <w:rFonts w:hint="eastAsia" w:ascii="仿宋_GB2312" w:hAnsi="宋体" w:eastAsia="仿宋_GB2312" w:cstheme="minorBidi"/>
          <w:b w:val="0"/>
          <w:bCs w:val="0"/>
          <w:color w:val="auto"/>
          <w:kern w:val="2"/>
          <w:sz w:val="32"/>
          <w:szCs w:val="32"/>
          <w:lang w:val="en-US" w:eastAsia="zh-CN" w:bidi="ar-SA"/>
        </w:rPr>
        <w:t>分值2分，得分1.8分，得分率90.00%</w:t>
      </w:r>
      <w:r>
        <w:rPr>
          <w:rFonts w:hint="eastAsia" w:hAnsi="宋体"/>
          <w:sz w:val="32"/>
          <w:szCs w:val="32"/>
        </w:rPr>
        <w:t>。</w:t>
      </w:r>
      <w:bookmarkStart w:id="50" w:name="_Toc12558"/>
      <w:bookmarkStart w:id="51" w:name="_Toc16525"/>
      <w:bookmarkStart w:id="52" w:name="_Toc3174"/>
      <w:bookmarkStart w:id="53" w:name="_Toc16731"/>
      <w:bookmarkStart w:id="54" w:name="_Toc40046035"/>
    </w:p>
    <w:p>
      <w:pPr>
        <w:pStyle w:val="3"/>
        <w:spacing w:before="0" w:after="0" w:line="560" w:lineRule="exact"/>
        <w:ind w:firstLine="643"/>
      </w:pPr>
      <w:bookmarkStart w:id="55" w:name="_Toc19746"/>
      <w:r>
        <w:rPr>
          <w:rFonts w:hint="eastAsia"/>
        </w:rPr>
        <w:t>（四）偏离绩效目标的原因及下一步改进措施</w:t>
      </w:r>
      <w:bookmarkEnd w:id="50"/>
      <w:bookmarkEnd w:id="51"/>
      <w:bookmarkEnd w:id="52"/>
      <w:bookmarkEnd w:id="53"/>
      <w:bookmarkEnd w:id="54"/>
      <w:bookmarkEnd w:id="55"/>
    </w:p>
    <w:p>
      <w:pPr>
        <w:pStyle w:val="47"/>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hAnsi="宋体"/>
          <w:szCs w:val="28"/>
          <w:lang w:eastAsia="zh-CN"/>
        </w:rPr>
      </w:pPr>
      <w:bookmarkStart w:id="56" w:name="_Toc2045"/>
      <w:bookmarkStart w:id="57" w:name="_Toc16890"/>
      <w:bookmarkStart w:id="58" w:name="_Toc8740"/>
      <w:r>
        <w:rPr>
          <w:rFonts w:hint="eastAsia" w:hAnsi="宋体"/>
          <w:szCs w:val="28"/>
        </w:rPr>
        <w:t>执行案件结案率</w:t>
      </w:r>
      <w:r>
        <w:rPr>
          <w:rFonts w:hint="eastAsia" w:hAnsi="宋体"/>
          <w:szCs w:val="28"/>
          <w:lang w:eastAsia="zh-CN"/>
        </w:rPr>
        <w:t>、民商事案件调解成功率</w:t>
      </w:r>
      <w:r>
        <w:rPr>
          <w:rFonts w:hint="eastAsia" w:hAnsi="宋体"/>
          <w:szCs w:val="28"/>
        </w:rPr>
        <w:t>实际完成值</w:t>
      </w:r>
      <w:r>
        <w:rPr>
          <w:rFonts w:hint="eastAsia" w:hAnsi="宋体"/>
          <w:szCs w:val="28"/>
          <w:lang w:eastAsia="zh-CN"/>
        </w:rPr>
        <w:t>较目标值偏低</w:t>
      </w:r>
      <w:r>
        <w:rPr>
          <w:rFonts w:hint="eastAsia" w:hAnsi="宋体"/>
          <w:szCs w:val="28"/>
        </w:rPr>
        <w:t>，我院将严格</w:t>
      </w:r>
      <w:r>
        <w:rPr>
          <w:rFonts w:hint="eastAsia" w:hAnsi="宋体"/>
          <w:szCs w:val="28"/>
          <w:lang w:eastAsia="zh-CN"/>
        </w:rPr>
        <w:t>参</w:t>
      </w:r>
      <w:r>
        <w:rPr>
          <w:rFonts w:hint="eastAsia" w:hAnsi="宋体"/>
          <w:szCs w:val="28"/>
        </w:rPr>
        <w:t>照</w:t>
      </w:r>
      <w:r>
        <w:rPr>
          <w:rFonts w:hint="eastAsia" w:hAnsi="宋体"/>
          <w:szCs w:val="28"/>
          <w:lang w:eastAsia="zh-CN"/>
        </w:rPr>
        <w:t>本年实际发生</w:t>
      </w:r>
      <w:r>
        <w:rPr>
          <w:rFonts w:hint="eastAsia" w:hAnsi="宋体"/>
          <w:szCs w:val="28"/>
        </w:rPr>
        <w:t>数，进一步精确年初绩效指标的设置</w:t>
      </w:r>
      <w:r>
        <w:rPr>
          <w:rFonts w:hint="eastAsia" w:hAnsi="宋体"/>
          <w:szCs w:val="28"/>
          <w:lang w:eastAsia="zh-CN"/>
        </w:rPr>
        <w:t>。</w:t>
      </w:r>
    </w:p>
    <w:p>
      <w:pPr>
        <w:pStyle w:val="2"/>
        <w:spacing w:before="0" w:after="0" w:line="560" w:lineRule="exact"/>
        <w:ind w:firstLine="643" w:firstLineChars="200"/>
      </w:pPr>
      <w:bookmarkStart w:id="59" w:name="_Toc8347"/>
      <w:r>
        <w:rPr>
          <w:rFonts w:hint="eastAsia"/>
        </w:rPr>
        <w:t>四、部门预算项目支出绩效自评情况分析</w:t>
      </w:r>
      <w:bookmarkEnd w:id="56"/>
      <w:bookmarkEnd w:id="57"/>
      <w:bookmarkEnd w:id="58"/>
      <w:bookmarkEnd w:id="59"/>
    </w:p>
    <w:p>
      <w:pPr>
        <w:spacing w:line="560" w:lineRule="exact"/>
        <w:ind w:firstLine="640"/>
        <w:rPr>
          <w:rFonts w:hAnsi="宋体"/>
          <w:sz w:val="32"/>
          <w:szCs w:val="32"/>
        </w:rPr>
      </w:pPr>
      <w:r>
        <w:rPr>
          <w:rFonts w:hint="eastAsia" w:hAnsi="宋体"/>
          <w:sz w:val="32"/>
          <w:szCs w:val="32"/>
          <w:lang w:eastAsia="zh-CN"/>
        </w:rPr>
        <w:t>2024</w:t>
      </w:r>
      <w:r>
        <w:rPr>
          <w:rFonts w:hint="eastAsia" w:hAnsi="宋体"/>
          <w:sz w:val="32"/>
          <w:szCs w:val="32"/>
        </w:rPr>
        <w:t>年我院预算支出项目为全省法院业务费，通过自评，项目结果为“优”。项目自评情况分析如下：</w:t>
      </w:r>
    </w:p>
    <w:p>
      <w:pPr>
        <w:pStyle w:val="3"/>
        <w:spacing w:before="0" w:after="0" w:line="560" w:lineRule="exact"/>
        <w:ind w:firstLine="643"/>
      </w:pPr>
      <w:bookmarkStart w:id="60" w:name="_Toc7444"/>
      <w:bookmarkStart w:id="61" w:name="_Toc23969"/>
      <w:r>
        <w:rPr>
          <w:rFonts w:hint="eastAsia"/>
        </w:rPr>
        <w:t>（一）</w:t>
      </w:r>
      <w:r>
        <w:rPr>
          <w:rFonts w:hint="eastAsia" w:hAnsi="宋体"/>
          <w:szCs w:val="28"/>
        </w:rPr>
        <w:t>全省法院</w:t>
      </w:r>
      <w:r>
        <w:rPr>
          <w:rFonts w:hint="eastAsia"/>
        </w:rPr>
        <w:t>业务费</w:t>
      </w:r>
      <w:bookmarkEnd w:id="60"/>
      <w:bookmarkEnd w:id="61"/>
    </w:p>
    <w:p>
      <w:pPr>
        <w:spacing w:line="560" w:lineRule="exact"/>
        <w:ind w:firstLine="640"/>
        <w:rPr>
          <w:rFonts w:hint="eastAsia" w:hAnsi="宋体"/>
          <w:sz w:val="32"/>
          <w:szCs w:val="32"/>
        </w:rPr>
      </w:pPr>
      <w:bookmarkStart w:id="62" w:name="_Toc3777"/>
      <w:bookmarkStart w:id="63" w:name="_Toc7144"/>
      <w:bookmarkStart w:id="64" w:name="_Toc40046064"/>
      <w:bookmarkStart w:id="65" w:name="_Toc22570"/>
      <w:bookmarkStart w:id="66" w:name="_Toc40046065"/>
      <w:bookmarkStart w:id="67" w:name="_Toc1889"/>
      <w:bookmarkStart w:id="68" w:name="_Toc18806"/>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年全省法院业务费项目支出绩效得分为</w:t>
      </w:r>
      <w:r>
        <w:rPr>
          <w:rFonts w:hint="eastAsia" w:hAnsi="宋体"/>
          <w:sz w:val="32"/>
          <w:szCs w:val="32"/>
          <w:lang w:val="en-US" w:eastAsia="zh-CN"/>
        </w:rPr>
        <w:t>94.48</w:t>
      </w:r>
      <w:r>
        <w:rPr>
          <w:rFonts w:hint="eastAsia" w:hAnsi="宋体"/>
          <w:sz w:val="32"/>
          <w:szCs w:val="32"/>
        </w:rPr>
        <w:t>分，绩效等级为“优”。项目支出绩效评价包括项目资金预算执行率、成本、产出、效益、满意度5个一级指标，下设8个二级指标和</w:t>
      </w:r>
      <w:r>
        <w:rPr>
          <w:rFonts w:hint="eastAsia" w:hAnsi="宋体"/>
          <w:sz w:val="32"/>
          <w:szCs w:val="32"/>
          <w:lang w:val="en-US" w:eastAsia="zh-CN"/>
        </w:rPr>
        <w:t>19</w:t>
      </w:r>
      <w:r>
        <w:rPr>
          <w:rFonts w:hint="eastAsia" w:hAnsi="宋体"/>
          <w:sz w:val="32"/>
          <w:szCs w:val="32"/>
        </w:rPr>
        <w:t>个三级指标。项目资金预算执行率100%，一级指标得分情况详见下表：</w:t>
      </w:r>
    </w:p>
    <w:p>
      <w:pPr>
        <w:jc w:val="center"/>
        <w:rPr>
          <w:rFonts w:hint="eastAsia" w:ascii="宋体" w:hAnsi="宋体" w:cs="宋体"/>
          <w:b/>
          <w:bCs/>
          <w:kern w:val="0"/>
          <w:sz w:val="24"/>
          <w:highlight w:val="none"/>
          <w:lang w:val="en-US" w:eastAsia="zh-CN"/>
        </w:rPr>
      </w:pPr>
    </w:p>
    <w:p>
      <w:pPr>
        <w:jc w:val="center"/>
        <w:rPr>
          <w:rFonts w:hint="eastAsia" w:hAnsi="宋体"/>
          <w:sz w:val="32"/>
          <w:szCs w:val="32"/>
        </w:rPr>
      </w:pPr>
      <w:r>
        <w:rPr>
          <w:rFonts w:hint="eastAsia" w:ascii="宋体" w:hAnsi="宋体" w:cs="宋体"/>
          <w:b/>
          <w:bCs/>
          <w:kern w:val="0"/>
          <w:sz w:val="24"/>
          <w:highlight w:val="none"/>
          <w:lang w:val="en-US" w:eastAsia="zh-CN"/>
        </w:rPr>
        <w:t>2024年度</w:t>
      </w:r>
      <w:r>
        <w:rPr>
          <w:rFonts w:hint="eastAsia" w:ascii="宋体" w:hAnsi="宋体" w:cs="宋体"/>
          <w:b/>
          <w:bCs/>
          <w:kern w:val="0"/>
          <w:sz w:val="24"/>
          <w:highlight w:val="none"/>
        </w:rPr>
        <w:t>部门</w:t>
      </w:r>
      <w:r>
        <w:rPr>
          <w:rFonts w:hint="eastAsia" w:ascii="宋体" w:hAnsi="宋体" w:cs="宋体"/>
          <w:b/>
          <w:bCs/>
          <w:kern w:val="0"/>
          <w:sz w:val="24"/>
          <w:highlight w:val="none"/>
          <w:lang w:val="en-US" w:eastAsia="zh-CN"/>
        </w:rPr>
        <w:t>项目</w:t>
      </w:r>
      <w:r>
        <w:rPr>
          <w:rFonts w:hint="eastAsia" w:ascii="宋体" w:hAnsi="宋体" w:cs="宋体"/>
          <w:b/>
          <w:bCs/>
          <w:kern w:val="0"/>
          <w:sz w:val="24"/>
          <w:highlight w:val="none"/>
        </w:rPr>
        <w:t>支出绩效评价指标得分情况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宋体"/>
                <w:color w:val="000000"/>
                <w:kern w:val="0"/>
                <w:sz w:val="20"/>
                <w:szCs w:val="20"/>
                <w:lang w:val="en-US" w:eastAsia="zh-CN"/>
              </w:rPr>
              <w:t>.00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38.48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96.20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宋体"/>
                <w:color w:val="000000"/>
                <w:kern w:val="0"/>
                <w:sz w:val="20"/>
                <w:szCs w:val="20"/>
                <w:lang w:val="en-US" w:eastAsia="zh-CN"/>
              </w:rPr>
              <w:t>.00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94.48</w:t>
            </w:r>
          </w:p>
        </w:tc>
        <w:tc>
          <w:tcPr>
            <w:tcW w:w="1701" w:type="dxa"/>
            <w:shd w:val="clear" w:color="auto" w:fill="BDD6EE"/>
            <w:vAlign w:val="center"/>
          </w:tcPr>
          <w:p>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94.48</w:t>
            </w:r>
            <w:r>
              <w:rPr>
                <w:rFonts w:hint="eastAsia" w:ascii="宋体" w:hAnsi="宋体" w:eastAsia="宋体" w:cs="宋体"/>
                <w:b/>
                <w:bCs/>
                <w:color w:val="000000"/>
                <w:kern w:val="0"/>
                <w:sz w:val="20"/>
                <w:szCs w:val="20"/>
              </w:rPr>
              <w:t>%</w:t>
            </w:r>
          </w:p>
        </w:tc>
      </w:tr>
    </w:tbl>
    <w:p>
      <w:pPr>
        <w:pStyle w:val="4"/>
        <w:spacing w:line="560" w:lineRule="exact"/>
        <w:ind w:firstLine="643"/>
        <w:rPr>
          <w:sz w:val="32"/>
        </w:rPr>
      </w:pPr>
      <w:r>
        <w:rPr>
          <w:rFonts w:hint="eastAsia"/>
          <w:sz w:val="32"/>
        </w:rPr>
        <w:t>1.项目支出预算执行情况</w:t>
      </w:r>
    </w:p>
    <w:p>
      <w:pPr>
        <w:spacing w:line="560" w:lineRule="exact"/>
        <w:ind w:firstLine="640"/>
        <w:rPr>
          <w:rFonts w:hAnsi="宋体"/>
          <w:sz w:val="32"/>
          <w:szCs w:val="32"/>
        </w:rPr>
      </w:pPr>
      <w:r>
        <w:rPr>
          <w:rFonts w:hint="eastAsia" w:hAnsi="宋体"/>
          <w:sz w:val="32"/>
          <w:szCs w:val="32"/>
        </w:rPr>
        <w:t>业务费项目年初预算数为</w:t>
      </w:r>
      <w:r>
        <w:rPr>
          <w:rFonts w:hint="eastAsia" w:hAnsi="宋体"/>
          <w:sz w:val="32"/>
          <w:szCs w:val="32"/>
          <w:lang w:val="en-US" w:eastAsia="zh-CN"/>
        </w:rPr>
        <w:t>245.00</w:t>
      </w:r>
      <w:r>
        <w:rPr>
          <w:rFonts w:hint="eastAsia" w:hAnsi="宋体"/>
          <w:sz w:val="32"/>
          <w:szCs w:val="32"/>
        </w:rPr>
        <w:t>万元，全年预算数和全年执行数均为</w:t>
      </w:r>
      <w:r>
        <w:rPr>
          <w:rFonts w:hint="eastAsia" w:hAnsi="宋体"/>
          <w:sz w:val="32"/>
          <w:szCs w:val="32"/>
          <w:lang w:val="en-US" w:eastAsia="zh-CN"/>
        </w:rPr>
        <w:t>365.00</w:t>
      </w:r>
      <w:r>
        <w:rPr>
          <w:rFonts w:hint="eastAsia" w:hAnsi="宋体"/>
          <w:sz w:val="32"/>
          <w:szCs w:val="32"/>
        </w:rPr>
        <w:t>万元，预算执行率100%，满分10分，得分10分。</w:t>
      </w:r>
    </w:p>
    <w:p>
      <w:pPr>
        <w:pStyle w:val="4"/>
        <w:spacing w:line="560" w:lineRule="exact"/>
        <w:ind w:firstLine="643"/>
        <w:rPr>
          <w:sz w:val="32"/>
        </w:rPr>
      </w:pPr>
      <w:r>
        <w:rPr>
          <w:rFonts w:hint="eastAsia"/>
          <w:sz w:val="32"/>
        </w:rPr>
        <w:t>2.总体绩效目标完成情况分析</w:t>
      </w:r>
    </w:p>
    <w:p>
      <w:pPr>
        <w:spacing w:line="560" w:lineRule="exact"/>
        <w:ind w:firstLine="640"/>
        <w:rPr>
          <w:sz w:val="32"/>
          <w:szCs w:val="32"/>
        </w:rPr>
      </w:pPr>
      <w:r>
        <w:rPr>
          <w:rFonts w:hint="eastAsia"/>
          <w:sz w:val="32"/>
          <w:szCs w:val="32"/>
        </w:rPr>
        <w:t>业务费主要用于</w:t>
      </w:r>
      <w:r>
        <w:rPr>
          <w:rFonts w:hint="eastAsia"/>
          <w:sz w:val="32"/>
          <w:szCs w:val="32"/>
          <w:lang w:val="en-US" w:eastAsia="zh-CN"/>
        </w:rPr>
        <w:t>我</w:t>
      </w:r>
      <w:r>
        <w:rPr>
          <w:rFonts w:hint="eastAsia"/>
          <w:sz w:val="32"/>
          <w:szCs w:val="32"/>
        </w:rPr>
        <w:t>院管辖范围之内及制定管辖的案件调查、取证、送达、调解、审判、合议、裁判、再审及执行等办案相关的业务费用、主要包括办案费办公费、邮电费、通讯费。通过办案业务费的使用，提高案件审理质量。</w:t>
      </w:r>
    </w:p>
    <w:p>
      <w:pPr>
        <w:pStyle w:val="4"/>
        <w:spacing w:line="560" w:lineRule="exact"/>
        <w:ind w:firstLine="643"/>
        <w:rPr>
          <w:sz w:val="32"/>
        </w:rPr>
      </w:pPr>
      <w:r>
        <w:rPr>
          <w:rFonts w:hint="eastAsia"/>
          <w:sz w:val="32"/>
        </w:rPr>
        <w:t>3.各项指标完成情况分析</w:t>
      </w:r>
    </w:p>
    <w:p>
      <w:pPr>
        <w:spacing w:line="560" w:lineRule="exact"/>
        <w:ind w:firstLine="643"/>
        <w:rPr>
          <w:b/>
          <w:bCs/>
          <w:sz w:val="32"/>
          <w:szCs w:val="32"/>
        </w:rPr>
      </w:pPr>
      <w:r>
        <w:rPr>
          <w:rFonts w:hint="eastAsia"/>
          <w:b/>
          <w:bCs/>
          <w:sz w:val="32"/>
          <w:szCs w:val="32"/>
        </w:rPr>
        <w:t>（1）成本指标</w:t>
      </w:r>
    </w:p>
    <w:p>
      <w:pPr>
        <w:spacing w:line="560" w:lineRule="exact"/>
        <w:ind w:firstLine="640"/>
        <w:rPr>
          <w:sz w:val="32"/>
          <w:szCs w:val="32"/>
        </w:rPr>
      </w:pPr>
      <w:r>
        <w:rPr>
          <w:rFonts w:hint="eastAsia"/>
          <w:sz w:val="32"/>
          <w:szCs w:val="32"/>
        </w:rPr>
        <w:t>成本指标下设</w:t>
      </w:r>
      <w:r>
        <w:rPr>
          <w:rFonts w:hint="eastAsia" w:hAnsi="宋体"/>
          <w:b w:val="0"/>
          <w:bCs w:val="0"/>
          <w:sz w:val="32"/>
          <w:szCs w:val="32"/>
          <w:lang w:val="en-US" w:eastAsia="zh-CN"/>
        </w:rPr>
        <w:t>经济成本指标1</w:t>
      </w:r>
      <w:r>
        <w:rPr>
          <w:rFonts w:hint="eastAsia"/>
          <w:sz w:val="32"/>
          <w:szCs w:val="32"/>
        </w:rPr>
        <w:t>个</w:t>
      </w:r>
      <w:r>
        <w:rPr>
          <w:rFonts w:hint="eastAsia"/>
          <w:sz w:val="32"/>
          <w:szCs w:val="32"/>
          <w:lang w:val="en-US" w:eastAsia="zh-CN"/>
        </w:rPr>
        <w:t>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18</w:t>
      </w:r>
      <w:r>
        <w:rPr>
          <w:rFonts w:hint="eastAsia"/>
          <w:sz w:val="32"/>
          <w:szCs w:val="32"/>
        </w:rPr>
        <w:t>分，得分率为</w:t>
      </w:r>
      <w:r>
        <w:rPr>
          <w:rFonts w:hint="eastAsia"/>
          <w:sz w:val="32"/>
          <w:szCs w:val="32"/>
          <w:lang w:val="en-US" w:eastAsia="zh-CN"/>
        </w:rPr>
        <w:t>9</w:t>
      </w:r>
      <w:r>
        <w:rPr>
          <w:rFonts w:hint="eastAsia"/>
          <w:sz w:val="32"/>
          <w:szCs w:val="32"/>
        </w:rPr>
        <w:t>0%。</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47"/>
        <w:gridCol w:w="1845"/>
        <w:gridCol w:w="1320"/>
        <w:gridCol w:w="1590"/>
        <w:gridCol w:w="645"/>
        <w:gridCol w:w="675"/>
        <w:gridCol w:w="9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9"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83"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77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933" w:type="pct"/>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8"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396"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83"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成本控制情况</w:t>
            </w:r>
          </w:p>
        </w:tc>
        <w:tc>
          <w:tcPr>
            <w:tcW w:w="774"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定额标准内</w:t>
            </w:r>
          </w:p>
        </w:tc>
        <w:tc>
          <w:tcPr>
            <w:tcW w:w="933"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8" w:type="pct"/>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96" w:type="pct"/>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84"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40" w:type="pct"/>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396"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584"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pPr>
        <w:spacing w:line="560" w:lineRule="exact"/>
        <w:ind w:firstLine="643"/>
        <w:rPr>
          <w:rFonts w:hAnsi="宋体"/>
          <w:sz w:val="32"/>
          <w:szCs w:val="32"/>
        </w:rPr>
      </w:pPr>
      <w:r>
        <w:rPr>
          <w:rFonts w:hint="eastAsia" w:hAnsi="宋体"/>
          <w:b/>
          <w:bCs/>
          <w:sz w:val="32"/>
          <w:szCs w:val="32"/>
        </w:rPr>
        <w:t>成本控制情况：</w:t>
      </w:r>
      <w:r>
        <w:rPr>
          <w:rFonts w:hint="eastAsia" w:hAnsi="宋体"/>
          <w:sz w:val="32"/>
          <w:szCs w:val="32"/>
        </w:rPr>
        <w:t>我院全省法院业务费年度指标为在定额标准内，实际完成值100%-80%（含），分值</w:t>
      </w:r>
      <w:r>
        <w:rPr>
          <w:rFonts w:hint="eastAsia" w:hAnsi="宋体"/>
          <w:sz w:val="32"/>
          <w:szCs w:val="32"/>
          <w:lang w:val="en-US" w:eastAsia="zh-CN"/>
        </w:rPr>
        <w:t>2</w:t>
      </w:r>
      <w:r>
        <w:rPr>
          <w:rFonts w:hint="eastAsia" w:hAnsi="宋体"/>
          <w:sz w:val="32"/>
          <w:szCs w:val="32"/>
        </w:rPr>
        <w:t>0分，得分</w:t>
      </w:r>
      <w:r>
        <w:rPr>
          <w:rFonts w:hint="eastAsia" w:hAnsi="宋体"/>
          <w:sz w:val="32"/>
          <w:szCs w:val="32"/>
          <w:lang w:val="en-US" w:eastAsia="zh-CN"/>
        </w:rPr>
        <w:t>18</w:t>
      </w:r>
      <w:r>
        <w:rPr>
          <w:rFonts w:hint="eastAsia" w:hAnsi="宋体"/>
          <w:sz w:val="32"/>
          <w:szCs w:val="32"/>
        </w:rPr>
        <w:t>分，得分率</w:t>
      </w:r>
      <w:r>
        <w:rPr>
          <w:rFonts w:hint="eastAsia" w:hAnsi="宋体"/>
          <w:sz w:val="32"/>
          <w:szCs w:val="32"/>
          <w:lang w:val="en-US" w:eastAsia="zh-CN"/>
        </w:rPr>
        <w:t>9</w:t>
      </w:r>
      <w:r>
        <w:rPr>
          <w:rFonts w:hint="eastAsia" w:hAnsi="宋体"/>
          <w:sz w:val="32"/>
          <w:szCs w:val="32"/>
        </w:rPr>
        <w:t>0.00%。这表明</w:t>
      </w:r>
      <w:r>
        <w:rPr>
          <w:rFonts w:hint="eastAsia" w:hAnsi="宋体"/>
          <w:sz w:val="32"/>
          <w:szCs w:val="32"/>
          <w:lang w:val="en-US" w:eastAsia="zh-CN"/>
        </w:rPr>
        <w:t>我</w:t>
      </w:r>
      <w:r>
        <w:rPr>
          <w:rFonts w:hint="eastAsia" w:hAnsi="宋体"/>
          <w:sz w:val="32"/>
          <w:szCs w:val="32"/>
        </w:rPr>
        <w:t>院在成本管控方面较为有效，能够将成本控制在既定标准范围内，体现了良好的财务管理和资源调配能力</w:t>
      </w:r>
      <w:r>
        <w:rPr>
          <w:rFonts w:hAnsi="宋体"/>
          <w:sz w:val="32"/>
          <w:szCs w:val="32"/>
        </w:rPr>
        <w:t>。</w:t>
      </w:r>
    </w:p>
    <w:p>
      <w:pPr>
        <w:spacing w:line="560" w:lineRule="exact"/>
        <w:ind w:firstLine="643"/>
        <w:rPr>
          <w:b/>
          <w:bCs/>
          <w:sz w:val="32"/>
          <w:szCs w:val="32"/>
        </w:rPr>
      </w:pPr>
      <w:r>
        <w:rPr>
          <w:rFonts w:hint="eastAsia"/>
          <w:b/>
          <w:bCs/>
          <w:sz w:val="32"/>
          <w:szCs w:val="32"/>
        </w:rPr>
        <w:t>（2）产出指标</w:t>
      </w:r>
    </w:p>
    <w:p>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38.48</w:t>
      </w:r>
      <w:r>
        <w:rPr>
          <w:rFonts w:hint="eastAsia" w:cs="仿宋_GB2312"/>
          <w:sz w:val="32"/>
          <w:szCs w:val="32"/>
        </w:rPr>
        <w:t>分，得分率为</w:t>
      </w:r>
      <w:r>
        <w:rPr>
          <w:rFonts w:hint="eastAsia" w:cs="仿宋_GB2312"/>
          <w:sz w:val="32"/>
          <w:szCs w:val="32"/>
          <w:lang w:val="en-US" w:eastAsia="zh-CN"/>
        </w:rPr>
        <w:t>96.20</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3"/>
        <w:gridCol w:w="2655"/>
        <w:gridCol w:w="1365"/>
        <w:gridCol w:w="1455"/>
        <w:gridCol w:w="630"/>
        <w:gridCol w:w="750"/>
        <w:gridCol w:w="9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5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3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结案率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93.14</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设备采购率</w:t>
            </w:r>
          </w:p>
        </w:tc>
        <w:tc>
          <w:tcPr>
            <w:tcW w:w="136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color w:val="000000"/>
                <w:kern w:val="0"/>
                <w:sz w:val="20"/>
                <w:szCs w:val="20"/>
                <w:highlight w:val="none"/>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物业管理面积</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=18953平方米</w:t>
            </w:r>
          </w:p>
        </w:tc>
        <w:tc>
          <w:tcPr>
            <w:tcW w:w="145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18953</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信息化运维服务完成率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维修维护项目验收合格率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物业管理合格率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信息化运维服务验收合格率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一审服判息诉率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66.67</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74.17%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办案经费支付及时率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&gt;=100%</w:t>
            </w:r>
          </w:p>
        </w:tc>
        <w:tc>
          <w:tcPr>
            <w:tcW w:w="145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法定审限内结案率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45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95.32</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维修修护及时性</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3"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26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信息化运维工作及时性</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75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8"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3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38.48</w:t>
            </w:r>
          </w:p>
        </w:tc>
        <w:tc>
          <w:tcPr>
            <w:tcW w:w="9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96.20%</w:t>
            </w:r>
          </w:p>
        </w:tc>
      </w:tr>
    </w:tbl>
    <w:p>
      <w:pPr>
        <w:spacing w:line="56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结案率：</w:t>
      </w:r>
      <w:r>
        <w:rPr>
          <w:rFonts w:hint="eastAsia"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eastAsia" w:ascii="仿宋_GB2312" w:hAnsi="仿宋_GB2312" w:eastAsia="仿宋_GB2312" w:cs="仿宋_GB2312"/>
          <w:b w:val="0"/>
          <w:bCs w:val="0"/>
          <w:sz w:val="32"/>
          <w:szCs w:val="32"/>
        </w:rPr>
        <w:t>90%，立案总数</w:t>
      </w:r>
      <w:r>
        <w:rPr>
          <w:rFonts w:hint="eastAsia" w:cs="仿宋_GB2312"/>
          <w:b w:val="0"/>
          <w:bCs w:val="0"/>
          <w:sz w:val="32"/>
          <w:szCs w:val="32"/>
          <w:lang w:val="en-US" w:eastAsia="zh-CN"/>
        </w:rPr>
        <w:t>等于结案总数3322件，</w:t>
      </w:r>
      <w:r>
        <w:rPr>
          <w:rFonts w:hint="eastAsia" w:ascii="仿宋_GB2312" w:hAnsi="仿宋_GB2312" w:eastAsia="仿宋_GB2312" w:cs="仿宋_GB2312"/>
          <w:b w:val="0"/>
          <w:bCs w:val="0"/>
          <w:sz w:val="32"/>
          <w:szCs w:val="32"/>
        </w:rPr>
        <w:t>实际完成值为</w:t>
      </w:r>
      <w:r>
        <w:rPr>
          <w:rFonts w:hint="eastAsia" w:cs="仿宋_GB2312"/>
          <w:b w:val="0"/>
          <w:bCs w:val="0"/>
          <w:sz w:val="32"/>
          <w:szCs w:val="32"/>
          <w:lang w:val="en-US" w:eastAsia="zh-CN"/>
        </w:rPr>
        <w:t>93.14%</w:t>
      </w:r>
      <w:r>
        <w:rPr>
          <w:rFonts w:hint="eastAsia" w:ascii="仿宋_GB2312" w:hAnsi="仿宋_GB2312" w:eastAsia="仿宋_GB2312" w:cs="仿宋_GB2312"/>
          <w:b w:val="0"/>
          <w:bCs w:val="0"/>
          <w:sz w:val="32"/>
          <w:szCs w:val="32"/>
        </w:rPr>
        <w:t>，分值3.33分，得分3.33分，得分率100.00%。说</w:t>
      </w:r>
      <w:r>
        <w:rPr>
          <w:rFonts w:hint="eastAsia" w:cs="仿宋_GB2312"/>
          <w:b w:val="0"/>
          <w:bCs w:val="0"/>
          <w:sz w:val="32"/>
          <w:szCs w:val="32"/>
          <w:lang w:eastAsia="zh-CN"/>
        </w:rPr>
        <w:t>明我</w:t>
      </w:r>
      <w:r>
        <w:rPr>
          <w:rFonts w:hint="eastAsia" w:ascii="仿宋_GB2312" w:hAnsi="仿宋_GB2312" w:eastAsia="仿宋_GB2312" w:cs="仿宋_GB2312"/>
          <w:b w:val="0"/>
          <w:bCs w:val="0"/>
          <w:sz w:val="32"/>
          <w:szCs w:val="32"/>
        </w:rPr>
        <w:t>院案件处理效率高，能及时处理各类案件，有效避免案件积压，保障司法程序的高效推进，维护当事人合法权益和司法秩序。</w:t>
      </w:r>
    </w:p>
    <w:p>
      <w:pPr>
        <w:spacing w:line="56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设备采购率：</w:t>
      </w:r>
      <w:r>
        <w:rPr>
          <w:rFonts w:hint="eastAsia" w:ascii="仿宋_GB2312" w:hAnsi="仿宋_GB2312" w:eastAsia="仿宋_GB2312" w:cs="仿宋_GB2312"/>
          <w:b w:val="0"/>
          <w:bCs w:val="0"/>
          <w:sz w:val="32"/>
          <w:szCs w:val="32"/>
        </w:rPr>
        <w:t>年度指标</w:t>
      </w:r>
      <w:r>
        <w:rPr>
          <w:rFonts w:hint="eastAsia" w:cs="仿宋_GB2312"/>
          <w:b w:val="0"/>
          <w:bCs w:val="0"/>
          <w:sz w:val="32"/>
          <w:szCs w:val="32"/>
          <w:lang w:val="en-US" w:eastAsia="zh-CN"/>
        </w:rPr>
        <w:t>100%</w:t>
      </w:r>
      <w:r>
        <w:rPr>
          <w:rFonts w:hint="eastAsia" w:ascii="仿宋_GB2312" w:hAnsi="仿宋_GB2312" w:eastAsia="仿宋_GB2312" w:cs="仿宋_GB2312"/>
          <w:b w:val="0"/>
          <w:bCs w:val="0"/>
          <w:sz w:val="32"/>
          <w:szCs w:val="32"/>
        </w:rPr>
        <w:t>，实际完成值</w:t>
      </w:r>
      <w:r>
        <w:rPr>
          <w:rFonts w:hint="eastAsia" w:cs="仿宋_GB2312"/>
          <w:b w:val="0"/>
          <w:bCs w:val="0"/>
          <w:sz w:val="32"/>
          <w:szCs w:val="32"/>
          <w:lang w:val="en-US" w:eastAsia="zh-CN"/>
        </w:rPr>
        <w:t>100%</w:t>
      </w:r>
      <w:r>
        <w:rPr>
          <w:rFonts w:hint="eastAsia" w:ascii="仿宋_GB2312" w:hAnsi="仿宋_GB2312" w:eastAsia="仿宋_GB2312" w:cs="仿宋_GB2312"/>
          <w:b w:val="0"/>
          <w:bCs w:val="0"/>
          <w:sz w:val="32"/>
          <w:szCs w:val="32"/>
        </w:rPr>
        <w:t>，分值3.33分，得分</w:t>
      </w:r>
      <w:r>
        <w:rPr>
          <w:rFonts w:hint="eastAsia" w:cs="仿宋_GB2312"/>
          <w:b w:val="0"/>
          <w:bCs w:val="0"/>
          <w:sz w:val="32"/>
          <w:szCs w:val="32"/>
          <w:lang w:val="en-US" w:eastAsia="zh-CN"/>
        </w:rPr>
        <w:t>3.33</w:t>
      </w:r>
      <w:r>
        <w:rPr>
          <w:rFonts w:hint="eastAsia" w:ascii="仿宋_GB2312" w:hAnsi="仿宋_GB2312" w:eastAsia="仿宋_GB2312" w:cs="仿宋_GB2312"/>
          <w:b w:val="0"/>
          <w:bCs w:val="0"/>
          <w:sz w:val="32"/>
          <w:szCs w:val="32"/>
        </w:rPr>
        <w:t>分，得分率</w:t>
      </w:r>
      <w:r>
        <w:rPr>
          <w:rFonts w:hint="eastAsia"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rPr>
        <w:t>设备购置工作已完成，仍需进一步提升工作精细化水平。</w:t>
      </w:r>
    </w:p>
    <w:p>
      <w:pPr>
        <w:spacing w:line="560" w:lineRule="exact"/>
        <w:ind w:firstLine="640"/>
        <w:rPr>
          <w:rFonts w:hint="eastAsia"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 物业管理面积：</w:t>
      </w:r>
      <w:r>
        <w:rPr>
          <w:rFonts w:hint="default" w:ascii="仿宋_GB2312" w:hAnsi="仿宋_GB2312" w:eastAsia="仿宋_GB2312" w:cs="仿宋_GB2312"/>
          <w:b w:val="0"/>
          <w:bCs w:val="0"/>
          <w:sz w:val="32"/>
          <w:szCs w:val="32"/>
        </w:rPr>
        <w:t>年度指标为18953平方米，实际完成值18953平方米，分值3.33分，得分3.33分，得分率100.00%。意味着法院在物业管理方面精准达标，对相关场地设施的管理维护到位，为法院正常运转提供了良好的硬件环境保障。</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信息化运维服务完成率：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default" w:ascii="仿宋_GB2312" w:hAnsi="仿宋_GB2312" w:eastAsia="仿宋_GB2312" w:cs="仿宋_GB2312"/>
          <w:b w:val="0"/>
          <w:bCs w:val="0"/>
          <w:sz w:val="32"/>
          <w:szCs w:val="32"/>
        </w:rPr>
        <w:t>100%，实际完成值100，分值3.33分，得分3.33分，得分率100.00%。体现法院在信息化建设与运维工作中落实到位，保证了信息化系统的正常运行，助力法院工作的信息化、智能化发展，提升办公办案效率。</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维修修护项目验收合格率：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default" w:ascii="仿宋_GB2312" w:hAnsi="仿宋_GB2312" w:eastAsia="仿宋_GB2312" w:cs="仿宋_GB2312"/>
          <w:b w:val="0"/>
          <w:bCs w:val="0"/>
          <w:sz w:val="32"/>
          <w:szCs w:val="32"/>
        </w:rPr>
        <w:t>100%，实际完成值100，分值3.33分，得分3.33分，得分率100.00%。表</w:t>
      </w:r>
      <w:r>
        <w:rPr>
          <w:rFonts w:hint="eastAsia" w:cs="仿宋_GB2312"/>
          <w:b w:val="0"/>
          <w:bCs w:val="0"/>
          <w:sz w:val="32"/>
          <w:szCs w:val="32"/>
          <w:lang w:eastAsia="zh-CN"/>
        </w:rPr>
        <w:t>明我</w:t>
      </w:r>
      <w:r>
        <w:rPr>
          <w:rFonts w:hint="default" w:ascii="仿宋_GB2312" w:hAnsi="仿宋_GB2312" w:eastAsia="仿宋_GB2312" w:cs="仿宋_GB2312"/>
          <w:b w:val="0"/>
          <w:bCs w:val="0"/>
          <w:sz w:val="32"/>
          <w:szCs w:val="32"/>
        </w:rPr>
        <w:t>院对维修修护项目的质量把控严格，确保各类设施设备维修后能正常、安全使用，为法院日常工作提供可靠的设施基础。</w:t>
      </w:r>
    </w:p>
    <w:p>
      <w:pPr>
        <w:spacing w:line="560" w:lineRule="exact"/>
        <w:ind w:firstLine="643"/>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物业管理合格率：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default" w:ascii="仿宋_GB2312" w:hAnsi="仿宋_GB2312" w:eastAsia="仿宋_GB2312" w:cs="仿宋_GB2312"/>
          <w:b w:val="0"/>
          <w:bCs w:val="0"/>
          <w:sz w:val="32"/>
          <w:szCs w:val="32"/>
        </w:rPr>
        <w:t>100%，实际完成值100，分值3.33分，得分3.33分，得分率100.00%。说</w:t>
      </w:r>
      <w:r>
        <w:rPr>
          <w:rFonts w:hint="eastAsia" w:cs="仿宋_GB2312"/>
          <w:b w:val="0"/>
          <w:bCs w:val="0"/>
          <w:sz w:val="32"/>
          <w:szCs w:val="32"/>
          <w:lang w:eastAsia="zh-CN"/>
        </w:rPr>
        <w:t>明我</w:t>
      </w:r>
      <w:r>
        <w:rPr>
          <w:rFonts w:hint="default" w:ascii="仿宋_GB2312" w:hAnsi="仿宋_GB2312" w:eastAsia="仿宋_GB2312" w:cs="仿宋_GB2312"/>
          <w:b w:val="0"/>
          <w:bCs w:val="0"/>
          <w:sz w:val="32"/>
          <w:szCs w:val="32"/>
        </w:rPr>
        <w:t>院物业管理工作规范且达标，在环境卫生、设施管理等方面达到较高水平，营造了良好的办公和司法服务环境。</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信息化运维服务验收合格率：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default" w:ascii="仿宋_GB2312" w:hAnsi="仿宋_GB2312" w:eastAsia="仿宋_GB2312" w:cs="仿宋_GB2312"/>
          <w:b w:val="0"/>
          <w:bCs w:val="0"/>
          <w:sz w:val="32"/>
          <w:szCs w:val="32"/>
        </w:rPr>
        <w:t>100%，实际完成值100，分值3.33分，得分3.33分，得分率100.00%。</w:t>
      </w:r>
      <w:r>
        <w:rPr>
          <w:rFonts w:hint="eastAsia" w:cs="仿宋_GB2312"/>
          <w:b w:val="0"/>
          <w:bCs w:val="0"/>
          <w:sz w:val="32"/>
          <w:szCs w:val="32"/>
          <w:lang w:eastAsia="zh-CN"/>
        </w:rPr>
        <w:t>反映出我</w:t>
      </w:r>
      <w:r>
        <w:rPr>
          <w:rFonts w:hint="default" w:ascii="仿宋_GB2312" w:hAnsi="仿宋_GB2312" w:eastAsia="仿宋_GB2312" w:cs="仿宋_GB2312"/>
          <w:b w:val="0"/>
          <w:bCs w:val="0"/>
          <w:sz w:val="32"/>
          <w:szCs w:val="32"/>
        </w:rPr>
        <w:t>院对信息化运维服务的验收工作严谨，保障了信息化服务质量，确保信息技术在司法工作中稳定、高效发挥作用。</w:t>
      </w:r>
    </w:p>
    <w:p>
      <w:pPr>
        <w:spacing w:line="560" w:lineRule="exact"/>
        <w:ind w:firstLine="643"/>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一审服判息诉率：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val="en-US" w:eastAsia="zh-CN"/>
        </w:rPr>
        <w:t>大于</w:t>
      </w:r>
      <w:r>
        <w:rPr>
          <w:rFonts w:hint="default" w:ascii="仿宋_GB2312" w:hAnsi="仿宋_GB2312" w:eastAsia="仿宋_GB2312" w:cs="仿宋_GB2312"/>
          <w:b w:val="0"/>
          <w:bCs w:val="0"/>
          <w:sz w:val="32"/>
          <w:szCs w:val="32"/>
        </w:rPr>
        <w:t>90%，一审案件数57</w:t>
      </w:r>
      <w:r>
        <w:rPr>
          <w:rFonts w:hint="eastAsia" w:cs="仿宋_GB2312"/>
          <w:b w:val="0"/>
          <w:bCs w:val="0"/>
          <w:sz w:val="32"/>
          <w:szCs w:val="32"/>
          <w:lang w:val="en-US" w:eastAsia="zh-CN"/>
        </w:rPr>
        <w:t>件，</w:t>
      </w:r>
      <w:r>
        <w:rPr>
          <w:rFonts w:hint="default" w:ascii="仿宋_GB2312" w:hAnsi="仿宋_GB2312" w:eastAsia="仿宋_GB2312" w:cs="仿宋_GB2312"/>
          <w:b w:val="0"/>
          <w:bCs w:val="0"/>
          <w:sz w:val="32"/>
          <w:szCs w:val="32"/>
        </w:rPr>
        <w:t>一审服判息诉数</w:t>
      </w:r>
      <w:r>
        <w:rPr>
          <w:rFonts w:hint="eastAsia" w:cs="仿宋_GB2312"/>
          <w:b w:val="0"/>
          <w:bCs w:val="0"/>
          <w:sz w:val="32"/>
          <w:szCs w:val="32"/>
          <w:lang w:val="en-US" w:eastAsia="zh-CN"/>
        </w:rPr>
        <w:t>38件，</w:t>
      </w:r>
      <w:r>
        <w:rPr>
          <w:rFonts w:hint="default" w:ascii="仿宋_GB2312" w:hAnsi="仿宋_GB2312" w:eastAsia="仿宋_GB2312" w:cs="仿宋_GB2312"/>
          <w:b w:val="0"/>
          <w:bCs w:val="0"/>
          <w:sz w:val="32"/>
          <w:szCs w:val="32"/>
        </w:rPr>
        <w:t>实际完成值</w:t>
      </w:r>
      <w:r>
        <w:rPr>
          <w:rFonts w:hint="eastAsia" w:cs="仿宋_GB2312"/>
          <w:b w:val="0"/>
          <w:bCs w:val="0"/>
          <w:sz w:val="32"/>
          <w:szCs w:val="32"/>
          <w:lang w:val="en-US" w:eastAsia="zh-CN"/>
        </w:rPr>
        <w:t>66.67%</w:t>
      </w:r>
      <w:r>
        <w:rPr>
          <w:rFonts w:hint="default" w:ascii="仿宋_GB2312" w:hAnsi="仿宋_GB2312" w:eastAsia="仿宋_GB2312" w:cs="仿宋_GB2312"/>
          <w:b w:val="0"/>
          <w:bCs w:val="0"/>
          <w:sz w:val="32"/>
          <w:szCs w:val="32"/>
        </w:rPr>
        <w:t>，分值3.33分，得分</w:t>
      </w:r>
      <w:r>
        <w:rPr>
          <w:rFonts w:hint="eastAsia" w:cs="仿宋_GB2312"/>
          <w:b w:val="0"/>
          <w:bCs w:val="0"/>
          <w:sz w:val="32"/>
          <w:szCs w:val="32"/>
          <w:lang w:val="en-US" w:eastAsia="zh-CN"/>
        </w:rPr>
        <w:t>2.47</w:t>
      </w:r>
      <w:r>
        <w:rPr>
          <w:rFonts w:hint="default" w:ascii="仿宋_GB2312" w:hAnsi="仿宋_GB2312" w:eastAsia="仿宋_GB2312" w:cs="仿宋_GB2312"/>
          <w:b w:val="0"/>
          <w:bCs w:val="0"/>
          <w:sz w:val="32"/>
          <w:szCs w:val="32"/>
        </w:rPr>
        <w:t>分，得分率</w:t>
      </w:r>
      <w:r>
        <w:rPr>
          <w:rFonts w:hint="eastAsia" w:cs="仿宋_GB2312"/>
          <w:b w:val="0"/>
          <w:bCs w:val="0"/>
          <w:sz w:val="32"/>
          <w:szCs w:val="32"/>
          <w:lang w:val="en-US" w:eastAsia="zh-CN"/>
        </w:rPr>
        <w:t>74.17</w:t>
      </w:r>
      <w:r>
        <w:rPr>
          <w:rFonts w:hint="default" w:ascii="仿宋_GB2312" w:hAnsi="仿宋_GB2312" w:eastAsia="仿宋_GB2312" w:cs="仿宋_GB2312"/>
          <w:b w:val="0"/>
          <w:bCs w:val="0"/>
          <w:sz w:val="32"/>
          <w:szCs w:val="32"/>
        </w:rPr>
        <w:t>%。说</w:t>
      </w:r>
      <w:r>
        <w:rPr>
          <w:rFonts w:hint="eastAsia" w:cs="仿宋_GB2312"/>
          <w:b w:val="0"/>
          <w:bCs w:val="0"/>
          <w:sz w:val="32"/>
          <w:szCs w:val="32"/>
          <w:lang w:eastAsia="zh-CN"/>
        </w:rPr>
        <w:t>明我</w:t>
      </w:r>
      <w:r>
        <w:rPr>
          <w:rFonts w:hint="default" w:ascii="仿宋_GB2312" w:hAnsi="仿宋_GB2312" w:eastAsia="仿宋_GB2312" w:cs="仿宋_GB2312"/>
          <w:b w:val="0"/>
          <w:bCs w:val="0"/>
          <w:sz w:val="32"/>
          <w:szCs w:val="32"/>
        </w:rPr>
        <w:t>院一审案件审判质量较高，能让多数当事人认可判决结果，有效减少上诉情况，促进司法资源合理利用，维护司法权威。</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办案费支付及时率：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val="en-US" w:eastAsia="zh-CN"/>
        </w:rPr>
        <w:t>大于等于</w:t>
      </w:r>
      <w:r>
        <w:rPr>
          <w:rFonts w:hint="default" w:ascii="仿宋_GB2312" w:hAnsi="仿宋_GB2312" w:eastAsia="仿宋_GB2312" w:cs="仿宋_GB2312"/>
          <w:b w:val="0"/>
          <w:bCs w:val="0"/>
          <w:sz w:val="32"/>
          <w:szCs w:val="32"/>
        </w:rPr>
        <w:t>100%，实际完成值100，分值3.33分，得分3.33分，得分率100.00%。体现法院在经费管理和支付流程上规范高效，能及时支付办案所需费用，保障案件办理工作顺利开展，避免因经费问题影响司法进程。</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法定审限内结案率：</w:t>
      </w:r>
      <w:r>
        <w:rPr>
          <w:rFonts w:hint="default" w:ascii="仿宋_GB2312" w:hAnsi="仿宋_GB2312" w:eastAsia="仿宋_GB2312" w:cs="仿宋_GB2312"/>
          <w:b w:val="0"/>
          <w:bCs w:val="0"/>
          <w:sz w:val="32"/>
          <w:szCs w:val="32"/>
        </w:rPr>
        <w:t>年度指标</w:t>
      </w:r>
      <w:r>
        <w:rPr>
          <w:rFonts w:hint="eastAsia" w:cs="仿宋_GB2312"/>
          <w:b w:val="0"/>
          <w:bCs w:val="0"/>
          <w:sz w:val="32"/>
          <w:szCs w:val="32"/>
          <w:lang w:eastAsia="zh-CN"/>
        </w:rPr>
        <w:t>大于等于</w:t>
      </w:r>
      <w:r>
        <w:rPr>
          <w:rFonts w:hint="default" w:ascii="仿宋_GB2312" w:hAnsi="仿宋_GB2312" w:eastAsia="仿宋_GB2312" w:cs="仿宋_GB2312"/>
          <w:b w:val="0"/>
          <w:bCs w:val="0"/>
          <w:sz w:val="32"/>
          <w:szCs w:val="32"/>
        </w:rPr>
        <w:t>90%，实际完成值95.32</w:t>
      </w:r>
      <w:r>
        <w:rPr>
          <w:rFonts w:hint="eastAsia" w:cs="仿宋_GB2312"/>
          <w:b w:val="0"/>
          <w:bCs w:val="0"/>
          <w:sz w:val="32"/>
          <w:szCs w:val="32"/>
          <w:lang w:val="en-US" w:eastAsia="zh-CN"/>
        </w:rPr>
        <w:t>%</w:t>
      </w:r>
      <w:r>
        <w:rPr>
          <w:rFonts w:hint="default" w:ascii="仿宋_GB2312" w:hAnsi="仿宋_GB2312" w:eastAsia="仿宋_GB2312" w:cs="仿宋_GB2312"/>
          <w:b w:val="0"/>
          <w:bCs w:val="0"/>
          <w:sz w:val="32"/>
          <w:szCs w:val="32"/>
        </w:rPr>
        <w:t>，分值3.37分，得分3.</w:t>
      </w:r>
      <w:r>
        <w:rPr>
          <w:rFonts w:hint="eastAsia" w:cs="仿宋_GB2312"/>
          <w:b w:val="0"/>
          <w:bCs w:val="0"/>
          <w:sz w:val="32"/>
          <w:szCs w:val="32"/>
          <w:lang w:val="en-US" w:eastAsia="zh-CN"/>
        </w:rPr>
        <w:t>37</w:t>
      </w:r>
      <w:r>
        <w:rPr>
          <w:rFonts w:hint="default" w:ascii="仿宋_GB2312" w:hAnsi="仿宋_GB2312" w:eastAsia="仿宋_GB2312" w:cs="仿宋_GB2312"/>
          <w:b w:val="0"/>
          <w:bCs w:val="0"/>
          <w:sz w:val="32"/>
          <w:szCs w:val="32"/>
        </w:rPr>
        <w:t>分，得分率</w:t>
      </w:r>
      <w:r>
        <w:rPr>
          <w:rFonts w:hint="eastAsia" w:cs="仿宋_GB2312"/>
          <w:b w:val="0"/>
          <w:bCs w:val="0"/>
          <w:sz w:val="32"/>
          <w:szCs w:val="32"/>
          <w:lang w:val="en-US" w:eastAsia="zh-CN"/>
        </w:rPr>
        <w:t>100</w:t>
      </w:r>
      <w:r>
        <w:rPr>
          <w:rFonts w:hint="default" w:ascii="仿宋_GB2312" w:hAnsi="仿宋_GB2312" w:eastAsia="仿宋_GB2312" w:cs="仿宋_GB2312"/>
          <w:b w:val="0"/>
          <w:bCs w:val="0"/>
          <w:sz w:val="32"/>
          <w:szCs w:val="32"/>
        </w:rPr>
        <w:t>%。显示法院在法定审限内结案工作成效显著，绝大多数案件能在规定时间内审结，保障了司法效率和当事人权益，不过仍有细微提升之处。</w:t>
      </w:r>
    </w:p>
    <w:p>
      <w:pPr>
        <w:spacing w:line="560" w:lineRule="exact"/>
        <w:ind w:firstLine="643"/>
        <w:rPr>
          <w:rFonts w:hint="default"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维修修护支付及时性：</w:t>
      </w:r>
      <w:r>
        <w:rPr>
          <w:rFonts w:hint="default" w:ascii="仿宋_GB2312" w:hAnsi="仿宋_GB2312" w:eastAsia="仿宋_GB2312" w:cs="仿宋_GB2312"/>
          <w:b w:val="0"/>
          <w:bCs w:val="0"/>
          <w:sz w:val="32"/>
          <w:szCs w:val="32"/>
        </w:rPr>
        <w:t>年度指标为及时，实际完成值在</w:t>
      </w:r>
      <w:r>
        <w:rPr>
          <w:rFonts w:hint="eastAsia" w:cs="仿宋_GB2312"/>
          <w:b w:val="0"/>
          <w:bCs w:val="0"/>
          <w:sz w:val="32"/>
          <w:szCs w:val="32"/>
          <w:lang w:val="en-US" w:eastAsia="zh-CN"/>
        </w:rPr>
        <w:t>1</w:t>
      </w:r>
      <w:r>
        <w:rPr>
          <w:rFonts w:hint="default" w:ascii="仿宋_GB2312" w:hAnsi="仿宋_GB2312" w:eastAsia="仿宋_GB2312" w:cs="仿宋_GB2312"/>
          <w:b w:val="0"/>
          <w:bCs w:val="0"/>
          <w:sz w:val="32"/>
          <w:szCs w:val="32"/>
        </w:rPr>
        <w:t>00%-80%（含），分值3.33分，得分3分，得分率90.09%。表</w:t>
      </w:r>
      <w:r>
        <w:rPr>
          <w:rFonts w:hint="eastAsia" w:cs="仿宋_GB2312"/>
          <w:b w:val="0"/>
          <w:bCs w:val="0"/>
          <w:sz w:val="32"/>
          <w:szCs w:val="32"/>
          <w:lang w:eastAsia="zh-CN"/>
        </w:rPr>
        <w:t>明我</w:t>
      </w:r>
      <w:r>
        <w:rPr>
          <w:rFonts w:hint="default" w:ascii="仿宋_GB2312" w:hAnsi="仿宋_GB2312" w:eastAsia="仿宋_GB2312" w:cs="仿宋_GB2312"/>
          <w:b w:val="0"/>
          <w:bCs w:val="0"/>
          <w:sz w:val="32"/>
          <w:szCs w:val="32"/>
        </w:rPr>
        <w:t>院在维修修护费用支付方面较为及时，能较好保障维修修护工作的顺利进行。</w:t>
      </w:r>
    </w:p>
    <w:p>
      <w:pPr>
        <w:spacing w:line="560" w:lineRule="exact"/>
        <w:ind w:firstLine="643"/>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信息化运维工作及时性：</w:t>
      </w:r>
      <w:r>
        <w:rPr>
          <w:rFonts w:hint="default" w:ascii="仿宋_GB2312" w:hAnsi="仿宋_GB2312" w:eastAsia="仿宋_GB2312" w:cs="仿宋_GB2312"/>
          <w:b w:val="0"/>
          <w:bCs w:val="0"/>
          <w:sz w:val="32"/>
          <w:szCs w:val="32"/>
        </w:rPr>
        <w:t>年度指标为及时</w:t>
      </w:r>
      <w:r>
        <w:rPr>
          <w:rFonts w:hint="eastAsia" w:cs="仿宋_GB2312"/>
          <w:b w:val="0"/>
          <w:bCs w:val="0"/>
          <w:sz w:val="32"/>
          <w:szCs w:val="32"/>
          <w:lang w:eastAsia="zh-CN"/>
        </w:rPr>
        <w:t>，</w:t>
      </w:r>
      <w:r>
        <w:rPr>
          <w:rFonts w:hint="default" w:ascii="仿宋_GB2312" w:hAnsi="仿宋_GB2312" w:eastAsia="仿宋_GB2312" w:cs="仿宋_GB2312"/>
          <w:b w:val="0"/>
          <w:bCs w:val="0"/>
          <w:sz w:val="32"/>
          <w:szCs w:val="32"/>
        </w:rPr>
        <w:t>实际完成值在在</w:t>
      </w:r>
      <w:r>
        <w:rPr>
          <w:rFonts w:hint="eastAsia" w:cs="仿宋_GB2312"/>
          <w:b w:val="0"/>
          <w:bCs w:val="0"/>
          <w:sz w:val="32"/>
          <w:szCs w:val="32"/>
          <w:lang w:val="en-US" w:eastAsia="zh-CN"/>
        </w:rPr>
        <w:t>1</w:t>
      </w:r>
      <w:r>
        <w:rPr>
          <w:rFonts w:hint="default" w:ascii="仿宋_GB2312" w:hAnsi="仿宋_GB2312" w:eastAsia="仿宋_GB2312" w:cs="仿宋_GB2312"/>
          <w:b w:val="0"/>
          <w:bCs w:val="0"/>
          <w:sz w:val="32"/>
          <w:szCs w:val="32"/>
        </w:rPr>
        <w:t>00%-80%（含），分值3.33分，得分3分，得分率90.09%。说</w:t>
      </w:r>
      <w:r>
        <w:rPr>
          <w:rFonts w:hint="eastAsia" w:cs="仿宋_GB2312"/>
          <w:b w:val="0"/>
          <w:bCs w:val="0"/>
          <w:sz w:val="32"/>
          <w:szCs w:val="32"/>
          <w:lang w:eastAsia="zh-CN"/>
        </w:rPr>
        <w:t>明我</w:t>
      </w:r>
      <w:r>
        <w:rPr>
          <w:rFonts w:hint="default" w:ascii="仿宋_GB2312" w:hAnsi="仿宋_GB2312" w:eastAsia="仿宋_GB2312" w:cs="仿宋_GB2312"/>
          <w:b w:val="0"/>
          <w:bCs w:val="0"/>
          <w:sz w:val="32"/>
          <w:szCs w:val="32"/>
        </w:rPr>
        <w:t>院在信息化运维工作响应和处理上较为及时，能保障信息化系统正常运行。</w:t>
      </w:r>
    </w:p>
    <w:p>
      <w:pPr>
        <w:spacing w:line="560" w:lineRule="exact"/>
        <w:ind w:firstLine="643"/>
        <w:rPr>
          <w:b/>
          <w:bCs/>
          <w:sz w:val="32"/>
          <w:szCs w:val="32"/>
        </w:rPr>
      </w:pPr>
      <w:r>
        <w:rPr>
          <w:rFonts w:hint="eastAsia"/>
          <w:b/>
          <w:bCs/>
          <w:sz w:val="32"/>
          <w:szCs w:val="32"/>
        </w:rPr>
        <w:t>（3）效益指标</w:t>
      </w:r>
    </w:p>
    <w:p>
      <w:pPr>
        <w:spacing w:line="560" w:lineRule="exact"/>
        <w:ind w:firstLine="640"/>
        <w:rPr>
          <w:sz w:val="32"/>
          <w:szCs w:val="32"/>
        </w:rPr>
      </w:pPr>
      <w:r>
        <w:rPr>
          <w:rFonts w:hint="eastAsia"/>
          <w:sz w:val="32"/>
          <w:szCs w:val="32"/>
        </w:rPr>
        <w:t>本项目效益指标主要考虑社会效益</w:t>
      </w:r>
      <w:r>
        <w:rPr>
          <w:rFonts w:hint="eastAsia"/>
          <w:sz w:val="32"/>
          <w:szCs w:val="32"/>
          <w:lang w:val="en-US" w:eastAsia="zh-CN"/>
        </w:rPr>
        <w:t>指标</w:t>
      </w:r>
      <w:r>
        <w:rPr>
          <w:rFonts w:hint="eastAsia"/>
          <w:sz w:val="32"/>
          <w:szCs w:val="32"/>
        </w:rPr>
        <w:t>。总分值20分，得分</w:t>
      </w:r>
      <w:r>
        <w:rPr>
          <w:rFonts w:hint="eastAsia"/>
          <w:sz w:val="32"/>
          <w:szCs w:val="32"/>
          <w:lang w:val="en-US" w:eastAsia="zh-CN"/>
        </w:rPr>
        <w:t>18</w:t>
      </w:r>
      <w:r>
        <w:rPr>
          <w:rFonts w:hint="eastAsia"/>
          <w:sz w:val="32"/>
          <w:szCs w:val="32"/>
        </w:rPr>
        <w:t>分，得分率为</w:t>
      </w:r>
      <w:r>
        <w:rPr>
          <w:rFonts w:hint="eastAsia"/>
          <w:sz w:val="32"/>
          <w:szCs w:val="32"/>
          <w:lang w:val="en-US" w:eastAsia="zh-CN"/>
        </w:rPr>
        <w:t>90</w:t>
      </w:r>
      <w:r>
        <w:rPr>
          <w:rFonts w:hint="eastAsia"/>
          <w:sz w:val="32"/>
          <w:szCs w:val="32"/>
        </w:rPr>
        <w:t>%。</w:t>
      </w:r>
    </w:p>
    <w:tbl>
      <w:tblPr>
        <w:tblStyle w:val="22"/>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23"/>
        <w:gridCol w:w="2790"/>
        <w:gridCol w:w="1230"/>
        <w:gridCol w:w="1455"/>
        <w:gridCol w:w="675"/>
        <w:gridCol w:w="675"/>
        <w:gridCol w:w="82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42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79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3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75"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75"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82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42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挽回经济损失效果</w:t>
            </w:r>
          </w:p>
        </w:tc>
        <w:tc>
          <w:tcPr>
            <w:tcW w:w="12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显著</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423"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维护社会稳定</w:t>
            </w:r>
          </w:p>
        </w:tc>
        <w:tc>
          <w:tcPr>
            <w:tcW w:w="12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良好</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423" w:type="dxa"/>
            <w:vMerge w:val="continue"/>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有效保障审判服务</w:t>
            </w:r>
          </w:p>
        </w:tc>
        <w:tc>
          <w:tcPr>
            <w:tcW w:w="12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trPr>
        <w:tc>
          <w:tcPr>
            <w:tcW w:w="142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打击生态犯罪，维护生态秩序</w:t>
            </w:r>
          </w:p>
        </w:tc>
        <w:tc>
          <w:tcPr>
            <w:tcW w:w="123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有效维护</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4.5</w:t>
            </w:r>
          </w:p>
        </w:tc>
        <w:tc>
          <w:tcPr>
            <w:tcW w:w="82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423" w:type="dxa"/>
            <w:shd w:val="clear" w:color="auto" w:fill="BDD6EE"/>
            <w:vAlign w:val="center"/>
          </w:tcPr>
          <w:p>
            <w:pPr>
              <w:keepNext w:val="0"/>
              <w:keepLines w:val="0"/>
              <w:widowControl/>
              <w:suppressLineNumbers w:val="0"/>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279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123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145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p>
        </w:tc>
        <w:tc>
          <w:tcPr>
            <w:tcW w:w="6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6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82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r>
    </w:tbl>
    <w:p>
      <w:pPr>
        <w:spacing w:line="560" w:lineRule="exact"/>
        <w:ind w:firstLine="643"/>
        <w:rPr>
          <w:rFonts w:hint="eastAsia"/>
          <w:sz w:val="32"/>
          <w:szCs w:val="32"/>
        </w:rPr>
      </w:pPr>
      <w:r>
        <w:rPr>
          <w:rFonts w:hint="eastAsia"/>
          <w:b/>
          <w:bCs/>
          <w:sz w:val="32"/>
          <w:szCs w:val="32"/>
        </w:rPr>
        <w:t>挽回经济损失情况：</w:t>
      </w:r>
      <w:r>
        <w:rPr>
          <w:rFonts w:hint="eastAsia"/>
          <w:sz w:val="32"/>
          <w:szCs w:val="32"/>
        </w:rPr>
        <w:t>年度指标为显著，实际完成值100%-80%（含），分值</w:t>
      </w:r>
      <w:r>
        <w:rPr>
          <w:rFonts w:hint="eastAsia"/>
          <w:sz w:val="32"/>
          <w:szCs w:val="32"/>
          <w:lang w:val="en-US" w:eastAsia="zh-CN"/>
        </w:rPr>
        <w:t>5</w:t>
      </w:r>
      <w:r>
        <w:rPr>
          <w:rFonts w:hint="eastAsia"/>
          <w:sz w:val="32"/>
          <w:szCs w:val="32"/>
        </w:rPr>
        <w:t>分，得分4.</w:t>
      </w:r>
      <w:r>
        <w:rPr>
          <w:rFonts w:hint="eastAsia"/>
          <w:sz w:val="32"/>
          <w:szCs w:val="32"/>
          <w:lang w:val="en-US" w:eastAsia="zh-CN"/>
        </w:rPr>
        <w:t>5</w:t>
      </w:r>
      <w:r>
        <w:rPr>
          <w:rFonts w:hint="eastAsia"/>
          <w:sz w:val="32"/>
          <w:szCs w:val="32"/>
        </w:rPr>
        <w:t>分，得分率9</w:t>
      </w:r>
      <w:r>
        <w:rPr>
          <w:rFonts w:hint="eastAsia"/>
          <w:sz w:val="32"/>
          <w:szCs w:val="32"/>
          <w:lang w:val="en-US" w:eastAsia="zh-CN"/>
        </w:rPr>
        <w:t>0</w:t>
      </w:r>
      <w:r>
        <w:rPr>
          <w:rFonts w:hint="eastAsia"/>
          <w:sz w:val="32"/>
          <w:szCs w:val="32"/>
        </w:rPr>
        <w:t>%</w:t>
      </w:r>
      <w:r>
        <w:rPr>
          <w:rFonts w:hint="eastAsia"/>
          <w:sz w:val="32"/>
          <w:szCs w:val="32"/>
          <w:lang w:eastAsia="zh-CN"/>
        </w:rPr>
        <w:t>。</w:t>
      </w:r>
      <w:r>
        <w:rPr>
          <w:rFonts w:hint="eastAsia"/>
          <w:sz w:val="32"/>
          <w:szCs w:val="32"/>
        </w:rPr>
        <w:t>体现</w:t>
      </w:r>
      <w:r>
        <w:rPr>
          <w:rFonts w:hint="eastAsia"/>
          <w:sz w:val="32"/>
          <w:szCs w:val="32"/>
          <w:lang w:eastAsia="zh-CN"/>
        </w:rPr>
        <w:t>我</w:t>
      </w:r>
      <w:r>
        <w:rPr>
          <w:rFonts w:hint="eastAsia"/>
          <w:sz w:val="32"/>
          <w:szCs w:val="32"/>
        </w:rPr>
        <w:t>院在相关工作中对挽回经济损失有一定成效，积极维护了司法活动中的经济利益。</w:t>
      </w:r>
    </w:p>
    <w:p>
      <w:pPr>
        <w:spacing w:line="560" w:lineRule="exact"/>
        <w:ind w:firstLine="643"/>
        <w:rPr>
          <w:rFonts w:hint="eastAsia"/>
          <w:sz w:val="32"/>
          <w:szCs w:val="32"/>
        </w:rPr>
      </w:pPr>
      <w:r>
        <w:rPr>
          <w:rFonts w:hint="eastAsia"/>
          <w:b/>
          <w:bCs/>
          <w:sz w:val="32"/>
          <w:szCs w:val="32"/>
        </w:rPr>
        <w:t>维护社会稳定：</w:t>
      </w:r>
      <w:r>
        <w:rPr>
          <w:rFonts w:hint="eastAsia"/>
          <w:sz w:val="32"/>
          <w:szCs w:val="32"/>
        </w:rPr>
        <w:t>年度指标为良好，实际完成值在100%-80%（含）区间，分值</w:t>
      </w:r>
      <w:r>
        <w:rPr>
          <w:rFonts w:hint="eastAsia"/>
          <w:sz w:val="32"/>
          <w:szCs w:val="32"/>
          <w:lang w:val="en-US" w:eastAsia="zh-CN"/>
        </w:rPr>
        <w:t>5</w:t>
      </w:r>
      <w:r>
        <w:rPr>
          <w:rFonts w:hint="eastAsia"/>
          <w:sz w:val="32"/>
          <w:szCs w:val="32"/>
        </w:rPr>
        <w:t>分，得分4.</w:t>
      </w:r>
      <w:r>
        <w:rPr>
          <w:rFonts w:hint="eastAsia"/>
          <w:sz w:val="32"/>
          <w:szCs w:val="32"/>
          <w:lang w:val="en-US" w:eastAsia="zh-CN"/>
        </w:rPr>
        <w:t>5</w:t>
      </w:r>
      <w:r>
        <w:rPr>
          <w:rFonts w:hint="eastAsia"/>
          <w:sz w:val="32"/>
          <w:szCs w:val="32"/>
        </w:rPr>
        <w:t>分，得分率9</w:t>
      </w:r>
      <w:r>
        <w:rPr>
          <w:rFonts w:hint="eastAsia"/>
          <w:sz w:val="32"/>
          <w:szCs w:val="32"/>
          <w:lang w:val="en-US" w:eastAsia="zh-CN"/>
        </w:rPr>
        <w:t>0</w:t>
      </w:r>
      <w:r>
        <w:rPr>
          <w:rFonts w:hint="eastAsia"/>
          <w:sz w:val="32"/>
          <w:szCs w:val="32"/>
        </w:rPr>
        <w:t>%</w:t>
      </w:r>
      <w:r>
        <w:rPr>
          <w:rFonts w:hint="eastAsia"/>
          <w:sz w:val="32"/>
          <w:szCs w:val="32"/>
          <w:lang w:eastAsia="zh-CN"/>
        </w:rPr>
        <w:t>。</w:t>
      </w:r>
      <w:r>
        <w:rPr>
          <w:rFonts w:hint="eastAsia"/>
          <w:sz w:val="32"/>
          <w:szCs w:val="32"/>
        </w:rPr>
        <w:t>说明</w:t>
      </w:r>
      <w:r>
        <w:rPr>
          <w:rFonts w:hint="eastAsia"/>
          <w:sz w:val="32"/>
          <w:szCs w:val="32"/>
          <w:lang w:eastAsia="zh-CN"/>
        </w:rPr>
        <w:t>我</w:t>
      </w:r>
      <w:r>
        <w:rPr>
          <w:rFonts w:hint="eastAsia"/>
          <w:sz w:val="32"/>
          <w:szCs w:val="32"/>
        </w:rPr>
        <w:t>院在审判及相关工作中，对维护社会稳定起到积极作用，通过公正司法化解矛盾纠纷，</w:t>
      </w:r>
      <w:r>
        <w:rPr>
          <w:rFonts w:hint="eastAsia"/>
          <w:sz w:val="32"/>
          <w:szCs w:val="32"/>
          <w:lang w:val="en-US" w:eastAsia="zh-CN"/>
        </w:rPr>
        <w:t>今后</w:t>
      </w:r>
      <w:r>
        <w:rPr>
          <w:rFonts w:hint="eastAsia"/>
          <w:sz w:val="32"/>
          <w:szCs w:val="32"/>
        </w:rPr>
        <w:t>可进一步强化相关工作效果。</w:t>
      </w:r>
    </w:p>
    <w:p>
      <w:pPr>
        <w:spacing w:line="560" w:lineRule="exact"/>
        <w:ind w:firstLine="643"/>
        <w:rPr>
          <w:rFonts w:hint="eastAsia"/>
          <w:sz w:val="32"/>
          <w:szCs w:val="32"/>
        </w:rPr>
      </w:pPr>
      <w:r>
        <w:rPr>
          <w:rFonts w:hint="eastAsia"/>
          <w:b/>
          <w:bCs/>
          <w:sz w:val="32"/>
          <w:szCs w:val="32"/>
        </w:rPr>
        <w:t>有效保障审判服务：</w:t>
      </w:r>
      <w:r>
        <w:rPr>
          <w:rFonts w:hint="eastAsia"/>
          <w:sz w:val="32"/>
          <w:szCs w:val="32"/>
        </w:rPr>
        <w:t>年度指标为有效保障，实际完成值在100%-80%（含），分值</w:t>
      </w:r>
      <w:r>
        <w:rPr>
          <w:rFonts w:hint="eastAsia"/>
          <w:sz w:val="32"/>
          <w:szCs w:val="32"/>
          <w:lang w:val="en-US" w:eastAsia="zh-CN"/>
        </w:rPr>
        <w:t>5</w:t>
      </w:r>
      <w:r>
        <w:rPr>
          <w:rFonts w:hint="eastAsia"/>
          <w:sz w:val="32"/>
          <w:szCs w:val="32"/>
        </w:rPr>
        <w:t>分，得分4.</w:t>
      </w:r>
      <w:r>
        <w:rPr>
          <w:rFonts w:hint="eastAsia"/>
          <w:sz w:val="32"/>
          <w:szCs w:val="32"/>
          <w:lang w:val="en-US" w:eastAsia="zh-CN"/>
        </w:rPr>
        <w:t>5</w:t>
      </w:r>
      <w:r>
        <w:rPr>
          <w:rFonts w:hint="eastAsia"/>
          <w:sz w:val="32"/>
          <w:szCs w:val="32"/>
        </w:rPr>
        <w:t>分，得分率9</w:t>
      </w:r>
      <w:r>
        <w:rPr>
          <w:rFonts w:hint="eastAsia"/>
          <w:sz w:val="32"/>
          <w:szCs w:val="32"/>
          <w:lang w:val="en-US" w:eastAsia="zh-CN"/>
        </w:rPr>
        <w:t>0</w:t>
      </w:r>
      <w:r>
        <w:rPr>
          <w:rFonts w:hint="eastAsia"/>
          <w:sz w:val="32"/>
          <w:szCs w:val="32"/>
        </w:rPr>
        <w:t>%</w:t>
      </w:r>
      <w:r>
        <w:rPr>
          <w:rFonts w:hint="eastAsia"/>
          <w:sz w:val="32"/>
          <w:szCs w:val="32"/>
          <w:lang w:eastAsia="zh-CN"/>
        </w:rPr>
        <w:t>。</w:t>
      </w:r>
      <w:r>
        <w:rPr>
          <w:rFonts w:hint="eastAsia"/>
          <w:sz w:val="32"/>
          <w:szCs w:val="32"/>
        </w:rPr>
        <w:t>反映出</w:t>
      </w:r>
      <w:r>
        <w:rPr>
          <w:rFonts w:hint="eastAsia"/>
          <w:sz w:val="32"/>
          <w:szCs w:val="32"/>
          <w:lang w:eastAsia="zh-CN"/>
        </w:rPr>
        <w:t>我</w:t>
      </w:r>
      <w:r>
        <w:rPr>
          <w:rFonts w:hint="eastAsia"/>
          <w:sz w:val="32"/>
          <w:szCs w:val="32"/>
        </w:rPr>
        <w:t>院在审判服务保障方面工作到位，从人员、物资、技术等方面为审判工作顺利开展提供支持，不过仍有优化提升的余地。</w:t>
      </w:r>
    </w:p>
    <w:p>
      <w:pPr>
        <w:spacing w:line="560" w:lineRule="exact"/>
        <w:ind w:firstLine="643"/>
        <w:rPr>
          <w:rFonts w:hAnsi="宋体"/>
          <w:sz w:val="32"/>
          <w:szCs w:val="32"/>
        </w:rPr>
      </w:pPr>
      <w:r>
        <w:rPr>
          <w:rFonts w:hint="eastAsia"/>
          <w:b/>
          <w:bCs/>
          <w:sz w:val="32"/>
          <w:szCs w:val="32"/>
        </w:rPr>
        <w:t>打击生态犯罪，维护生态秩序：</w:t>
      </w:r>
      <w:r>
        <w:rPr>
          <w:rFonts w:hint="eastAsia"/>
          <w:sz w:val="32"/>
          <w:szCs w:val="32"/>
        </w:rPr>
        <w:t>年度指标为有效维护，实际完成值在100%-80%（含），分值</w:t>
      </w:r>
      <w:r>
        <w:rPr>
          <w:rFonts w:hint="eastAsia"/>
          <w:sz w:val="32"/>
          <w:szCs w:val="32"/>
          <w:lang w:val="en-US" w:eastAsia="zh-CN"/>
        </w:rPr>
        <w:t>5</w:t>
      </w:r>
      <w:r>
        <w:rPr>
          <w:rFonts w:hint="eastAsia"/>
          <w:sz w:val="32"/>
          <w:szCs w:val="32"/>
        </w:rPr>
        <w:t>分，得分4.</w:t>
      </w:r>
      <w:r>
        <w:rPr>
          <w:rFonts w:hint="eastAsia"/>
          <w:sz w:val="32"/>
          <w:szCs w:val="32"/>
          <w:lang w:val="en-US" w:eastAsia="zh-CN"/>
        </w:rPr>
        <w:t>5</w:t>
      </w:r>
      <w:r>
        <w:rPr>
          <w:rFonts w:hint="eastAsia"/>
          <w:sz w:val="32"/>
          <w:szCs w:val="32"/>
        </w:rPr>
        <w:t>分，得分率9</w:t>
      </w:r>
      <w:r>
        <w:rPr>
          <w:rFonts w:hint="eastAsia"/>
          <w:sz w:val="32"/>
          <w:szCs w:val="32"/>
          <w:lang w:val="en-US" w:eastAsia="zh-CN"/>
        </w:rPr>
        <w:t>0</w:t>
      </w:r>
      <w:r>
        <w:rPr>
          <w:rFonts w:hint="eastAsia"/>
          <w:sz w:val="32"/>
          <w:szCs w:val="32"/>
        </w:rPr>
        <w:t>%</w:t>
      </w:r>
      <w:r>
        <w:rPr>
          <w:rFonts w:hint="eastAsia"/>
          <w:sz w:val="32"/>
          <w:szCs w:val="32"/>
          <w:lang w:eastAsia="zh-CN"/>
        </w:rPr>
        <w:t>。</w:t>
      </w:r>
      <w:r>
        <w:rPr>
          <w:rFonts w:hint="eastAsia"/>
          <w:sz w:val="32"/>
          <w:szCs w:val="32"/>
        </w:rPr>
        <w:t>表明</w:t>
      </w:r>
      <w:r>
        <w:rPr>
          <w:rFonts w:hint="eastAsia"/>
          <w:sz w:val="32"/>
          <w:szCs w:val="32"/>
          <w:lang w:eastAsia="zh-CN"/>
        </w:rPr>
        <w:t>我</w:t>
      </w:r>
      <w:r>
        <w:rPr>
          <w:rFonts w:hint="eastAsia"/>
          <w:sz w:val="32"/>
          <w:szCs w:val="32"/>
        </w:rPr>
        <w:t>院在生态环境司法保护方面有积极作为，通过审判打击生态犯罪，维护生态秩序，</w:t>
      </w:r>
      <w:r>
        <w:rPr>
          <w:rFonts w:hint="eastAsia"/>
          <w:sz w:val="32"/>
          <w:szCs w:val="32"/>
          <w:lang w:val="en-US" w:eastAsia="zh-CN"/>
        </w:rPr>
        <w:t>今后</w:t>
      </w:r>
      <w:r>
        <w:rPr>
          <w:rFonts w:hint="eastAsia"/>
          <w:sz w:val="32"/>
          <w:szCs w:val="32"/>
        </w:rPr>
        <w:t>可加大工作力度以取得更好生态司法保护效果</w:t>
      </w:r>
      <w:r>
        <w:rPr>
          <w:rFonts w:hint="eastAsia" w:hAnsi="宋体"/>
          <w:sz w:val="32"/>
          <w:szCs w:val="32"/>
        </w:rPr>
        <w:t>。</w:t>
      </w:r>
    </w:p>
    <w:p>
      <w:pPr>
        <w:numPr>
          <w:ilvl w:val="255"/>
          <w:numId w:val="0"/>
        </w:numPr>
        <w:spacing w:line="560" w:lineRule="exact"/>
        <w:ind w:firstLine="643" w:firstLineChars="200"/>
        <w:rPr>
          <w:b/>
          <w:bCs/>
          <w:sz w:val="32"/>
          <w:szCs w:val="32"/>
        </w:rPr>
      </w:pPr>
      <w:r>
        <w:rPr>
          <w:rFonts w:hint="eastAsia"/>
          <w:b/>
          <w:bCs/>
          <w:sz w:val="32"/>
          <w:szCs w:val="32"/>
        </w:rPr>
        <w:t>（4）满意度指标</w:t>
      </w:r>
    </w:p>
    <w:p>
      <w:pPr>
        <w:spacing w:line="560" w:lineRule="exact"/>
        <w:ind w:firstLine="640"/>
        <w:rPr>
          <w:rFonts w:hAnsi="宋体"/>
          <w:sz w:val="32"/>
          <w:szCs w:val="32"/>
        </w:rPr>
      </w:pPr>
      <w:r>
        <w:rPr>
          <w:rFonts w:hint="eastAsia" w:hAnsi="宋体"/>
          <w:sz w:val="32"/>
          <w:szCs w:val="32"/>
        </w:rPr>
        <w:t>服务对象满意度主要为当事人满意度和干警满意程度，该指标分值合计10分，自评得分10分，得分率为100%。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42"/>
        <w:gridCol w:w="1828"/>
        <w:gridCol w:w="1373"/>
        <w:gridCol w:w="1290"/>
        <w:gridCol w:w="690"/>
        <w:gridCol w:w="639"/>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37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6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42" w:type="dxa"/>
            <w:vMerge w:val="continue"/>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82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37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6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639"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pPr>
        <w:spacing w:line="560" w:lineRule="exact"/>
        <w:ind w:firstLine="643"/>
        <w:rPr>
          <w:rFonts w:hint="eastAsia" w:hAnsi="宋体"/>
          <w:b w:val="0"/>
          <w:bCs w:val="0"/>
          <w:sz w:val="32"/>
          <w:szCs w:val="32"/>
        </w:rPr>
      </w:pPr>
      <w:r>
        <w:rPr>
          <w:rFonts w:hint="eastAsia" w:hAnsi="宋体"/>
          <w:b/>
          <w:bCs/>
          <w:sz w:val="32"/>
          <w:szCs w:val="32"/>
        </w:rPr>
        <w:t>当事人满意度：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90%，实际完成值9</w:t>
      </w:r>
      <w:r>
        <w:rPr>
          <w:rFonts w:hint="eastAsia" w:hAnsi="宋体"/>
          <w:b w:val="0"/>
          <w:bCs w:val="0"/>
          <w:sz w:val="32"/>
          <w:szCs w:val="32"/>
          <w:lang w:val="en-US" w:eastAsia="zh-CN"/>
        </w:rPr>
        <w:t>8%</w:t>
      </w:r>
      <w:r>
        <w:rPr>
          <w:rFonts w:hint="eastAsia" w:hAnsi="宋体"/>
          <w:b w:val="0"/>
          <w:bCs w:val="0"/>
          <w:sz w:val="32"/>
          <w:szCs w:val="32"/>
        </w:rPr>
        <w:t>，分值5分，得分5分，得分率100.00%</w:t>
      </w:r>
      <w:r>
        <w:rPr>
          <w:rFonts w:hint="eastAsia" w:hAnsi="宋体"/>
          <w:b w:val="0"/>
          <w:bCs w:val="0"/>
          <w:sz w:val="32"/>
          <w:szCs w:val="32"/>
          <w:lang w:eastAsia="zh-CN"/>
        </w:rPr>
        <w:t>。</w:t>
      </w:r>
      <w:r>
        <w:rPr>
          <w:rFonts w:hint="eastAsia" w:hAnsi="宋体"/>
          <w:b w:val="0"/>
          <w:bCs w:val="0"/>
          <w:sz w:val="32"/>
          <w:szCs w:val="32"/>
        </w:rPr>
        <w:t>说明</w:t>
      </w:r>
      <w:r>
        <w:rPr>
          <w:rFonts w:hint="eastAsia" w:hAnsi="宋体"/>
          <w:b w:val="0"/>
          <w:bCs w:val="0"/>
          <w:sz w:val="32"/>
          <w:szCs w:val="32"/>
          <w:lang w:eastAsia="zh-CN"/>
        </w:rPr>
        <w:t>我</w:t>
      </w:r>
      <w:r>
        <w:rPr>
          <w:rFonts w:hint="eastAsia" w:hAnsi="宋体"/>
          <w:b w:val="0"/>
          <w:bCs w:val="0"/>
          <w:sz w:val="32"/>
          <w:szCs w:val="32"/>
        </w:rPr>
        <w:t>院工作得到当事人较高认可，在司法服务、案件处理等方面能满足当事人合理需求，树立了良好司法形象，促进司法公信力提升。</w:t>
      </w:r>
    </w:p>
    <w:p>
      <w:pPr>
        <w:spacing w:line="560" w:lineRule="exact"/>
        <w:ind w:firstLine="643"/>
        <w:rPr>
          <w:rFonts w:hint="eastAsia" w:hAnsi="宋体" w:eastAsia="仿宋_GB2312"/>
          <w:b w:val="0"/>
          <w:bCs w:val="0"/>
          <w:sz w:val="32"/>
          <w:szCs w:val="32"/>
          <w:lang w:eastAsia="zh-CN"/>
        </w:rPr>
      </w:pPr>
      <w:r>
        <w:rPr>
          <w:rFonts w:hint="eastAsia" w:hAnsi="宋体"/>
          <w:b/>
          <w:bCs/>
          <w:sz w:val="32"/>
          <w:szCs w:val="32"/>
        </w:rPr>
        <w:t>干警满意程度：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90%，实际完成值9</w:t>
      </w:r>
      <w:r>
        <w:rPr>
          <w:rFonts w:hint="eastAsia" w:hAnsi="宋体"/>
          <w:b w:val="0"/>
          <w:bCs w:val="0"/>
          <w:sz w:val="32"/>
          <w:szCs w:val="32"/>
          <w:lang w:val="en-US" w:eastAsia="zh-CN"/>
        </w:rPr>
        <w:t>6%</w:t>
      </w:r>
      <w:r>
        <w:rPr>
          <w:rFonts w:hint="eastAsia" w:hAnsi="宋体"/>
          <w:b w:val="0"/>
          <w:bCs w:val="0"/>
          <w:sz w:val="32"/>
          <w:szCs w:val="32"/>
        </w:rPr>
        <w:t>，分值5分，得分5分，得分率100.00%</w:t>
      </w:r>
      <w:r>
        <w:rPr>
          <w:rFonts w:hint="eastAsia" w:hAnsi="宋体"/>
          <w:b w:val="0"/>
          <w:bCs w:val="0"/>
          <w:sz w:val="32"/>
          <w:szCs w:val="32"/>
          <w:lang w:eastAsia="zh-CN"/>
        </w:rPr>
        <w:t>。</w:t>
      </w:r>
      <w:r>
        <w:rPr>
          <w:rFonts w:hint="eastAsia" w:hAnsi="宋体"/>
          <w:b w:val="0"/>
          <w:bCs w:val="0"/>
          <w:sz w:val="32"/>
          <w:szCs w:val="32"/>
        </w:rPr>
        <w:t>体现</w:t>
      </w:r>
      <w:r>
        <w:rPr>
          <w:rFonts w:hint="eastAsia" w:hAnsi="宋体"/>
          <w:b w:val="0"/>
          <w:bCs w:val="0"/>
          <w:sz w:val="32"/>
          <w:szCs w:val="32"/>
          <w:lang w:eastAsia="zh-CN"/>
        </w:rPr>
        <w:t>我</w:t>
      </w:r>
      <w:r>
        <w:rPr>
          <w:rFonts w:hint="eastAsia" w:hAnsi="宋体"/>
          <w:b w:val="0"/>
          <w:bCs w:val="0"/>
          <w:sz w:val="32"/>
          <w:szCs w:val="32"/>
        </w:rPr>
        <w:t>院内部管理和工作环境较好，能让干警在工作中获得满足感，有助于提高干警工作积极性和队伍稳定性，推动</w:t>
      </w:r>
      <w:r>
        <w:rPr>
          <w:rFonts w:hint="eastAsia" w:hAnsi="宋体"/>
          <w:b w:val="0"/>
          <w:bCs w:val="0"/>
          <w:sz w:val="32"/>
          <w:szCs w:val="32"/>
          <w:lang w:eastAsia="zh-CN"/>
        </w:rPr>
        <w:t>我</w:t>
      </w:r>
      <w:r>
        <w:rPr>
          <w:rFonts w:hint="eastAsia" w:hAnsi="宋体"/>
          <w:b w:val="0"/>
          <w:bCs w:val="0"/>
          <w:sz w:val="32"/>
          <w:szCs w:val="32"/>
        </w:rPr>
        <w:t>院工作持续发展</w:t>
      </w:r>
      <w:r>
        <w:rPr>
          <w:rFonts w:hint="eastAsia" w:hAnsi="宋体"/>
          <w:b w:val="0"/>
          <w:bCs w:val="0"/>
          <w:sz w:val="32"/>
          <w:szCs w:val="32"/>
          <w:lang w:eastAsia="zh-CN"/>
        </w:rPr>
        <w:t>。</w:t>
      </w:r>
    </w:p>
    <w:p>
      <w:pPr>
        <w:pStyle w:val="4"/>
        <w:spacing w:line="560" w:lineRule="exact"/>
        <w:ind w:firstLine="643"/>
        <w:rPr>
          <w:sz w:val="32"/>
        </w:rPr>
      </w:pPr>
      <w:r>
        <w:rPr>
          <w:rFonts w:hint="eastAsia"/>
          <w:sz w:val="32"/>
        </w:rPr>
        <w:t>4.偏离绩效目标的原因及下一步改进措施</w:t>
      </w:r>
    </w:p>
    <w:p>
      <w:pPr>
        <w:spacing w:line="560" w:lineRule="exact"/>
        <w:ind w:firstLine="640"/>
        <w:rPr>
          <w:rFonts w:hint="eastAsia"/>
          <w:sz w:val="32"/>
          <w:szCs w:val="32"/>
        </w:rPr>
      </w:pPr>
      <w:r>
        <w:rPr>
          <w:rFonts w:hint="eastAsia"/>
          <w:sz w:val="32"/>
          <w:szCs w:val="32"/>
        </w:rPr>
        <w:t>无。</w:t>
      </w:r>
    </w:p>
    <w:p>
      <w:pPr>
        <w:pStyle w:val="3"/>
        <w:spacing w:before="0" w:after="0" w:line="560" w:lineRule="exact"/>
        <w:ind w:firstLine="643"/>
        <w:rPr>
          <w:rFonts w:hint="eastAsia" w:hAnsi="宋体"/>
          <w:szCs w:val="28"/>
        </w:rPr>
      </w:pPr>
      <w:bookmarkStart w:id="69" w:name="_Toc1984"/>
      <w:bookmarkStart w:id="70" w:name="_Toc19888"/>
      <w:r>
        <w:rPr>
          <w:rFonts w:hint="eastAsia"/>
        </w:rPr>
        <w:t>（</w:t>
      </w:r>
      <w:r>
        <w:rPr>
          <w:rFonts w:hint="eastAsia"/>
          <w:lang w:val="en-US" w:eastAsia="zh-CN"/>
        </w:rPr>
        <w:t>二</w:t>
      </w:r>
      <w:r>
        <w:rPr>
          <w:rFonts w:hint="eastAsia"/>
        </w:rPr>
        <w:t>）</w:t>
      </w:r>
      <w:bookmarkEnd w:id="69"/>
      <w:bookmarkStart w:id="71" w:name="_Toc29609"/>
      <w:r>
        <w:rPr>
          <w:rFonts w:hint="eastAsia" w:hAnsi="宋体"/>
          <w:szCs w:val="28"/>
        </w:rPr>
        <w:t>第一批“全省法院维修改造”项目</w:t>
      </w:r>
      <w:bookmarkEnd w:id="70"/>
      <w:bookmarkEnd w:id="71"/>
    </w:p>
    <w:p>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年全省法院“两庭”建设资金项目支出绩效得分为</w:t>
      </w:r>
      <w:r>
        <w:rPr>
          <w:rFonts w:hint="eastAsia" w:hAnsi="宋体"/>
          <w:sz w:val="32"/>
          <w:szCs w:val="32"/>
          <w:lang w:val="en-US" w:eastAsia="zh-CN"/>
        </w:rPr>
        <w:t>96.27</w:t>
      </w:r>
      <w:r>
        <w:rPr>
          <w:rFonts w:hint="eastAsia" w:hAnsi="宋体"/>
          <w:sz w:val="32"/>
          <w:szCs w:val="32"/>
        </w:rPr>
        <w:t>分，绩效等级为“优”。项目支出绩效评价包括项目资金预算执行率、成本、产出、效益、满意度</w:t>
      </w:r>
      <w:r>
        <w:rPr>
          <w:rFonts w:hint="eastAsia" w:hAnsi="宋体"/>
          <w:sz w:val="32"/>
          <w:szCs w:val="32"/>
          <w:lang w:val="en-US" w:eastAsia="zh-CN"/>
        </w:rPr>
        <w:t>4</w:t>
      </w:r>
      <w:r>
        <w:rPr>
          <w:rFonts w:hint="eastAsia" w:hAnsi="宋体"/>
          <w:sz w:val="32"/>
          <w:szCs w:val="32"/>
        </w:rPr>
        <w:t>个一级指标，下设</w:t>
      </w:r>
      <w:r>
        <w:rPr>
          <w:rFonts w:hint="eastAsia" w:hAnsi="宋体"/>
          <w:sz w:val="32"/>
          <w:szCs w:val="32"/>
          <w:lang w:val="en-US" w:eastAsia="zh-CN"/>
        </w:rPr>
        <w:t>6</w:t>
      </w:r>
      <w:r>
        <w:rPr>
          <w:rFonts w:hint="eastAsia" w:hAnsi="宋体"/>
          <w:sz w:val="32"/>
          <w:szCs w:val="32"/>
        </w:rPr>
        <w:t>个二级指标和</w:t>
      </w:r>
      <w:r>
        <w:rPr>
          <w:rFonts w:hint="eastAsia" w:hAnsi="宋体"/>
          <w:sz w:val="32"/>
          <w:szCs w:val="32"/>
          <w:lang w:val="en-US" w:eastAsia="zh-CN"/>
        </w:rPr>
        <w:t>6</w:t>
      </w:r>
      <w:r>
        <w:rPr>
          <w:rFonts w:hint="eastAsia" w:hAnsi="宋体"/>
          <w:sz w:val="32"/>
          <w:szCs w:val="32"/>
        </w:rPr>
        <w:t>个三级指标。项目资金预算执行率100%，一级指标得分情况详见下表：</w:t>
      </w:r>
    </w:p>
    <w:p>
      <w:pPr>
        <w:spacing w:line="560" w:lineRule="exact"/>
        <w:ind w:firstLine="640"/>
        <w:jc w:val="center"/>
        <w:rPr>
          <w:rFonts w:hint="eastAsia" w:hAnsi="宋体"/>
          <w:sz w:val="32"/>
          <w:szCs w:val="32"/>
        </w:rPr>
      </w:pPr>
      <w:r>
        <w:rPr>
          <w:rFonts w:hint="eastAsia" w:ascii="宋体" w:hAnsi="宋体" w:cs="宋体"/>
          <w:b/>
          <w:bCs/>
          <w:kern w:val="0"/>
          <w:sz w:val="24"/>
          <w:highlight w:val="none"/>
          <w:lang w:val="en-US" w:eastAsia="zh-CN"/>
        </w:rPr>
        <w:t>2024年度</w:t>
      </w:r>
      <w:r>
        <w:rPr>
          <w:rFonts w:hint="eastAsia" w:ascii="宋体" w:hAnsi="宋体" w:cs="宋体"/>
          <w:b/>
          <w:bCs/>
          <w:kern w:val="0"/>
          <w:sz w:val="24"/>
          <w:highlight w:val="none"/>
        </w:rPr>
        <w:t>部门</w:t>
      </w:r>
      <w:r>
        <w:rPr>
          <w:rFonts w:hint="eastAsia" w:ascii="宋体" w:hAnsi="宋体" w:cs="宋体"/>
          <w:b/>
          <w:bCs/>
          <w:kern w:val="0"/>
          <w:sz w:val="24"/>
          <w:highlight w:val="none"/>
          <w:lang w:val="en-US" w:eastAsia="zh-CN"/>
        </w:rPr>
        <w:t>项目</w:t>
      </w:r>
      <w:r>
        <w:rPr>
          <w:rFonts w:hint="eastAsia" w:ascii="宋体" w:hAnsi="宋体" w:cs="宋体"/>
          <w:b/>
          <w:bCs/>
          <w:kern w:val="0"/>
          <w:sz w:val="24"/>
          <w:highlight w:val="none"/>
        </w:rPr>
        <w:t>支出绩效评价指标得分情况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宋体"/>
                <w:color w:val="000000"/>
                <w:kern w:val="0"/>
                <w:sz w:val="20"/>
                <w:szCs w:val="20"/>
                <w:lang w:val="en-US" w:eastAsia="zh-CN"/>
              </w:rPr>
              <w:t>.00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38.27</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95.67</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宋体"/>
                <w:color w:val="000000"/>
                <w:kern w:val="0"/>
                <w:sz w:val="20"/>
                <w:szCs w:val="20"/>
                <w:lang w:val="en-US" w:eastAsia="zh-CN"/>
              </w:rPr>
              <w:t>.00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96.27</w:t>
            </w:r>
          </w:p>
        </w:tc>
        <w:tc>
          <w:tcPr>
            <w:tcW w:w="1701" w:type="dxa"/>
            <w:shd w:val="clear" w:color="auto" w:fill="BDD6EE"/>
            <w:vAlign w:val="center"/>
          </w:tcPr>
          <w:p>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96.27</w:t>
            </w:r>
            <w:r>
              <w:rPr>
                <w:rFonts w:hint="eastAsia" w:ascii="宋体" w:hAnsi="宋体" w:eastAsia="宋体" w:cs="宋体"/>
                <w:b/>
                <w:bCs/>
                <w:color w:val="000000"/>
                <w:kern w:val="0"/>
                <w:sz w:val="20"/>
                <w:szCs w:val="20"/>
              </w:rPr>
              <w:t>%</w:t>
            </w:r>
          </w:p>
        </w:tc>
      </w:tr>
    </w:tbl>
    <w:p>
      <w:pPr>
        <w:pStyle w:val="4"/>
        <w:spacing w:line="560" w:lineRule="exact"/>
        <w:ind w:firstLine="643"/>
        <w:rPr>
          <w:sz w:val="32"/>
        </w:rPr>
      </w:pPr>
      <w:r>
        <w:rPr>
          <w:rFonts w:hint="eastAsia"/>
          <w:sz w:val="32"/>
        </w:rPr>
        <w:t>1.项目支出预算执行情况</w:t>
      </w:r>
    </w:p>
    <w:p>
      <w:pPr>
        <w:spacing w:line="560" w:lineRule="exact"/>
        <w:ind w:firstLine="640"/>
        <w:rPr>
          <w:rFonts w:hAnsi="宋体"/>
          <w:sz w:val="32"/>
          <w:szCs w:val="32"/>
        </w:rPr>
      </w:pPr>
      <w:r>
        <w:rPr>
          <w:rFonts w:hint="eastAsia" w:hAnsi="宋体"/>
          <w:sz w:val="32"/>
          <w:szCs w:val="32"/>
        </w:rPr>
        <w:t>第一批“全省法院维修改造”项目全年预算数和全年执行数均为</w:t>
      </w:r>
      <w:r>
        <w:rPr>
          <w:rFonts w:hint="eastAsia" w:hAnsi="宋体"/>
          <w:sz w:val="32"/>
          <w:szCs w:val="32"/>
          <w:lang w:val="en-US" w:eastAsia="zh-CN"/>
        </w:rPr>
        <w:t>37.00</w:t>
      </w:r>
      <w:r>
        <w:rPr>
          <w:rFonts w:hint="eastAsia" w:hAnsi="宋体"/>
          <w:sz w:val="32"/>
          <w:szCs w:val="32"/>
        </w:rPr>
        <w:t>万元，预算执行率100%，满分10分，得分10分。</w:t>
      </w:r>
    </w:p>
    <w:p>
      <w:pPr>
        <w:pStyle w:val="4"/>
        <w:spacing w:line="560" w:lineRule="exact"/>
        <w:ind w:firstLine="643"/>
        <w:rPr>
          <w:sz w:val="32"/>
        </w:rPr>
      </w:pPr>
      <w:r>
        <w:rPr>
          <w:rFonts w:hint="eastAsia"/>
          <w:sz w:val="32"/>
        </w:rPr>
        <w:t>2.总体绩效目标完成情况分析</w:t>
      </w:r>
    </w:p>
    <w:p>
      <w:pPr>
        <w:spacing w:line="560" w:lineRule="exact"/>
        <w:ind w:firstLine="640"/>
        <w:rPr>
          <w:sz w:val="32"/>
          <w:szCs w:val="32"/>
        </w:rPr>
      </w:pPr>
      <w:r>
        <w:rPr>
          <w:rFonts w:hint="eastAsia"/>
          <w:sz w:val="32"/>
          <w:szCs w:val="32"/>
        </w:rPr>
        <w:t>保障项目顺利进行。</w:t>
      </w:r>
    </w:p>
    <w:p>
      <w:pPr>
        <w:pStyle w:val="4"/>
        <w:spacing w:line="560" w:lineRule="exact"/>
        <w:ind w:firstLine="643"/>
        <w:rPr>
          <w:sz w:val="32"/>
        </w:rPr>
      </w:pPr>
      <w:r>
        <w:rPr>
          <w:rFonts w:hint="eastAsia"/>
          <w:sz w:val="32"/>
        </w:rPr>
        <w:t>3.各项指标完成情况分析</w:t>
      </w:r>
    </w:p>
    <w:p>
      <w:pPr>
        <w:spacing w:line="560" w:lineRule="exact"/>
        <w:ind w:firstLine="643"/>
        <w:rPr>
          <w:b/>
          <w:bCs/>
          <w:sz w:val="32"/>
          <w:szCs w:val="32"/>
        </w:rPr>
      </w:pPr>
      <w:r>
        <w:rPr>
          <w:rFonts w:hint="eastAsia"/>
          <w:b/>
          <w:bCs/>
          <w:sz w:val="32"/>
          <w:szCs w:val="32"/>
        </w:rPr>
        <w:t>（1）成本指标</w:t>
      </w:r>
    </w:p>
    <w:p>
      <w:pPr>
        <w:spacing w:line="560" w:lineRule="exact"/>
        <w:ind w:firstLine="640"/>
        <w:rPr>
          <w:sz w:val="32"/>
          <w:szCs w:val="32"/>
        </w:rPr>
      </w:pPr>
      <w:r>
        <w:rPr>
          <w:rFonts w:hint="eastAsia"/>
          <w:sz w:val="32"/>
          <w:szCs w:val="32"/>
        </w:rPr>
        <w:t>成本指标下设经济成本指标</w:t>
      </w:r>
      <w:r>
        <w:rPr>
          <w:rFonts w:hint="eastAsia"/>
          <w:sz w:val="32"/>
          <w:szCs w:val="32"/>
          <w:lang w:val="en-US" w:eastAsia="zh-CN"/>
        </w:rPr>
        <w:t>1个二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20</w:t>
      </w:r>
      <w:r>
        <w:rPr>
          <w:rFonts w:hint="eastAsia"/>
          <w:sz w:val="32"/>
          <w:szCs w:val="32"/>
        </w:rPr>
        <w:t>分，得分率为</w:t>
      </w:r>
      <w:r>
        <w:rPr>
          <w:rFonts w:hint="eastAsia"/>
          <w:sz w:val="32"/>
          <w:szCs w:val="32"/>
          <w:lang w:val="en-US" w:eastAsia="zh-CN"/>
        </w:rPr>
        <w:t>100</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21"/>
        <w:gridCol w:w="1604"/>
        <w:gridCol w:w="1425"/>
        <w:gridCol w:w="645"/>
        <w:gridCol w:w="735"/>
        <w:gridCol w:w="9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5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94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8"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3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951"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成本控制率</w:t>
            </w:r>
          </w:p>
        </w:tc>
        <w:tc>
          <w:tcPr>
            <w:tcW w:w="941"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&lt;=100%</w:t>
            </w:r>
          </w:p>
        </w:tc>
        <w:tc>
          <w:tcPr>
            <w:tcW w:w="836"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378"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31" w:type="pct"/>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584"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05" w:type="pct"/>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31"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584"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w:t>
            </w:r>
          </w:p>
        </w:tc>
      </w:tr>
    </w:tbl>
    <w:p>
      <w:pPr>
        <w:spacing w:line="560" w:lineRule="exact"/>
        <w:ind w:firstLine="643"/>
        <w:rPr>
          <w:sz w:val="32"/>
          <w:szCs w:val="32"/>
        </w:rPr>
      </w:pPr>
      <w:r>
        <w:rPr>
          <w:rFonts w:hint="eastAsia" w:hAnsi="宋体"/>
          <w:b/>
          <w:bCs/>
          <w:sz w:val="32"/>
          <w:szCs w:val="32"/>
        </w:rPr>
        <w:t>成本控制率：</w:t>
      </w:r>
      <w:r>
        <w:rPr>
          <w:rFonts w:hint="eastAsia" w:hAnsi="宋体"/>
          <w:sz w:val="32"/>
          <w:szCs w:val="32"/>
        </w:rPr>
        <w:t>我院第一批“全省法院维修改造”项目</w:t>
      </w:r>
      <w:r>
        <w:rPr>
          <w:rFonts w:hint="eastAsia" w:hAnsi="宋体" w:cs="宋体"/>
          <w:kern w:val="0"/>
          <w:sz w:val="32"/>
          <w:szCs w:val="32"/>
        </w:rPr>
        <w:t>成本控制率在全年预算范围以内，符合年度指标值的要求。</w:t>
      </w:r>
      <w:r>
        <w:rPr>
          <w:rFonts w:hint="eastAsia" w:hAnsi="宋体"/>
          <w:sz w:val="32"/>
          <w:szCs w:val="32"/>
        </w:rPr>
        <w:t>该指标分值20分，</w:t>
      </w:r>
      <w:r>
        <w:rPr>
          <w:rFonts w:hAnsi="宋体"/>
          <w:sz w:val="32"/>
          <w:szCs w:val="32"/>
        </w:rPr>
        <w:t>按评价标准得</w:t>
      </w:r>
      <w:r>
        <w:rPr>
          <w:rFonts w:hint="eastAsia" w:hAnsi="宋体"/>
          <w:sz w:val="32"/>
          <w:szCs w:val="32"/>
          <w:lang w:val="en-US" w:eastAsia="zh-CN"/>
        </w:rPr>
        <w:t>20</w:t>
      </w:r>
      <w:r>
        <w:rPr>
          <w:rFonts w:hAnsi="宋体"/>
          <w:sz w:val="32"/>
          <w:szCs w:val="32"/>
        </w:rPr>
        <w:t>分，</w:t>
      </w:r>
      <w:r>
        <w:rPr>
          <w:rFonts w:hint="eastAsia" w:hAnsi="宋体"/>
          <w:sz w:val="32"/>
          <w:szCs w:val="32"/>
        </w:rPr>
        <w:t>得分率为</w:t>
      </w:r>
      <w:r>
        <w:rPr>
          <w:rFonts w:hint="eastAsia" w:hAnsi="宋体"/>
          <w:sz w:val="32"/>
          <w:szCs w:val="32"/>
          <w:lang w:val="en-US" w:eastAsia="zh-CN"/>
        </w:rPr>
        <w:t>100</w:t>
      </w:r>
      <w:r>
        <w:rPr>
          <w:rFonts w:hAnsi="宋体"/>
          <w:sz w:val="32"/>
          <w:szCs w:val="32"/>
        </w:rPr>
        <w:t>%。</w:t>
      </w:r>
    </w:p>
    <w:p>
      <w:pPr>
        <w:spacing w:line="560" w:lineRule="exact"/>
        <w:ind w:firstLine="643"/>
        <w:rPr>
          <w:b/>
          <w:bCs/>
          <w:sz w:val="32"/>
          <w:szCs w:val="32"/>
        </w:rPr>
      </w:pPr>
      <w:r>
        <w:rPr>
          <w:rFonts w:hint="eastAsia"/>
          <w:b/>
          <w:bCs/>
          <w:sz w:val="32"/>
          <w:szCs w:val="32"/>
        </w:rPr>
        <w:t>（2）产出指标</w:t>
      </w:r>
    </w:p>
    <w:p>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38.27</w:t>
      </w:r>
      <w:r>
        <w:rPr>
          <w:rFonts w:hint="eastAsia" w:cs="仿宋_GB2312"/>
          <w:sz w:val="32"/>
          <w:szCs w:val="32"/>
        </w:rPr>
        <w:t>分，得分率为</w:t>
      </w:r>
      <w:r>
        <w:rPr>
          <w:rFonts w:hint="eastAsia" w:cs="仿宋_GB2312"/>
          <w:sz w:val="32"/>
          <w:szCs w:val="32"/>
          <w:lang w:val="en-US" w:eastAsia="zh-CN"/>
        </w:rPr>
        <w:t>95.67</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53"/>
        <w:gridCol w:w="2640"/>
        <w:gridCol w:w="1365"/>
        <w:gridCol w:w="1455"/>
        <w:gridCol w:w="735"/>
        <w:gridCol w:w="765"/>
        <w:gridCol w:w="9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4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45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维修改造工作完成率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&gt;=98%</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验收合格率</w:t>
            </w:r>
          </w:p>
        </w:tc>
        <w:tc>
          <w:tcPr>
            <w:tcW w:w="13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5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维修改造及时性</w:t>
            </w:r>
          </w:p>
        </w:tc>
        <w:tc>
          <w:tcPr>
            <w:tcW w:w="136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w:t>
            </w:r>
          </w:p>
        </w:tc>
        <w:tc>
          <w:tcPr>
            <w:tcW w:w="145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13.34</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38.27</w:t>
            </w:r>
          </w:p>
        </w:tc>
        <w:tc>
          <w:tcPr>
            <w:tcW w:w="95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95.67%</w:t>
            </w:r>
          </w:p>
        </w:tc>
      </w:tr>
    </w:tbl>
    <w:p>
      <w:pPr>
        <w:spacing w:line="560" w:lineRule="exact"/>
        <w:ind w:firstLine="643"/>
        <w:rPr>
          <w:rFonts w:hint="eastAsia" w:hAnsi="宋体"/>
          <w:b w:val="0"/>
          <w:bCs w:val="0"/>
          <w:sz w:val="32"/>
          <w:szCs w:val="32"/>
        </w:rPr>
      </w:pPr>
      <w:r>
        <w:rPr>
          <w:rFonts w:hint="eastAsia" w:hAnsi="宋体"/>
          <w:b/>
          <w:bCs/>
          <w:sz w:val="32"/>
          <w:szCs w:val="32"/>
          <w:lang w:val="en-US" w:eastAsia="zh-CN"/>
        </w:rPr>
        <w:t>维修改造工作完成率</w:t>
      </w:r>
      <w:r>
        <w:rPr>
          <w:rFonts w:hint="eastAsia" w:hAnsi="宋体"/>
          <w:b/>
          <w:bCs/>
          <w:sz w:val="32"/>
          <w:szCs w:val="32"/>
        </w:rPr>
        <w:t>：</w:t>
      </w:r>
      <w:r>
        <w:rPr>
          <w:rFonts w:hint="eastAsia" w:hAnsi="宋体"/>
          <w:b w:val="0"/>
          <w:bCs w:val="0"/>
          <w:sz w:val="32"/>
          <w:szCs w:val="32"/>
        </w:rPr>
        <w:t>年度指标</w:t>
      </w:r>
      <w:r>
        <w:rPr>
          <w:rFonts w:hint="eastAsia" w:hAnsi="宋体"/>
          <w:b w:val="0"/>
          <w:bCs w:val="0"/>
          <w:sz w:val="32"/>
          <w:szCs w:val="32"/>
          <w:lang w:val="en-US" w:eastAsia="zh-CN"/>
        </w:rPr>
        <w:t>98</w:t>
      </w:r>
      <w:r>
        <w:rPr>
          <w:rFonts w:hint="eastAsia" w:hAnsi="宋体"/>
          <w:b w:val="0"/>
          <w:bCs w:val="0"/>
          <w:sz w:val="32"/>
          <w:szCs w:val="32"/>
        </w:rPr>
        <w:t>%，实际完成值100%，分值</w:t>
      </w:r>
      <w:r>
        <w:rPr>
          <w:rFonts w:hint="eastAsia" w:hAnsi="宋体"/>
          <w:b w:val="0"/>
          <w:bCs w:val="0"/>
          <w:sz w:val="32"/>
          <w:szCs w:val="32"/>
          <w:lang w:val="en-US" w:eastAsia="zh-CN"/>
        </w:rPr>
        <w:t>13.33</w:t>
      </w:r>
      <w:r>
        <w:rPr>
          <w:rFonts w:hint="eastAsia" w:hAnsi="宋体"/>
          <w:b w:val="0"/>
          <w:bCs w:val="0"/>
          <w:sz w:val="32"/>
          <w:szCs w:val="32"/>
        </w:rPr>
        <w:t>分，得分</w:t>
      </w:r>
      <w:r>
        <w:rPr>
          <w:rFonts w:hint="eastAsia" w:hAnsi="宋体"/>
          <w:b w:val="0"/>
          <w:bCs w:val="0"/>
          <w:sz w:val="32"/>
          <w:szCs w:val="32"/>
          <w:lang w:val="en-US" w:eastAsia="zh-CN"/>
        </w:rPr>
        <w:t>13.33</w:t>
      </w:r>
      <w:r>
        <w:rPr>
          <w:rFonts w:hint="eastAsia" w:hAnsi="宋体"/>
          <w:b w:val="0"/>
          <w:bCs w:val="0"/>
          <w:sz w:val="32"/>
          <w:szCs w:val="32"/>
        </w:rPr>
        <w:t>分，得分率100.00%。体现出</w:t>
      </w:r>
      <w:r>
        <w:rPr>
          <w:rFonts w:hint="eastAsia" w:hAnsi="宋体"/>
          <w:b w:val="0"/>
          <w:bCs w:val="0"/>
          <w:sz w:val="32"/>
          <w:szCs w:val="32"/>
          <w:lang w:val="en-US" w:eastAsia="zh-CN"/>
        </w:rPr>
        <w:t>我</w:t>
      </w:r>
      <w:r>
        <w:rPr>
          <w:rFonts w:hint="eastAsia" w:hAnsi="宋体"/>
          <w:b w:val="0"/>
          <w:bCs w:val="0"/>
          <w:sz w:val="32"/>
          <w:szCs w:val="32"/>
        </w:rPr>
        <w:t>院维修改造工作完成率</w:t>
      </w:r>
      <w:r>
        <w:rPr>
          <w:rFonts w:hint="eastAsia" w:hAnsi="宋体"/>
          <w:b w:val="0"/>
          <w:bCs w:val="0"/>
          <w:sz w:val="32"/>
          <w:szCs w:val="32"/>
          <w:lang w:val="en-US" w:eastAsia="zh-CN"/>
        </w:rPr>
        <w:t>高</w:t>
      </w:r>
      <w:r>
        <w:rPr>
          <w:rFonts w:hint="eastAsia" w:hAnsi="宋体"/>
          <w:b w:val="0"/>
          <w:bCs w:val="0"/>
          <w:sz w:val="32"/>
          <w:szCs w:val="32"/>
        </w:rPr>
        <w:t>。</w:t>
      </w:r>
    </w:p>
    <w:p>
      <w:pPr>
        <w:spacing w:line="560" w:lineRule="exact"/>
        <w:ind w:firstLine="643"/>
        <w:rPr>
          <w:rFonts w:hint="eastAsia" w:hAnsi="宋体"/>
          <w:b/>
          <w:bCs/>
          <w:sz w:val="32"/>
          <w:szCs w:val="32"/>
        </w:rPr>
      </w:pPr>
      <w:r>
        <w:rPr>
          <w:rFonts w:hint="eastAsia" w:hAnsi="宋体"/>
          <w:b/>
          <w:bCs/>
          <w:sz w:val="32"/>
          <w:szCs w:val="32"/>
        </w:rPr>
        <w:t>验收合格率：</w:t>
      </w:r>
      <w:r>
        <w:rPr>
          <w:rFonts w:hint="eastAsia" w:hAnsi="宋体"/>
          <w:b w:val="0"/>
          <w:bCs w:val="0"/>
          <w:sz w:val="32"/>
          <w:szCs w:val="32"/>
        </w:rPr>
        <w:t>年度指标</w:t>
      </w:r>
      <w:r>
        <w:rPr>
          <w:rFonts w:hint="eastAsia" w:hAnsi="宋体"/>
          <w:b w:val="0"/>
          <w:bCs w:val="0"/>
          <w:sz w:val="32"/>
          <w:szCs w:val="32"/>
          <w:lang w:val="en-US" w:eastAsia="zh-CN"/>
        </w:rPr>
        <w:t>100</w:t>
      </w:r>
      <w:r>
        <w:rPr>
          <w:rFonts w:hint="eastAsia" w:hAnsi="宋体"/>
          <w:b w:val="0"/>
          <w:bCs w:val="0"/>
          <w:sz w:val="32"/>
          <w:szCs w:val="32"/>
        </w:rPr>
        <w:t>%，实际完成值</w:t>
      </w:r>
      <w:r>
        <w:rPr>
          <w:rFonts w:hint="eastAsia" w:hAnsi="宋体"/>
          <w:b w:val="0"/>
          <w:bCs w:val="0"/>
          <w:sz w:val="32"/>
          <w:szCs w:val="32"/>
          <w:lang w:val="en-US" w:eastAsia="zh-CN"/>
        </w:rPr>
        <w:t>100</w:t>
      </w:r>
      <w:r>
        <w:rPr>
          <w:rFonts w:hint="eastAsia" w:hAnsi="宋体"/>
          <w:b w:val="0"/>
          <w:bCs w:val="0"/>
          <w:sz w:val="32"/>
          <w:szCs w:val="32"/>
        </w:rPr>
        <w:t>%，分值</w:t>
      </w:r>
      <w:r>
        <w:rPr>
          <w:rFonts w:hint="eastAsia" w:hAnsi="宋体"/>
          <w:b w:val="0"/>
          <w:bCs w:val="0"/>
          <w:sz w:val="32"/>
          <w:szCs w:val="32"/>
          <w:lang w:val="en-US" w:eastAsia="zh-CN"/>
        </w:rPr>
        <w:t>13.33</w:t>
      </w:r>
      <w:r>
        <w:rPr>
          <w:rFonts w:hint="eastAsia" w:hAnsi="宋体"/>
          <w:b w:val="0"/>
          <w:bCs w:val="0"/>
          <w:sz w:val="32"/>
          <w:szCs w:val="32"/>
        </w:rPr>
        <w:t>分，得分</w:t>
      </w:r>
      <w:r>
        <w:rPr>
          <w:rFonts w:hint="eastAsia" w:hAnsi="宋体"/>
          <w:b w:val="0"/>
          <w:bCs w:val="0"/>
          <w:sz w:val="32"/>
          <w:szCs w:val="32"/>
          <w:lang w:val="en-US" w:eastAsia="zh-CN"/>
        </w:rPr>
        <w:t>13.33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b w:val="0"/>
          <w:bCs w:val="0"/>
          <w:sz w:val="32"/>
          <w:szCs w:val="32"/>
        </w:rPr>
        <w:t>%。表明</w:t>
      </w:r>
      <w:r>
        <w:rPr>
          <w:rFonts w:hint="eastAsia" w:hAnsi="宋体"/>
          <w:b w:val="0"/>
          <w:bCs w:val="0"/>
          <w:sz w:val="32"/>
          <w:szCs w:val="32"/>
          <w:lang w:val="en-US" w:eastAsia="zh-CN"/>
        </w:rPr>
        <w:t>我</w:t>
      </w:r>
      <w:r>
        <w:rPr>
          <w:rFonts w:hint="eastAsia" w:hAnsi="宋体"/>
          <w:b w:val="0"/>
          <w:bCs w:val="0"/>
          <w:sz w:val="32"/>
          <w:szCs w:val="32"/>
        </w:rPr>
        <w:t>院在工程竣工后的验交工作推进较为及时</w:t>
      </w:r>
      <w:r>
        <w:rPr>
          <w:rFonts w:hint="eastAsia" w:hAnsi="宋体"/>
          <w:b w:val="0"/>
          <w:bCs w:val="0"/>
          <w:sz w:val="32"/>
          <w:szCs w:val="32"/>
          <w:lang w:eastAsia="zh-CN"/>
        </w:rPr>
        <w:t>，</w:t>
      </w:r>
      <w:r>
        <w:rPr>
          <w:rFonts w:hint="eastAsia" w:hAnsi="宋体"/>
          <w:b w:val="0"/>
          <w:bCs w:val="0"/>
          <w:sz w:val="32"/>
          <w:szCs w:val="32"/>
          <w:lang w:val="en-US" w:eastAsia="zh-CN"/>
        </w:rPr>
        <w:t>工程完工</w:t>
      </w:r>
      <w:r>
        <w:rPr>
          <w:rFonts w:hint="eastAsia" w:hAnsi="宋体"/>
          <w:b w:val="0"/>
          <w:bCs w:val="0"/>
          <w:sz w:val="32"/>
          <w:szCs w:val="32"/>
          <w:lang w:eastAsia="zh-CN"/>
        </w:rPr>
        <w:t>验收合格</w:t>
      </w:r>
      <w:r>
        <w:rPr>
          <w:rFonts w:hint="eastAsia" w:hAnsi="宋体"/>
          <w:b w:val="0"/>
          <w:bCs w:val="0"/>
          <w:sz w:val="32"/>
          <w:szCs w:val="32"/>
        </w:rPr>
        <w:t>。</w:t>
      </w:r>
    </w:p>
    <w:p>
      <w:pPr>
        <w:spacing w:line="560" w:lineRule="exact"/>
        <w:ind w:firstLine="643"/>
        <w:rPr>
          <w:rFonts w:hint="eastAsia" w:hAnsi="宋体"/>
          <w:b/>
          <w:bCs/>
          <w:sz w:val="32"/>
          <w:szCs w:val="32"/>
        </w:rPr>
      </w:pPr>
      <w:r>
        <w:rPr>
          <w:rFonts w:hint="eastAsia" w:hAnsi="宋体"/>
          <w:b/>
          <w:bCs/>
          <w:sz w:val="32"/>
          <w:szCs w:val="32"/>
        </w:rPr>
        <w:t>维修改造及时性：</w:t>
      </w:r>
      <w:r>
        <w:rPr>
          <w:rFonts w:hint="eastAsia" w:hAnsi="宋体"/>
          <w:b w:val="0"/>
          <w:bCs w:val="0"/>
          <w:sz w:val="32"/>
          <w:szCs w:val="32"/>
        </w:rPr>
        <w:t>年度指标</w:t>
      </w:r>
      <w:r>
        <w:rPr>
          <w:rFonts w:hint="eastAsia" w:hAnsi="宋体"/>
          <w:b w:val="0"/>
          <w:bCs w:val="0"/>
          <w:sz w:val="32"/>
          <w:szCs w:val="32"/>
          <w:lang w:val="en-US" w:eastAsia="zh-CN"/>
        </w:rPr>
        <w:t>及时</w:t>
      </w:r>
      <w:r>
        <w:rPr>
          <w:rFonts w:hint="eastAsia" w:hAnsi="宋体"/>
          <w:b w:val="0"/>
          <w:bCs w:val="0"/>
          <w:sz w:val="32"/>
          <w:szCs w:val="32"/>
        </w:rPr>
        <w:t>，实际完成值</w:t>
      </w:r>
      <w:r>
        <w:rPr>
          <w:rFonts w:hint="eastAsia" w:hAnsi="宋体"/>
          <w:b w:val="0"/>
          <w:bCs w:val="0"/>
          <w:sz w:val="32"/>
          <w:szCs w:val="32"/>
          <w:lang w:val="en-US" w:eastAsia="zh-CN"/>
        </w:rPr>
        <w:t>100%-80</w:t>
      </w:r>
      <w:r>
        <w:rPr>
          <w:rFonts w:hint="eastAsia" w:hAnsi="宋体"/>
          <w:b w:val="0"/>
          <w:bCs w:val="0"/>
          <w:sz w:val="32"/>
          <w:szCs w:val="32"/>
        </w:rPr>
        <w:t>%，分值</w:t>
      </w:r>
      <w:r>
        <w:rPr>
          <w:rFonts w:hint="eastAsia" w:hAnsi="宋体"/>
          <w:b w:val="0"/>
          <w:bCs w:val="0"/>
          <w:sz w:val="32"/>
          <w:szCs w:val="32"/>
          <w:lang w:val="en-US" w:eastAsia="zh-CN"/>
        </w:rPr>
        <w:t>13.34</w:t>
      </w:r>
      <w:r>
        <w:rPr>
          <w:rFonts w:hint="eastAsia" w:hAnsi="宋体"/>
          <w:b w:val="0"/>
          <w:bCs w:val="0"/>
          <w:sz w:val="32"/>
          <w:szCs w:val="32"/>
        </w:rPr>
        <w:t>分，得分</w:t>
      </w:r>
      <w:r>
        <w:rPr>
          <w:rFonts w:hint="eastAsia" w:hAnsi="宋体"/>
          <w:b w:val="0"/>
          <w:bCs w:val="0"/>
          <w:sz w:val="32"/>
          <w:szCs w:val="32"/>
          <w:lang w:val="en-US" w:eastAsia="zh-CN"/>
        </w:rPr>
        <w:t>12.01</w:t>
      </w:r>
      <w:r>
        <w:rPr>
          <w:rFonts w:hint="eastAsia" w:hAnsi="宋体"/>
          <w:b w:val="0"/>
          <w:bCs w:val="0"/>
          <w:sz w:val="32"/>
          <w:szCs w:val="32"/>
        </w:rPr>
        <w:t>分，得分率</w:t>
      </w:r>
      <w:r>
        <w:rPr>
          <w:rFonts w:hint="eastAsia" w:hAnsi="宋体"/>
          <w:b w:val="0"/>
          <w:bCs w:val="0"/>
          <w:sz w:val="32"/>
          <w:szCs w:val="32"/>
          <w:lang w:val="en-US" w:eastAsia="zh-CN"/>
        </w:rPr>
        <w:t>9</w:t>
      </w:r>
      <w:r>
        <w:rPr>
          <w:rFonts w:hint="eastAsia" w:hAnsi="宋体"/>
          <w:b w:val="0"/>
          <w:bCs w:val="0"/>
          <w:sz w:val="32"/>
          <w:szCs w:val="32"/>
        </w:rPr>
        <w:t>0</w:t>
      </w:r>
      <w:r>
        <w:rPr>
          <w:rFonts w:hint="eastAsia" w:hAnsi="宋体"/>
          <w:b w:val="0"/>
          <w:bCs w:val="0"/>
          <w:sz w:val="32"/>
          <w:szCs w:val="32"/>
          <w:lang w:val="en-US" w:eastAsia="zh-CN"/>
        </w:rPr>
        <w:t>.03</w:t>
      </w:r>
      <w:r>
        <w:rPr>
          <w:rFonts w:hint="eastAsia" w:hAnsi="宋体"/>
          <w:b w:val="0"/>
          <w:bCs w:val="0"/>
          <w:sz w:val="32"/>
          <w:szCs w:val="32"/>
        </w:rPr>
        <w:t>%。说明</w:t>
      </w:r>
      <w:r>
        <w:rPr>
          <w:rFonts w:hint="eastAsia" w:hAnsi="宋体"/>
          <w:b w:val="0"/>
          <w:bCs w:val="0"/>
          <w:sz w:val="32"/>
          <w:szCs w:val="32"/>
          <w:lang w:val="en-US" w:eastAsia="zh-CN"/>
        </w:rPr>
        <w:t>我</w:t>
      </w:r>
      <w:r>
        <w:rPr>
          <w:rFonts w:hint="eastAsia" w:hAnsi="宋体"/>
          <w:b w:val="0"/>
          <w:bCs w:val="0"/>
          <w:sz w:val="32"/>
          <w:szCs w:val="32"/>
        </w:rPr>
        <w:t>院维修改造及时。</w:t>
      </w:r>
    </w:p>
    <w:p>
      <w:pPr>
        <w:spacing w:line="560" w:lineRule="exact"/>
        <w:ind w:firstLine="643"/>
        <w:rPr>
          <w:b/>
          <w:bCs/>
          <w:sz w:val="32"/>
          <w:szCs w:val="32"/>
        </w:rPr>
      </w:pPr>
      <w:r>
        <w:rPr>
          <w:rFonts w:hint="eastAsia"/>
          <w:b/>
          <w:bCs/>
          <w:sz w:val="32"/>
          <w:szCs w:val="32"/>
        </w:rPr>
        <w:t>（3）效益指标</w:t>
      </w:r>
    </w:p>
    <w:p>
      <w:pPr>
        <w:spacing w:line="560" w:lineRule="exact"/>
        <w:ind w:firstLine="640"/>
        <w:rPr>
          <w:rFonts w:hint="eastAsia"/>
          <w:sz w:val="32"/>
          <w:szCs w:val="32"/>
        </w:rPr>
      </w:pPr>
      <w:r>
        <w:rPr>
          <w:rFonts w:hint="eastAsia"/>
          <w:sz w:val="32"/>
          <w:szCs w:val="32"/>
        </w:rPr>
        <w:t>本项目效益指标主要考虑社会效益</w:t>
      </w:r>
      <w:r>
        <w:rPr>
          <w:rFonts w:hint="eastAsia"/>
          <w:sz w:val="32"/>
          <w:szCs w:val="32"/>
          <w:lang w:val="en-US" w:eastAsia="zh-CN"/>
        </w:rPr>
        <w:t>指标</w:t>
      </w:r>
      <w:r>
        <w:rPr>
          <w:rFonts w:hint="eastAsia"/>
          <w:sz w:val="32"/>
          <w:szCs w:val="32"/>
        </w:rPr>
        <w:t>。总分值20分，得分</w:t>
      </w:r>
      <w:r>
        <w:rPr>
          <w:rFonts w:hint="eastAsia"/>
          <w:sz w:val="32"/>
          <w:szCs w:val="32"/>
          <w:lang w:val="en-US" w:eastAsia="zh-CN"/>
        </w:rPr>
        <w:t>18</w:t>
      </w:r>
      <w:r>
        <w:rPr>
          <w:rFonts w:hint="eastAsia"/>
          <w:sz w:val="32"/>
          <w:szCs w:val="32"/>
        </w:rPr>
        <w:t>分，得分率为</w:t>
      </w:r>
      <w:r>
        <w:rPr>
          <w:rFonts w:hint="eastAsia"/>
          <w:sz w:val="32"/>
          <w:szCs w:val="32"/>
          <w:lang w:val="en-US" w:eastAsia="zh-CN"/>
        </w:rPr>
        <w:t>90</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59"/>
        <w:gridCol w:w="727"/>
        <w:gridCol w:w="96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5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2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改善办案条件</w:t>
            </w:r>
          </w:p>
        </w:tc>
        <w:tc>
          <w:tcPr>
            <w:tcW w:w="143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有效改善</w:t>
            </w:r>
          </w:p>
        </w:tc>
        <w:tc>
          <w:tcPr>
            <w:tcW w:w="150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59"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27"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64"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5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2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96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w:t>
            </w:r>
          </w:p>
        </w:tc>
      </w:tr>
    </w:tbl>
    <w:p>
      <w:pPr>
        <w:spacing w:line="560" w:lineRule="exact"/>
        <w:ind w:firstLine="643"/>
        <w:rPr>
          <w:rFonts w:hint="eastAsia"/>
          <w:b w:val="0"/>
          <w:bCs w:val="0"/>
          <w:sz w:val="32"/>
          <w:szCs w:val="32"/>
        </w:rPr>
      </w:pPr>
      <w:r>
        <w:rPr>
          <w:rFonts w:hint="eastAsia"/>
          <w:b/>
          <w:bCs/>
          <w:sz w:val="32"/>
          <w:szCs w:val="32"/>
        </w:rPr>
        <w:t>改善办案条件：</w:t>
      </w:r>
      <w:r>
        <w:rPr>
          <w:rFonts w:hint="eastAsia"/>
          <w:b w:val="0"/>
          <w:bCs w:val="0"/>
          <w:sz w:val="32"/>
          <w:szCs w:val="32"/>
        </w:rPr>
        <w:t>年度指标为有效改善，实际完成值处于（100%-80%含）区间，分值</w:t>
      </w:r>
      <w:r>
        <w:rPr>
          <w:rFonts w:hint="eastAsia"/>
          <w:b w:val="0"/>
          <w:bCs w:val="0"/>
          <w:sz w:val="32"/>
          <w:szCs w:val="32"/>
          <w:lang w:val="en-US" w:eastAsia="zh-CN"/>
        </w:rPr>
        <w:t>20</w:t>
      </w:r>
      <w:r>
        <w:rPr>
          <w:rFonts w:hint="eastAsia"/>
          <w:b w:val="0"/>
          <w:bCs w:val="0"/>
          <w:sz w:val="32"/>
          <w:szCs w:val="32"/>
        </w:rPr>
        <w:t>分，得分</w:t>
      </w:r>
      <w:r>
        <w:rPr>
          <w:rFonts w:hint="eastAsia"/>
          <w:b w:val="0"/>
          <w:bCs w:val="0"/>
          <w:sz w:val="32"/>
          <w:szCs w:val="32"/>
          <w:lang w:val="en-US" w:eastAsia="zh-CN"/>
        </w:rPr>
        <w:t>18</w:t>
      </w:r>
      <w:r>
        <w:rPr>
          <w:rFonts w:hint="eastAsia"/>
          <w:b w:val="0"/>
          <w:bCs w:val="0"/>
          <w:sz w:val="32"/>
          <w:szCs w:val="32"/>
        </w:rPr>
        <w:t>分，得分率</w:t>
      </w:r>
      <w:r>
        <w:rPr>
          <w:rFonts w:hint="eastAsia"/>
          <w:b w:val="0"/>
          <w:bCs w:val="0"/>
          <w:sz w:val="32"/>
          <w:szCs w:val="32"/>
          <w:lang w:val="en-US" w:eastAsia="zh-CN"/>
        </w:rPr>
        <w:t>90</w:t>
      </w:r>
      <w:r>
        <w:rPr>
          <w:rFonts w:hint="eastAsia"/>
          <w:b w:val="0"/>
          <w:bCs w:val="0"/>
          <w:sz w:val="32"/>
          <w:szCs w:val="32"/>
        </w:rPr>
        <w:t>%。说</w:t>
      </w:r>
      <w:r>
        <w:rPr>
          <w:rFonts w:hint="eastAsia"/>
          <w:b w:val="0"/>
          <w:bCs w:val="0"/>
          <w:sz w:val="32"/>
          <w:szCs w:val="32"/>
          <w:lang w:eastAsia="zh-CN"/>
        </w:rPr>
        <w:t>明我院</w:t>
      </w:r>
      <w:r>
        <w:rPr>
          <w:rFonts w:hint="eastAsia"/>
          <w:b w:val="0"/>
          <w:bCs w:val="0"/>
          <w:sz w:val="32"/>
          <w:szCs w:val="32"/>
        </w:rPr>
        <w:t>在改善办案条件工作上取得了一定成果，能够有效满足审判工作需求，保障审判业务正常开展。</w:t>
      </w:r>
    </w:p>
    <w:p>
      <w:pPr>
        <w:numPr>
          <w:ilvl w:val="255"/>
          <w:numId w:val="0"/>
        </w:numPr>
        <w:spacing w:line="560" w:lineRule="exact"/>
        <w:ind w:firstLine="643" w:firstLineChars="200"/>
        <w:rPr>
          <w:b/>
          <w:bCs/>
          <w:sz w:val="32"/>
          <w:szCs w:val="32"/>
        </w:rPr>
      </w:pPr>
      <w:r>
        <w:rPr>
          <w:rFonts w:hint="eastAsia"/>
          <w:b/>
          <w:bCs/>
          <w:sz w:val="32"/>
          <w:szCs w:val="32"/>
        </w:rPr>
        <w:t>（4）满意度指标</w:t>
      </w:r>
    </w:p>
    <w:p>
      <w:pPr>
        <w:spacing w:line="560" w:lineRule="exact"/>
        <w:ind w:firstLine="640"/>
        <w:rPr>
          <w:rFonts w:hint="eastAsia" w:hAnsi="宋体"/>
          <w:sz w:val="32"/>
          <w:szCs w:val="32"/>
        </w:rPr>
      </w:pPr>
      <w:r>
        <w:rPr>
          <w:rFonts w:hint="eastAsia" w:hAnsi="宋体"/>
          <w:sz w:val="32"/>
          <w:szCs w:val="32"/>
        </w:rPr>
        <w:t>服务对象满意度主要为干警满意度，该指标分值合计10分，自评得分10分，得分率为100%。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28"/>
        <w:gridCol w:w="1942"/>
        <w:gridCol w:w="1373"/>
        <w:gridCol w:w="1290"/>
        <w:gridCol w:w="690"/>
        <w:gridCol w:w="639"/>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4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94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干警满意度</w:t>
            </w:r>
          </w:p>
        </w:tc>
        <w:tc>
          <w:tcPr>
            <w:tcW w:w="137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2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690"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333333"/>
                <w:kern w:val="0"/>
                <w:sz w:val="20"/>
                <w:szCs w:val="20"/>
                <w:u w:val="none"/>
                <w:lang w:val="en-US" w:eastAsia="zh-CN" w:bidi="ar"/>
              </w:rPr>
              <w:t>10</w:t>
            </w:r>
          </w:p>
        </w:tc>
        <w:tc>
          <w:tcPr>
            <w:tcW w:w="639"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333333"/>
                <w:kern w:val="0"/>
                <w:sz w:val="20"/>
                <w:szCs w:val="20"/>
                <w:u w:val="none"/>
                <w:lang w:val="en-US" w:eastAsia="zh-CN" w:bidi="ar"/>
              </w:rPr>
              <w:t>10</w:t>
            </w:r>
          </w:p>
        </w:tc>
        <w:tc>
          <w:tcPr>
            <w:tcW w:w="100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pPr>
        <w:spacing w:line="560" w:lineRule="exact"/>
        <w:ind w:firstLine="643"/>
        <w:rPr>
          <w:rFonts w:hint="eastAsia" w:hAnsi="宋体"/>
          <w:b w:val="0"/>
          <w:bCs w:val="0"/>
          <w:sz w:val="32"/>
          <w:szCs w:val="32"/>
        </w:rPr>
      </w:pPr>
      <w:r>
        <w:rPr>
          <w:rFonts w:hint="eastAsia" w:hAnsi="宋体"/>
          <w:b/>
          <w:bCs/>
          <w:sz w:val="32"/>
          <w:szCs w:val="32"/>
        </w:rPr>
        <w:t>干警满意度：</w:t>
      </w:r>
      <w:r>
        <w:rPr>
          <w:rFonts w:hint="eastAsia" w:hAnsi="宋体"/>
          <w:b w:val="0"/>
          <w:bCs w:val="0"/>
          <w:sz w:val="32"/>
          <w:szCs w:val="32"/>
        </w:rPr>
        <w:t>年度指标</w:t>
      </w:r>
      <w:r>
        <w:rPr>
          <w:rFonts w:hint="eastAsia" w:hAnsi="宋体"/>
          <w:b w:val="0"/>
          <w:bCs w:val="0"/>
          <w:sz w:val="32"/>
          <w:szCs w:val="32"/>
          <w:lang w:val="en-US" w:eastAsia="zh-CN"/>
        </w:rPr>
        <w:t>大于等于</w:t>
      </w:r>
      <w:r>
        <w:rPr>
          <w:rFonts w:hint="eastAsia" w:hAnsi="宋体"/>
          <w:b w:val="0"/>
          <w:bCs w:val="0"/>
          <w:sz w:val="32"/>
          <w:szCs w:val="32"/>
        </w:rPr>
        <w:t>95%，实际完成值98%，分值5分，得分5分，得分率100.00%。</w:t>
      </w:r>
      <w:r>
        <w:rPr>
          <w:rFonts w:hint="eastAsia" w:hAnsi="宋体"/>
          <w:b w:val="0"/>
          <w:bCs w:val="0"/>
          <w:sz w:val="32"/>
          <w:szCs w:val="32"/>
          <w:lang w:eastAsia="zh-CN"/>
        </w:rPr>
        <w:t>反映出我</w:t>
      </w:r>
      <w:r>
        <w:rPr>
          <w:rFonts w:hint="eastAsia" w:hAnsi="宋体"/>
          <w:b w:val="0"/>
          <w:bCs w:val="0"/>
          <w:sz w:val="32"/>
          <w:szCs w:val="32"/>
        </w:rPr>
        <w:t>院工作人员对工作环境、管理等方面较为满意，内部管理和团队建设工作成效显著，有利于提高工作人员的工作积极性和效率。</w:t>
      </w:r>
    </w:p>
    <w:p>
      <w:pPr>
        <w:pStyle w:val="4"/>
        <w:spacing w:line="560" w:lineRule="exact"/>
        <w:ind w:firstLine="643"/>
        <w:rPr>
          <w:sz w:val="32"/>
        </w:rPr>
      </w:pPr>
      <w:r>
        <w:rPr>
          <w:rFonts w:hint="eastAsia"/>
          <w:sz w:val="32"/>
        </w:rPr>
        <w:t>4.偏离绩效目标的原因及下一步改进措施</w:t>
      </w:r>
    </w:p>
    <w:p>
      <w:pPr>
        <w:spacing w:line="560" w:lineRule="exact"/>
        <w:ind w:firstLine="640"/>
        <w:rPr>
          <w:rFonts w:hint="eastAsia"/>
          <w:sz w:val="32"/>
          <w:szCs w:val="32"/>
        </w:rPr>
      </w:pPr>
      <w:r>
        <w:rPr>
          <w:rFonts w:hint="eastAsia"/>
          <w:sz w:val="32"/>
          <w:szCs w:val="32"/>
        </w:rPr>
        <w:t>无。</w:t>
      </w:r>
      <w:bookmarkStart w:id="72" w:name="_Toc30516"/>
    </w:p>
    <w:p>
      <w:pPr>
        <w:pStyle w:val="3"/>
        <w:spacing w:before="0" w:after="0" w:line="560" w:lineRule="exact"/>
        <w:ind w:firstLine="643"/>
        <w:rPr>
          <w:rFonts w:hint="eastAsia" w:hAnsi="宋体" w:eastAsia="楷体"/>
          <w:szCs w:val="28"/>
          <w:lang w:eastAsia="zh-CN"/>
        </w:rPr>
      </w:pPr>
      <w:bookmarkStart w:id="73" w:name="_Toc27062"/>
      <w:r>
        <w:rPr>
          <w:rFonts w:hint="eastAsia"/>
        </w:rPr>
        <w:t>（</w:t>
      </w:r>
      <w:r>
        <w:rPr>
          <w:rFonts w:hint="eastAsia"/>
          <w:lang w:val="en-US" w:eastAsia="zh-CN"/>
        </w:rPr>
        <w:t>三</w:t>
      </w:r>
      <w:r>
        <w:rPr>
          <w:rFonts w:hint="eastAsia"/>
        </w:rPr>
        <w:t>）</w:t>
      </w:r>
      <w:bookmarkEnd w:id="72"/>
      <w:r>
        <w:rPr>
          <w:rFonts w:hint="eastAsia" w:hAnsi="宋体"/>
          <w:szCs w:val="28"/>
          <w:lang w:eastAsia="zh-CN"/>
        </w:rPr>
        <w:t>全省“智慧法院”信息化建设及运维资金</w:t>
      </w:r>
      <w:bookmarkEnd w:id="73"/>
    </w:p>
    <w:p>
      <w:pPr>
        <w:spacing w:line="560" w:lineRule="exact"/>
        <w:ind w:firstLine="640"/>
        <w:rPr>
          <w:rFonts w:hint="eastAsia" w:hAnsi="宋体"/>
          <w:sz w:val="32"/>
          <w:szCs w:val="32"/>
        </w:rPr>
      </w:pPr>
      <w:r>
        <w:rPr>
          <w:rFonts w:hint="eastAsia" w:hAnsi="宋体"/>
          <w:sz w:val="32"/>
          <w:szCs w:val="32"/>
        </w:rPr>
        <w:t>本次绩效自评综合评定</w:t>
      </w:r>
      <w:r>
        <w:rPr>
          <w:rFonts w:hint="eastAsia" w:hAnsi="宋体"/>
          <w:sz w:val="32"/>
          <w:szCs w:val="32"/>
          <w:lang w:eastAsia="zh-CN"/>
        </w:rPr>
        <w:t>2024</w:t>
      </w:r>
      <w:r>
        <w:rPr>
          <w:rFonts w:hint="eastAsia" w:hAnsi="宋体"/>
          <w:sz w:val="32"/>
          <w:szCs w:val="32"/>
        </w:rPr>
        <w:t>年</w:t>
      </w:r>
      <w:r>
        <w:rPr>
          <w:rFonts w:hint="eastAsia" w:hAnsi="宋体"/>
          <w:sz w:val="32"/>
          <w:szCs w:val="32"/>
          <w:lang w:eastAsia="zh-CN"/>
        </w:rPr>
        <w:t>全省“智慧法院”信息化建设及运维资金</w:t>
      </w:r>
      <w:r>
        <w:rPr>
          <w:rFonts w:hint="eastAsia" w:hAnsi="宋体"/>
          <w:sz w:val="32"/>
          <w:szCs w:val="32"/>
        </w:rPr>
        <w:t>支出绩效得分为</w:t>
      </w:r>
      <w:r>
        <w:rPr>
          <w:rFonts w:hint="eastAsia" w:hAnsi="宋体"/>
          <w:sz w:val="32"/>
          <w:szCs w:val="32"/>
          <w:lang w:val="en-US" w:eastAsia="zh-CN"/>
        </w:rPr>
        <w:t>94.29</w:t>
      </w:r>
      <w:r>
        <w:rPr>
          <w:rFonts w:hint="eastAsia" w:hAnsi="宋体"/>
          <w:sz w:val="32"/>
          <w:szCs w:val="32"/>
        </w:rPr>
        <w:t>分，绩效等级为“优”。项目支出绩效评价包括项目资金预算执行率、成本、产出、效益、满意度</w:t>
      </w:r>
      <w:r>
        <w:rPr>
          <w:rFonts w:hint="eastAsia" w:hAnsi="宋体"/>
          <w:sz w:val="32"/>
          <w:szCs w:val="32"/>
          <w:lang w:val="en-US" w:eastAsia="zh-CN"/>
        </w:rPr>
        <w:t>4</w:t>
      </w:r>
      <w:r>
        <w:rPr>
          <w:rFonts w:hint="eastAsia" w:hAnsi="宋体"/>
          <w:sz w:val="32"/>
          <w:szCs w:val="32"/>
        </w:rPr>
        <w:t>个一级指标，下设</w:t>
      </w:r>
      <w:r>
        <w:rPr>
          <w:rFonts w:hint="eastAsia" w:hAnsi="宋体"/>
          <w:sz w:val="32"/>
          <w:szCs w:val="32"/>
          <w:lang w:val="en-US" w:eastAsia="zh-CN"/>
        </w:rPr>
        <w:t>9</w:t>
      </w:r>
      <w:r>
        <w:rPr>
          <w:rFonts w:hint="eastAsia" w:hAnsi="宋体"/>
          <w:sz w:val="32"/>
          <w:szCs w:val="32"/>
        </w:rPr>
        <w:t>个二级指标和</w:t>
      </w:r>
      <w:r>
        <w:rPr>
          <w:rFonts w:hint="eastAsia" w:hAnsi="宋体"/>
          <w:sz w:val="32"/>
          <w:szCs w:val="32"/>
          <w:lang w:val="en-US" w:eastAsia="zh-CN"/>
        </w:rPr>
        <w:t>9</w:t>
      </w:r>
      <w:r>
        <w:rPr>
          <w:rFonts w:hint="eastAsia" w:hAnsi="宋体"/>
          <w:sz w:val="32"/>
          <w:szCs w:val="32"/>
        </w:rPr>
        <w:t>个三级指标。项目资金预算执行率100%，一级指标得分情况详见下表：</w:t>
      </w:r>
    </w:p>
    <w:p>
      <w:pPr>
        <w:spacing w:line="560" w:lineRule="exact"/>
        <w:ind w:firstLine="640"/>
        <w:jc w:val="center"/>
        <w:rPr>
          <w:rFonts w:hint="eastAsia" w:hAnsi="宋体"/>
          <w:sz w:val="32"/>
          <w:szCs w:val="32"/>
        </w:rPr>
      </w:pPr>
      <w:r>
        <w:rPr>
          <w:rFonts w:hint="eastAsia" w:ascii="宋体" w:hAnsi="宋体" w:cs="宋体"/>
          <w:b/>
          <w:bCs/>
          <w:kern w:val="0"/>
          <w:sz w:val="24"/>
          <w:highlight w:val="none"/>
          <w:lang w:val="en-US" w:eastAsia="zh-CN"/>
        </w:rPr>
        <w:t>2024年度</w:t>
      </w:r>
      <w:r>
        <w:rPr>
          <w:rFonts w:hint="eastAsia" w:ascii="宋体" w:hAnsi="宋体" w:cs="宋体"/>
          <w:b/>
          <w:bCs/>
          <w:kern w:val="0"/>
          <w:sz w:val="24"/>
          <w:highlight w:val="none"/>
        </w:rPr>
        <w:t>部门</w:t>
      </w:r>
      <w:r>
        <w:rPr>
          <w:rFonts w:hint="eastAsia" w:ascii="宋体" w:hAnsi="宋体" w:cs="宋体"/>
          <w:b/>
          <w:bCs/>
          <w:kern w:val="0"/>
          <w:sz w:val="24"/>
          <w:highlight w:val="none"/>
          <w:lang w:val="en-US" w:eastAsia="zh-CN"/>
        </w:rPr>
        <w:t>项目</w:t>
      </w:r>
      <w:r>
        <w:rPr>
          <w:rFonts w:hint="eastAsia" w:ascii="宋体" w:hAnsi="宋体" w:cs="宋体"/>
          <w:b/>
          <w:bCs/>
          <w:kern w:val="0"/>
          <w:sz w:val="24"/>
          <w:highlight w:val="none"/>
        </w:rPr>
        <w:t>支出绩效评价指标得分情况</w:t>
      </w:r>
    </w:p>
    <w:tbl>
      <w:tblPr>
        <w:tblStyle w:val="22"/>
        <w:tblW w:w="8391"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88"/>
        <w:gridCol w:w="1701"/>
        <w:gridCol w:w="1701"/>
        <w:gridCol w:w="17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一级指标</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分值</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自评得分</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预算执行率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90</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38.3</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95.75</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701" w:type="dxa"/>
            <w:vAlign w:val="center"/>
          </w:tcPr>
          <w:p>
            <w:pPr>
              <w:widowControl/>
              <w:ind w:firstLine="0" w:firstLineChars="0"/>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17.99</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89.95</w:t>
            </w:r>
            <w:r>
              <w:rPr>
                <w:rFonts w:hint="eastAsia" w:ascii="宋体" w:hAnsi="宋体" w:eastAsia="宋体" w:cs="宋体"/>
                <w:color w:val="000000"/>
                <w:kern w:val="0"/>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vAlign w:val="center"/>
          </w:tcPr>
          <w:p>
            <w:pPr>
              <w:widowControl/>
              <w:ind w:firstLine="48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01" w:type="dxa"/>
            <w:vAlign w:val="center"/>
          </w:tcPr>
          <w:p>
            <w:pPr>
              <w:widowControl/>
              <w:ind w:firstLine="48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88" w:type="dxa"/>
            <w:shd w:val="clear" w:color="auto" w:fill="BDD6EE"/>
            <w:vAlign w:val="center"/>
          </w:tcPr>
          <w:p>
            <w:pPr>
              <w:widowControl/>
              <w:ind w:firstLine="482"/>
              <w:jc w:val="center"/>
              <w:textAlignment w:val="center"/>
              <w:rPr>
                <w:rFonts w:hint="eastAsia" w:ascii="宋体" w:hAnsi="宋体" w:eastAsia="宋体" w:cs="宋体"/>
                <w:b/>
                <w:color w:val="000000"/>
                <w:kern w:val="0"/>
                <w:sz w:val="20"/>
                <w:szCs w:val="20"/>
                <w:shd w:val="clear" w:color="auto" w:fill="BDD6EE"/>
              </w:rPr>
            </w:pPr>
            <w:r>
              <w:rPr>
                <w:rFonts w:hint="eastAsia" w:ascii="宋体" w:hAnsi="宋体" w:eastAsia="宋体" w:cs="宋体"/>
                <w:b/>
                <w:bCs/>
                <w:color w:val="000000"/>
                <w:kern w:val="0"/>
                <w:sz w:val="20"/>
                <w:szCs w:val="20"/>
              </w:rPr>
              <w:t>合计</w:t>
            </w:r>
          </w:p>
        </w:tc>
        <w:tc>
          <w:tcPr>
            <w:tcW w:w="1701" w:type="dxa"/>
            <w:shd w:val="clear" w:color="auto" w:fill="BDD6EE"/>
            <w:vAlign w:val="center"/>
          </w:tcPr>
          <w:p>
            <w:pPr>
              <w:widowControl/>
              <w:ind w:firstLine="0" w:firstLineChars="0"/>
              <w:jc w:val="center"/>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rPr>
              <w:t>100</w:t>
            </w:r>
          </w:p>
        </w:tc>
        <w:tc>
          <w:tcPr>
            <w:tcW w:w="1701" w:type="dxa"/>
            <w:shd w:val="clear" w:color="auto" w:fill="BDD6EE"/>
            <w:vAlign w:val="center"/>
          </w:tcPr>
          <w:p>
            <w:pPr>
              <w:widowControl/>
              <w:ind w:firstLine="0" w:firstLineChars="0"/>
              <w:jc w:val="center"/>
              <w:textAlignment w:val="center"/>
              <w:rPr>
                <w:rFonts w:hint="default" w:ascii="宋体" w:hAnsi="宋体" w:eastAsia="宋体" w:cs="宋体"/>
                <w:b/>
                <w:color w:val="000000"/>
                <w:kern w:val="0"/>
                <w:sz w:val="20"/>
                <w:szCs w:val="20"/>
                <w:lang w:val="en-US" w:eastAsia="zh-CN"/>
              </w:rPr>
            </w:pPr>
            <w:r>
              <w:rPr>
                <w:rFonts w:hint="eastAsia" w:ascii="宋体" w:hAnsi="宋体" w:eastAsia="宋体" w:cs="宋体"/>
                <w:b/>
                <w:bCs/>
                <w:color w:val="000000"/>
                <w:kern w:val="0"/>
                <w:sz w:val="20"/>
                <w:szCs w:val="20"/>
                <w:lang w:val="en-US" w:eastAsia="zh-CN"/>
              </w:rPr>
              <w:t>94.29</w:t>
            </w:r>
          </w:p>
        </w:tc>
        <w:tc>
          <w:tcPr>
            <w:tcW w:w="1701" w:type="dxa"/>
            <w:shd w:val="clear" w:color="auto" w:fill="BDD6EE"/>
            <w:vAlign w:val="center"/>
          </w:tcPr>
          <w:p>
            <w:pPr>
              <w:widowControl/>
              <w:ind w:firstLine="482"/>
              <w:textAlignment w:val="center"/>
              <w:rPr>
                <w:rFonts w:hint="eastAsia" w:ascii="宋体" w:hAnsi="宋体" w:eastAsia="宋体" w:cs="宋体"/>
                <w:b/>
                <w:color w:val="000000"/>
                <w:kern w:val="0"/>
                <w:sz w:val="20"/>
                <w:szCs w:val="20"/>
              </w:rPr>
            </w:pPr>
            <w:r>
              <w:rPr>
                <w:rFonts w:hint="eastAsia" w:ascii="宋体" w:hAnsi="宋体" w:eastAsia="宋体" w:cs="宋体"/>
                <w:b/>
                <w:bCs/>
                <w:color w:val="000000"/>
                <w:kern w:val="0"/>
                <w:sz w:val="20"/>
                <w:szCs w:val="20"/>
                <w:lang w:val="en-US" w:eastAsia="zh-CN"/>
              </w:rPr>
              <w:t>94.29</w:t>
            </w:r>
            <w:r>
              <w:rPr>
                <w:rFonts w:hint="eastAsia" w:ascii="宋体" w:hAnsi="宋体" w:eastAsia="宋体" w:cs="宋体"/>
                <w:b/>
                <w:bCs/>
                <w:color w:val="000000"/>
                <w:kern w:val="0"/>
                <w:sz w:val="20"/>
                <w:szCs w:val="20"/>
              </w:rPr>
              <w:t>%</w:t>
            </w:r>
          </w:p>
        </w:tc>
      </w:tr>
    </w:tbl>
    <w:p>
      <w:pPr>
        <w:pStyle w:val="4"/>
        <w:spacing w:line="560" w:lineRule="exact"/>
        <w:ind w:firstLine="643"/>
        <w:rPr>
          <w:sz w:val="32"/>
        </w:rPr>
      </w:pPr>
      <w:r>
        <w:rPr>
          <w:rFonts w:hint="eastAsia"/>
          <w:sz w:val="32"/>
        </w:rPr>
        <w:t>1.项目支出预算执行情况</w:t>
      </w:r>
    </w:p>
    <w:p>
      <w:pPr>
        <w:spacing w:line="560" w:lineRule="exact"/>
        <w:ind w:firstLine="640"/>
        <w:rPr>
          <w:rFonts w:hAnsi="宋体"/>
          <w:sz w:val="32"/>
          <w:szCs w:val="32"/>
        </w:rPr>
      </w:pPr>
      <w:r>
        <w:rPr>
          <w:rFonts w:hint="eastAsia" w:hAnsi="宋体"/>
          <w:sz w:val="32"/>
          <w:szCs w:val="32"/>
          <w:lang w:eastAsia="zh-CN"/>
        </w:rPr>
        <w:t>全省“智慧法院”信息化建设及运维资金</w:t>
      </w:r>
      <w:r>
        <w:rPr>
          <w:rFonts w:hint="eastAsia" w:hAnsi="宋体"/>
          <w:sz w:val="32"/>
          <w:szCs w:val="32"/>
        </w:rPr>
        <w:t>全年预算数和全年执行数均为</w:t>
      </w:r>
      <w:r>
        <w:rPr>
          <w:rFonts w:hint="eastAsia" w:hAnsi="宋体"/>
          <w:sz w:val="32"/>
          <w:szCs w:val="32"/>
          <w:lang w:val="en-US" w:eastAsia="zh-CN"/>
        </w:rPr>
        <w:t>61.00</w:t>
      </w:r>
      <w:r>
        <w:rPr>
          <w:rFonts w:hint="eastAsia" w:hAnsi="宋体"/>
          <w:sz w:val="32"/>
          <w:szCs w:val="32"/>
        </w:rPr>
        <w:t>万元，预算执行率100%，满分10分，得分10分。</w:t>
      </w:r>
    </w:p>
    <w:p>
      <w:pPr>
        <w:pStyle w:val="4"/>
        <w:spacing w:line="560" w:lineRule="exact"/>
        <w:ind w:firstLine="643"/>
        <w:rPr>
          <w:sz w:val="32"/>
        </w:rPr>
      </w:pPr>
      <w:r>
        <w:rPr>
          <w:rFonts w:hint="eastAsia"/>
          <w:sz w:val="32"/>
        </w:rPr>
        <w:t>2.总体绩效目标完成情况分析</w:t>
      </w:r>
    </w:p>
    <w:p>
      <w:pPr>
        <w:spacing w:line="560" w:lineRule="exact"/>
        <w:ind w:firstLine="640"/>
        <w:rPr>
          <w:sz w:val="32"/>
          <w:szCs w:val="32"/>
        </w:rPr>
      </w:pPr>
      <w:r>
        <w:rPr>
          <w:rFonts w:hint="eastAsia"/>
          <w:sz w:val="32"/>
          <w:szCs w:val="32"/>
        </w:rPr>
        <w:t>保障项目顺利进行。</w:t>
      </w:r>
    </w:p>
    <w:p>
      <w:pPr>
        <w:pStyle w:val="4"/>
        <w:spacing w:line="560" w:lineRule="exact"/>
        <w:ind w:firstLine="643"/>
        <w:rPr>
          <w:sz w:val="32"/>
        </w:rPr>
      </w:pPr>
      <w:r>
        <w:rPr>
          <w:rFonts w:hint="eastAsia"/>
          <w:sz w:val="32"/>
        </w:rPr>
        <w:t>3.各项指标完成情况分析</w:t>
      </w:r>
    </w:p>
    <w:p>
      <w:pPr>
        <w:spacing w:line="560" w:lineRule="exact"/>
        <w:ind w:firstLine="643"/>
        <w:rPr>
          <w:b/>
          <w:bCs/>
          <w:sz w:val="32"/>
          <w:szCs w:val="32"/>
        </w:rPr>
      </w:pPr>
      <w:r>
        <w:rPr>
          <w:rFonts w:hint="eastAsia"/>
          <w:b/>
          <w:bCs/>
          <w:sz w:val="32"/>
          <w:szCs w:val="32"/>
        </w:rPr>
        <w:t>（1）成本指标</w:t>
      </w:r>
    </w:p>
    <w:p>
      <w:pPr>
        <w:spacing w:line="560" w:lineRule="exact"/>
        <w:ind w:firstLine="640"/>
        <w:rPr>
          <w:sz w:val="32"/>
          <w:szCs w:val="32"/>
        </w:rPr>
      </w:pPr>
      <w:r>
        <w:rPr>
          <w:rFonts w:hint="eastAsia"/>
          <w:sz w:val="32"/>
          <w:szCs w:val="32"/>
        </w:rPr>
        <w:t>成本指标下设经济成本指标1个</w:t>
      </w:r>
      <w:r>
        <w:rPr>
          <w:rFonts w:hint="eastAsia"/>
          <w:sz w:val="32"/>
          <w:szCs w:val="32"/>
          <w:lang w:val="en-US" w:eastAsia="zh-CN"/>
        </w:rPr>
        <w:t>二</w:t>
      </w:r>
      <w:r>
        <w:rPr>
          <w:rFonts w:hint="eastAsia"/>
          <w:sz w:val="32"/>
          <w:szCs w:val="32"/>
        </w:rPr>
        <w:t>级指标，指标分值</w:t>
      </w:r>
      <w:r>
        <w:rPr>
          <w:rFonts w:hint="eastAsia" w:hAnsi="宋体"/>
          <w:sz w:val="32"/>
          <w:szCs w:val="32"/>
        </w:rPr>
        <w:t>20</w:t>
      </w:r>
      <w:r>
        <w:rPr>
          <w:rFonts w:hint="eastAsia"/>
          <w:sz w:val="32"/>
          <w:szCs w:val="32"/>
        </w:rPr>
        <w:t>分，自评得分</w:t>
      </w:r>
      <w:r>
        <w:rPr>
          <w:rFonts w:hint="eastAsia" w:hAnsi="宋体"/>
          <w:sz w:val="32"/>
          <w:szCs w:val="32"/>
          <w:lang w:val="en-US" w:eastAsia="zh-CN"/>
        </w:rPr>
        <w:t>18</w:t>
      </w:r>
      <w:r>
        <w:rPr>
          <w:rFonts w:hint="eastAsia"/>
          <w:sz w:val="32"/>
          <w:szCs w:val="32"/>
        </w:rPr>
        <w:t>分，得分率为</w:t>
      </w:r>
      <w:r>
        <w:rPr>
          <w:rFonts w:hint="eastAsia"/>
          <w:sz w:val="32"/>
          <w:szCs w:val="32"/>
          <w:lang w:val="en-US" w:eastAsia="zh-CN"/>
        </w:rPr>
        <w:t>90</w:t>
      </w:r>
      <w:r>
        <w:rPr>
          <w:rFonts w:hint="eastAsia"/>
          <w:sz w:val="32"/>
          <w:szCs w:val="32"/>
        </w:rPr>
        <w:t>%。</w:t>
      </w:r>
    </w:p>
    <w:tbl>
      <w:tblPr>
        <w:tblStyle w:val="22"/>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21"/>
        <w:gridCol w:w="1604"/>
        <w:gridCol w:w="1425"/>
        <w:gridCol w:w="645"/>
        <w:gridCol w:w="735"/>
        <w:gridCol w:w="9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5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94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836" w:type="pct"/>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378"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431"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584" w:type="pct"/>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875"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2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成本控制情况</w:t>
            </w:r>
          </w:p>
        </w:tc>
        <w:tc>
          <w:tcPr>
            <w:tcW w:w="160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在预算范围内</w:t>
            </w:r>
          </w:p>
        </w:tc>
        <w:tc>
          <w:tcPr>
            <w:tcW w:w="142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378"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31" w:type="pct"/>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18</w:t>
            </w:r>
          </w:p>
        </w:tc>
        <w:tc>
          <w:tcPr>
            <w:tcW w:w="584"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333333"/>
                <w:kern w:val="0"/>
                <w:sz w:val="20"/>
                <w:szCs w:val="20"/>
                <w:u w:val="none"/>
                <w:lang w:val="en-US" w:eastAsia="zh-CN" w:bidi="ar"/>
              </w:rPr>
              <w:t>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605" w:type="pct"/>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378"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431"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18</w:t>
            </w:r>
          </w:p>
        </w:tc>
        <w:tc>
          <w:tcPr>
            <w:tcW w:w="584" w:type="pct"/>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w:t>
            </w:r>
          </w:p>
        </w:tc>
      </w:tr>
    </w:tbl>
    <w:p>
      <w:pPr>
        <w:spacing w:line="560" w:lineRule="exact"/>
        <w:ind w:firstLine="643"/>
        <w:rPr>
          <w:sz w:val="32"/>
          <w:szCs w:val="32"/>
        </w:rPr>
      </w:pPr>
      <w:r>
        <w:rPr>
          <w:rFonts w:hint="eastAsia" w:hAnsi="宋体"/>
          <w:b/>
          <w:bCs/>
          <w:sz w:val="32"/>
          <w:szCs w:val="32"/>
        </w:rPr>
        <w:t>成本控制情况：</w:t>
      </w:r>
      <w:r>
        <w:rPr>
          <w:rFonts w:hint="eastAsia" w:hAnsi="宋体"/>
          <w:sz w:val="32"/>
          <w:szCs w:val="32"/>
        </w:rPr>
        <w:t>我院全省“智慧法院”信息化建设及运维资金项目</w:t>
      </w:r>
      <w:r>
        <w:rPr>
          <w:rFonts w:hint="eastAsia" w:hAnsi="宋体" w:cs="宋体"/>
          <w:kern w:val="0"/>
          <w:sz w:val="32"/>
          <w:szCs w:val="32"/>
        </w:rPr>
        <w:t>成本控制率在全年预算范围以内，符合年度指标值的要求。</w:t>
      </w:r>
      <w:r>
        <w:rPr>
          <w:rFonts w:hint="eastAsia" w:hAnsi="宋体"/>
          <w:sz w:val="32"/>
          <w:szCs w:val="32"/>
        </w:rPr>
        <w:t>该指标分值20分，</w:t>
      </w:r>
      <w:r>
        <w:rPr>
          <w:rFonts w:hAnsi="宋体"/>
          <w:sz w:val="32"/>
          <w:szCs w:val="32"/>
        </w:rPr>
        <w:t>按评价标准得</w:t>
      </w:r>
      <w:r>
        <w:rPr>
          <w:rFonts w:hint="eastAsia" w:hAnsi="宋体"/>
          <w:sz w:val="32"/>
          <w:szCs w:val="32"/>
          <w:lang w:val="en-US" w:eastAsia="zh-CN"/>
        </w:rPr>
        <w:t>18</w:t>
      </w:r>
      <w:r>
        <w:rPr>
          <w:rFonts w:hAnsi="宋体"/>
          <w:sz w:val="32"/>
          <w:szCs w:val="32"/>
        </w:rPr>
        <w:t>分，</w:t>
      </w:r>
      <w:r>
        <w:rPr>
          <w:rFonts w:hint="eastAsia" w:hAnsi="宋体"/>
          <w:sz w:val="32"/>
          <w:szCs w:val="32"/>
        </w:rPr>
        <w:t>得分率为</w:t>
      </w:r>
      <w:r>
        <w:rPr>
          <w:rFonts w:hint="eastAsia" w:hAnsi="宋体"/>
          <w:sz w:val="32"/>
          <w:szCs w:val="32"/>
          <w:lang w:val="en-US" w:eastAsia="zh-CN"/>
        </w:rPr>
        <w:t>90</w:t>
      </w:r>
      <w:r>
        <w:rPr>
          <w:rFonts w:hAnsi="宋体"/>
          <w:sz w:val="32"/>
          <w:szCs w:val="32"/>
        </w:rPr>
        <w:t>%。</w:t>
      </w:r>
    </w:p>
    <w:p>
      <w:pPr>
        <w:spacing w:line="560" w:lineRule="exact"/>
        <w:ind w:firstLine="643"/>
        <w:rPr>
          <w:b/>
          <w:bCs/>
          <w:sz w:val="32"/>
          <w:szCs w:val="32"/>
        </w:rPr>
      </w:pPr>
      <w:r>
        <w:rPr>
          <w:rFonts w:hint="eastAsia"/>
          <w:b/>
          <w:bCs/>
          <w:sz w:val="32"/>
          <w:szCs w:val="32"/>
        </w:rPr>
        <w:t>（2）产出指标</w:t>
      </w:r>
    </w:p>
    <w:p>
      <w:pPr>
        <w:spacing w:line="560" w:lineRule="exact"/>
        <w:ind w:firstLine="640"/>
        <w:rPr>
          <w:rFonts w:hint="eastAsia" w:cs="仿宋_GB2312"/>
          <w:sz w:val="32"/>
          <w:szCs w:val="32"/>
        </w:rPr>
      </w:pPr>
      <w:r>
        <w:rPr>
          <w:rFonts w:hint="eastAsia" w:cs="仿宋_GB2312"/>
          <w:sz w:val="32"/>
          <w:szCs w:val="32"/>
        </w:rPr>
        <w:t>产出指标下设数量、质量和时效3个二级指标。总分值40分，得分</w:t>
      </w:r>
      <w:r>
        <w:rPr>
          <w:rFonts w:hint="eastAsia" w:cs="仿宋_GB2312"/>
          <w:sz w:val="32"/>
          <w:szCs w:val="32"/>
          <w:lang w:val="en-US" w:eastAsia="zh-CN"/>
        </w:rPr>
        <w:t>38.30</w:t>
      </w:r>
      <w:r>
        <w:rPr>
          <w:rFonts w:hint="eastAsia" w:cs="仿宋_GB2312"/>
          <w:sz w:val="32"/>
          <w:szCs w:val="32"/>
        </w:rPr>
        <w:t>分，得分率为</w:t>
      </w:r>
      <w:r>
        <w:rPr>
          <w:rFonts w:hint="eastAsia" w:cs="仿宋_GB2312"/>
          <w:sz w:val="32"/>
          <w:szCs w:val="32"/>
          <w:lang w:val="en-US" w:eastAsia="zh-CN"/>
        </w:rPr>
        <w:t>95.75</w:t>
      </w:r>
      <w:r>
        <w:rPr>
          <w:rFonts w:hint="eastAsia" w:cs="仿宋_GB2312"/>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53"/>
        <w:gridCol w:w="2640"/>
        <w:gridCol w:w="1275"/>
        <w:gridCol w:w="1545"/>
        <w:gridCol w:w="735"/>
        <w:gridCol w:w="765"/>
        <w:gridCol w:w="95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35" w:hRule="atLeast"/>
          <w:tblHeader/>
          <w:jc w:val="center"/>
        </w:trPr>
        <w:tc>
          <w:tcPr>
            <w:tcW w:w="115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64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2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73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6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5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信息化设备配备数量</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预算配置</w:t>
            </w:r>
          </w:p>
        </w:tc>
        <w:tc>
          <w:tcPr>
            <w:tcW w:w="15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信息化建设项目验收合格率</w:t>
            </w:r>
          </w:p>
        </w:tc>
        <w:tc>
          <w:tcPr>
            <w:tcW w:w="127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54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13.33</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12.96</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5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26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信息化项目完工及时性</w:t>
            </w:r>
          </w:p>
        </w:tc>
        <w:tc>
          <w:tcPr>
            <w:tcW w:w="127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45"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13.34</w:t>
            </w:r>
          </w:p>
        </w:tc>
        <w:tc>
          <w:tcPr>
            <w:tcW w:w="76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13.34</w:t>
            </w:r>
          </w:p>
        </w:tc>
        <w:tc>
          <w:tcPr>
            <w:tcW w:w="956"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613"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73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40</w:t>
            </w:r>
          </w:p>
        </w:tc>
        <w:tc>
          <w:tcPr>
            <w:tcW w:w="76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38.30</w:t>
            </w:r>
          </w:p>
        </w:tc>
        <w:tc>
          <w:tcPr>
            <w:tcW w:w="95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95.75%</w:t>
            </w:r>
          </w:p>
        </w:tc>
      </w:tr>
    </w:tbl>
    <w:p>
      <w:pPr>
        <w:spacing w:line="560" w:lineRule="exact"/>
        <w:ind w:firstLine="643"/>
        <w:rPr>
          <w:rFonts w:hint="eastAsia" w:hAnsi="宋体"/>
          <w:b w:val="0"/>
          <w:bCs w:val="0"/>
          <w:sz w:val="32"/>
          <w:szCs w:val="32"/>
          <w:lang w:val="en-US" w:eastAsia="zh-CN"/>
        </w:rPr>
      </w:pPr>
      <w:r>
        <w:rPr>
          <w:rFonts w:hint="eastAsia" w:hAnsi="宋体"/>
          <w:b/>
          <w:bCs/>
          <w:sz w:val="32"/>
          <w:szCs w:val="32"/>
          <w:lang w:val="en-US" w:eastAsia="zh-CN"/>
        </w:rPr>
        <w:t>信息化设备配备数量：</w:t>
      </w:r>
      <w:r>
        <w:rPr>
          <w:rFonts w:hint="eastAsia" w:hAnsi="宋体"/>
          <w:b w:val="0"/>
          <w:bCs w:val="0"/>
          <w:sz w:val="32"/>
          <w:szCs w:val="32"/>
          <w:lang w:val="en-US" w:eastAsia="zh-CN"/>
        </w:rPr>
        <w:t>年度指标为按照预算配置，实际完成值符合（100%-80%含）区间，分值13.33分，得分12分，得分率90.02%。说明我院在信息化设备采购配备上，遵循预算安排，基本完成了既定的设备配置目标，需进一步优化设备配置流程。</w:t>
      </w:r>
    </w:p>
    <w:p>
      <w:pPr>
        <w:spacing w:line="560" w:lineRule="exact"/>
        <w:ind w:firstLine="643"/>
        <w:rPr>
          <w:rFonts w:hint="eastAsia" w:hAnsi="宋体"/>
          <w:b w:val="0"/>
          <w:bCs w:val="0"/>
          <w:sz w:val="32"/>
          <w:szCs w:val="32"/>
          <w:lang w:val="en-US" w:eastAsia="zh-CN"/>
        </w:rPr>
      </w:pPr>
      <w:r>
        <w:rPr>
          <w:rFonts w:hint="eastAsia" w:hAnsi="宋体"/>
          <w:b/>
          <w:bCs/>
          <w:sz w:val="32"/>
          <w:szCs w:val="32"/>
          <w:lang w:val="en-US" w:eastAsia="zh-CN"/>
        </w:rPr>
        <w:t>信息化建设项目验收合格率：</w:t>
      </w:r>
      <w:r>
        <w:rPr>
          <w:rFonts w:hint="eastAsia" w:hAnsi="宋体"/>
          <w:b w:val="0"/>
          <w:bCs w:val="0"/>
          <w:sz w:val="32"/>
          <w:szCs w:val="32"/>
          <w:lang w:val="en-US" w:eastAsia="zh-CN"/>
        </w:rPr>
        <w:t>年度指标大于等于90%，实际完成值为100%，分值13.33分，得分12.96分，得分率97.22%。体现出法院在智慧法院信息化建设项目的质量把控上表现优异，所有项目均达到验收合格标准，甚至超出预期。这反映出其在项目建设过程中，对质量的管理和监督较为严格，保障了项目的高质量完成。</w:t>
      </w:r>
    </w:p>
    <w:p>
      <w:pPr>
        <w:spacing w:line="560" w:lineRule="exact"/>
        <w:ind w:firstLine="643"/>
        <w:rPr>
          <w:rFonts w:hint="eastAsia" w:hAnsi="宋体"/>
          <w:b/>
          <w:bCs/>
          <w:sz w:val="32"/>
          <w:szCs w:val="32"/>
        </w:rPr>
      </w:pPr>
      <w:r>
        <w:rPr>
          <w:rFonts w:hint="eastAsia" w:hAnsi="宋体"/>
          <w:b/>
          <w:bCs/>
          <w:sz w:val="32"/>
          <w:szCs w:val="32"/>
          <w:lang w:val="en-US" w:eastAsia="zh-CN"/>
        </w:rPr>
        <w:t>信息化项目完工及时性：</w:t>
      </w:r>
      <w:r>
        <w:rPr>
          <w:rFonts w:hint="eastAsia" w:hAnsi="宋体"/>
          <w:b w:val="0"/>
          <w:bCs w:val="0"/>
          <w:sz w:val="32"/>
          <w:szCs w:val="32"/>
          <w:lang w:val="en-US" w:eastAsia="zh-CN"/>
        </w:rPr>
        <w:t>年度指标为100%，实际完成值100%，分值13.34分，得分13.34分，得分率100.00%。意味着法院在智慧法院信息化建设项目推进过程中，时间管理到位，能够按照计划准时完工，项目进度把控良好，体现了较强的项目组织和执行能力。</w:t>
      </w:r>
    </w:p>
    <w:p>
      <w:pPr>
        <w:spacing w:line="560" w:lineRule="exact"/>
        <w:ind w:firstLine="643"/>
        <w:rPr>
          <w:b/>
          <w:bCs/>
          <w:sz w:val="32"/>
          <w:szCs w:val="32"/>
        </w:rPr>
      </w:pPr>
      <w:r>
        <w:rPr>
          <w:rFonts w:hint="eastAsia"/>
          <w:b/>
          <w:bCs/>
          <w:sz w:val="32"/>
          <w:szCs w:val="32"/>
        </w:rPr>
        <w:t>（3）效益指标</w:t>
      </w:r>
    </w:p>
    <w:p>
      <w:pPr>
        <w:spacing w:line="560" w:lineRule="exact"/>
        <w:ind w:firstLine="640"/>
        <w:rPr>
          <w:rFonts w:hint="eastAsia"/>
          <w:sz w:val="32"/>
          <w:szCs w:val="32"/>
        </w:rPr>
      </w:pPr>
      <w:r>
        <w:rPr>
          <w:rFonts w:hint="eastAsia"/>
          <w:sz w:val="32"/>
          <w:szCs w:val="32"/>
        </w:rPr>
        <w:t>本项目效益指标主要考虑经济效益、社会效益、生态效益三部分。总分值20分，得分</w:t>
      </w:r>
      <w:r>
        <w:rPr>
          <w:rFonts w:hint="eastAsia"/>
          <w:sz w:val="32"/>
          <w:szCs w:val="32"/>
          <w:lang w:val="en-US" w:eastAsia="zh-CN"/>
        </w:rPr>
        <w:t>17.99</w:t>
      </w:r>
      <w:r>
        <w:rPr>
          <w:rFonts w:hint="eastAsia"/>
          <w:sz w:val="32"/>
          <w:szCs w:val="32"/>
        </w:rPr>
        <w:t>分，得分率为</w:t>
      </w:r>
      <w:r>
        <w:rPr>
          <w:rFonts w:hint="eastAsia"/>
          <w:sz w:val="32"/>
          <w:szCs w:val="32"/>
          <w:lang w:val="en-US" w:eastAsia="zh-CN"/>
        </w:rPr>
        <w:t>89.95</w:t>
      </w:r>
      <w:r>
        <w:rPr>
          <w:rFonts w:hint="eastAsia"/>
          <w:sz w:val="32"/>
          <w:szCs w:val="32"/>
        </w:rPr>
        <w:t>%。</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2"/>
        <w:gridCol w:w="2193"/>
        <w:gridCol w:w="1434"/>
        <w:gridCol w:w="1500"/>
        <w:gridCol w:w="659"/>
        <w:gridCol w:w="727"/>
        <w:gridCol w:w="96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4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50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5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72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9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21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资金使用规范性</w:t>
            </w:r>
          </w:p>
        </w:tc>
        <w:tc>
          <w:tcPr>
            <w:tcW w:w="14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w:t>
            </w:r>
          </w:p>
        </w:tc>
        <w:tc>
          <w:tcPr>
            <w:tcW w:w="15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5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27"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21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有效保障群众诉求</w:t>
            </w:r>
          </w:p>
        </w:tc>
        <w:tc>
          <w:tcPr>
            <w:tcW w:w="14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有效保障</w:t>
            </w:r>
          </w:p>
        </w:tc>
        <w:tc>
          <w:tcPr>
            <w:tcW w:w="15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5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w:t>
            </w:r>
          </w:p>
        </w:tc>
        <w:tc>
          <w:tcPr>
            <w:tcW w:w="72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6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8" w:hRule="atLeast"/>
          <w:tblHeader/>
          <w:jc w:val="center"/>
        </w:trPr>
        <w:tc>
          <w:tcPr>
            <w:tcW w:w="159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1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资金管理长效机制</w:t>
            </w:r>
          </w:p>
        </w:tc>
        <w:tc>
          <w:tcPr>
            <w:tcW w:w="143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健全</w:t>
            </w:r>
          </w:p>
        </w:tc>
        <w:tc>
          <w:tcPr>
            <w:tcW w:w="15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100%-80%(含)</w:t>
            </w:r>
          </w:p>
        </w:tc>
        <w:tc>
          <w:tcPr>
            <w:tcW w:w="659"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w:t>
            </w:r>
          </w:p>
        </w:tc>
        <w:tc>
          <w:tcPr>
            <w:tcW w:w="72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96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19"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5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20</w:t>
            </w:r>
          </w:p>
        </w:tc>
        <w:tc>
          <w:tcPr>
            <w:tcW w:w="72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17.99</w:t>
            </w:r>
          </w:p>
        </w:tc>
        <w:tc>
          <w:tcPr>
            <w:tcW w:w="96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89.95%</w:t>
            </w:r>
          </w:p>
        </w:tc>
      </w:tr>
    </w:tbl>
    <w:p>
      <w:pPr>
        <w:spacing w:line="560" w:lineRule="exact"/>
        <w:ind w:firstLine="643"/>
        <w:rPr>
          <w:rFonts w:hint="eastAsia"/>
          <w:b w:val="0"/>
          <w:bCs w:val="0"/>
          <w:sz w:val="32"/>
          <w:szCs w:val="32"/>
        </w:rPr>
      </w:pPr>
      <w:r>
        <w:rPr>
          <w:rFonts w:hint="eastAsia"/>
          <w:b/>
          <w:bCs/>
          <w:sz w:val="32"/>
          <w:szCs w:val="32"/>
        </w:rPr>
        <w:t>资金使用规范性：</w:t>
      </w:r>
      <w:r>
        <w:rPr>
          <w:rFonts w:hint="eastAsia"/>
          <w:b w:val="0"/>
          <w:bCs w:val="0"/>
          <w:sz w:val="32"/>
          <w:szCs w:val="32"/>
        </w:rPr>
        <w:t>年度指标为规范，实际完成值处于（100%-80%含）区间，分值6.67分，得分6分，得分率89.96%。显示出</w:t>
      </w:r>
      <w:r>
        <w:rPr>
          <w:rFonts w:hint="eastAsia"/>
          <w:b w:val="0"/>
          <w:bCs w:val="0"/>
          <w:sz w:val="32"/>
          <w:szCs w:val="32"/>
          <w:lang w:val="en-US" w:eastAsia="zh-CN"/>
        </w:rPr>
        <w:t>我</w:t>
      </w:r>
      <w:r>
        <w:rPr>
          <w:rFonts w:hint="eastAsia"/>
          <w:b w:val="0"/>
          <w:bCs w:val="0"/>
          <w:sz w:val="32"/>
          <w:szCs w:val="32"/>
        </w:rPr>
        <w:t>院在智慧法院信息化建设项目资金使用方面较为规范，严格遵守既定规范标准，资金管理较为严谨，保障了资金使用合法合规。</w:t>
      </w:r>
    </w:p>
    <w:p>
      <w:pPr>
        <w:spacing w:line="560" w:lineRule="exact"/>
        <w:ind w:firstLine="643"/>
        <w:rPr>
          <w:rFonts w:hint="eastAsia"/>
          <w:b w:val="0"/>
          <w:bCs w:val="0"/>
          <w:sz w:val="32"/>
          <w:szCs w:val="32"/>
        </w:rPr>
      </w:pPr>
      <w:r>
        <w:rPr>
          <w:rFonts w:hint="eastAsia"/>
          <w:b/>
          <w:bCs/>
          <w:sz w:val="32"/>
          <w:szCs w:val="32"/>
        </w:rPr>
        <w:t>有效保障群众诉求：</w:t>
      </w:r>
      <w:r>
        <w:rPr>
          <w:rFonts w:hint="eastAsia"/>
          <w:b w:val="0"/>
          <w:bCs w:val="0"/>
          <w:sz w:val="32"/>
          <w:szCs w:val="32"/>
        </w:rPr>
        <w:t>年度指标为有效保障，实际完成值处于（100%-80%含）区间，分值6.67分，得分6分，得分率89.96%。说明</w:t>
      </w:r>
      <w:r>
        <w:rPr>
          <w:rFonts w:hint="eastAsia"/>
          <w:b w:val="0"/>
          <w:bCs w:val="0"/>
          <w:sz w:val="32"/>
          <w:szCs w:val="32"/>
          <w:lang w:val="en-US" w:eastAsia="zh-CN"/>
        </w:rPr>
        <w:t>我</w:t>
      </w:r>
      <w:r>
        <w:rPr>
          <w:rFonts w:hint="eastAsia"/>
          <w:b w:val="0"/>
          <w:bCs w:val="0"/>
          <w:sz w:val="32"/>
          <w:szCs w:val="32"/>
        </w:rPr>
        <w:t>院通过智慧法院信息化建设，在保障群众诉求方面取得一定成果，能够有效满足群众司法需求。</w:t>
      </w:r>
    </w:p>
    <w:p>
      <w:pPr>
        <w:spacing w:line="560" w:lineRule="exact"/>
        <w:ind w:firstLine="643"/>
        <w:rPr>
          <w:rFonts w:hint="eastAsia"/>
          <w:b w:val="0"/>
          <w:bCs w:val="0"/>
          <w:sz w:val="32"/>
          <w:szCs w:val="32"/>
        </w:rPr>
      </w:pPr>
      <w:r>
        <w:rPr>
          <w:rFonts w:hint="eastAsia"/>
          <w:b/>
          <w:bCs/>
          <w:sz w:val="32"/>
          <w:szCs w:val="32"/>
        </w:rPr>
        <w:t>资金管理长效机制：</w:t>
      </w:r>
      <w:r>
        <w:rPr>
          <w:rFonts w:hint="eastAsia"/>
          <w:b w:val="0"/>
          <w:bCs w:val="0"/>
          <w:sz w:val="32"/>
          <w:szCs w:val="32"/>
        </w:rPr>
        <w:t>年度指标为健全，实际完成值处于（100%-80%含）区间，分值6.66分，得分5.99分，得分率89.94%。体现法院在智慧法院信息化建设资金管理上，建立了较为健全的长效机制，在资金管理的长期规划和制度执行方面较为规范。</w:t>
      </w:r>
    </w:p>
    <w:p>
      <w:pPr>
        <w:numPr>
          <w:ilvl w:val="255"/>
          <w:numId w:val="0"/>
        </w:numPr>
        <w:spacing w:line="560" w:lineRule="exact"/>
        <w:ind w:firstLine="643" w:firstLineChars="200"/>
        <w:rPr>
          <w:b/>
          <w:bCs/>
          <w:sz w:val="32"/>
          <w:szCs w:val="32"/>
        </w:rPr>
      </w:pPr>
      <w:r>
        <w:rPr>
          <w:rFonts w:hint="eastAsia"/>
          <w:b/>
          <w:bCs/>
          <w:sz w:val="32"/>
          <w:szCs w:val="32"/>
        </w:rPr>
        <w:t>（4）满意度指标</w:t>
      </w:r>
    </w:p>
    <w:p>
      <w:pPr>
        <w:spacing w:line="560" w:lineRule="exact"/>
        <w:ind w:firstLine="640"/>
        <w:rPr>
          <w:rFonts w:hint="eastAsia" w:hAnsi="宋体"/>
          <w:sz w:val="32"/>
          <w:szCs w:val="32"/>
        </w:rPr>
      </w:pPr>
      <w:r>
        <w:rPr>
          <w:rFonts w:hint="eastAsia" w:hAnsi="宋体"/>
          <w:sz w:val="32"/>
          <w:szCs w:val="32"/>
        </w:rPr>
        <w:t>服务对象满意度主要为干警满意度</w:t>
      </w:r>
      <w:r>
        <w:rPr>
          <w:rFonts w:hint="eastAsia" w:hAnsi="宋体"/>
          <w:sz w:val="32"/>
          <w:szCs w:val="32"/>
          <w:lang w:eastAsia="zh-CN"/>
        </w:rPr>
        <w:t>、人民群众满意度</w:t>
      </w:r>
      <w:r>
        <w:rPr>
          <w:rFonts w:hint="eastAsia" w:hAnsi="宋体"/>
          <w:sz w:val="32"/>
          <w:szCs w:val="32"/>
        </w:rPr>
        <w:t>，该指标分值合计10分，自评得分10分，得分率为100%。</w:t>
      </w:r>
    </w:p>
    <w:tbl>
      <w:tblPr>
        <w:tblStyle w:val="22"/>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28"/>
        <w:gridCol w:w="1942"/>
        <w:gridCol w:w="1373"/>
        <w:gridCol w:w="1290"/>
        <w:gridCol w:w="690"/>
        <w:gridCol w:w="639"/>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94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三级指标</w:t>
            </w:r>
          </w:p>
        </w:tc>
        <w:tc>
          <w:tcPr>
            <w:tcW w:w="137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年度指标值</w:t>
            </w:r>
          </w:p>
        </w:tc>
        <w:tc>
          <w:tcPr>
            <w:tcW w:w="1290" w:type="dxa"/>
            <w:shd w:val="clear" w:color="auto" w:fill="BDD6E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实际完成值</w:t>
            </w:r>
          </w:p>
        </w:tc>
        <w:tc>
          <w:tcPr>
            <w:tcW w:w="69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分值</w:t>
            </w:r>
          </w:p>
        </w:tc>
        <w:tc>
          <w:tcPr>
            <w:tcW w:w="639"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w:t>
            </w:r>
          </w:p>
        </w:tc>
        <w:tc>
          <w:tcPr>
            <w:tcW w:w="100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4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干警使用满意度</w:t>
            </w:r>
          </w:p>
        </w:tc>
        <w:tc>
          <w:tcPr>
            <w:tcW w:w="137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2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69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000000"/>
                <w:kern w:val="0"/>
                <w:sz w:val="20"/>
                <w:szCs w:val="20"/>
                <w:u w:val="none"/>
                <w:lang w:val="en-US" w:eastAsia="zh-CN" w:bidi="ar"/>
              </w:rPr>
              <w:t>5</w:t>
            </w:r>
          </w:p>
        </w:tc>
        <w:tc>
          <w:tcPr>
            <w:tcW w:w="639"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color w:val="000000"/>
                <w:kern w:val="0"/>
                <w:sz w:val="20"/>
                <w:szCs w:val="20"/>
                <w:highlight w:val="none"/>
                <w:lang w:val="en-US"/>
              </w:rPr>
            </w:pPr>
            <w:r>
              <w:rPr>
                <w:rFonts w:hint="eastAsia" w:ascii="宋体" w:hAnsi="宋体" w:eastAsia="宋体" w:cs="宋体"/>
                <w:i w:val="0"/>
                <w:iCs w:val="0"/>
                <w:color w:val="000000"/>
                <w:kern w:val="0"/>
                <w:sz w:val="20"/>
                <w:szCs w:val="20"/>
                <w:u w:val="none"/>
                <w:lang w:val="en-US" w:eastAsia="zh-CN" w:bidi="ar"/>
              </w:rPr>
              <w:t>5</w:t>
            </w:r>
          </w:p>
        </w:tc>
        <w:tc>
          <w:tcPr>
            <w:tcW w:w="100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128" w:type="dxa"/>
            <w:vMerge w:val="continue"/>
            <w:vAlign w:val="center"/>
          </w:tcPr>
          <w:p>
            <w:pPr>
              <w:jc w:val="center"/>
              <w:rPr>
                <w:rFonts w:hint="eastAsia" w:ascii="宋体" w:hAnsi="宋体" w:eastAsia="宋体" w:cs="宋体"/>
                <w:i w:val="0"/>
                <w:iCs w:val="0"/>
                <w:color w:val="333333"/>
                <w:kern w:val="0"/>
                <w:sz w:val="20"/>
                <w:szCs w:val="20"/>
                <w:u w:val="none"/>
                <w:lang w:val="en-US" w:eastAsia="zh-CN" w:bidi="ar"/>
              </w:rPr>
            </w:pPr>
          </w:p>
        </w:tc>
        <w:tc>
          <w:tcPr>
            <w:tcW w:w="1942"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人民群众满意度</w:t>
            </w:r>
          </w:p>
        </w:tc>
        <w:tc>
          <w:tcPr>
            <w:tcW w:w="137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&gt;=90%</w:t>
            </w:r>
          </w:p>
        </w:tc>
        <w:tc>
          <w:tcPr>
            <w:tcW w:w="12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6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9"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07"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6733" w:type="dxa"/>
            <w:gridSpan w:val="4"/>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02" w:firstLineChars="20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合计</w:t>
            </w:r>
          </w:p>
        </w:tc>
        <w:tc>
          <w:tcPr>
            <w:tcW w:w="69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639"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10</w:t>
            </w:r>
          </w:p>
        </w:tc>
        <w:tc>
          <w:tcPr>
            <w:tcW w:w="100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0"/>
                <w:szCs w:val="20"/>
                <w:highlight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hAnsi="宋体"/>
          <w:b w:val="0"/>
          <w:bCs w:val="0"/>
          <w:sz w:val="32"/>
          <w:szCs w:val="32"/>
        </w:rPr>
      </w:pPr>
      <w:r>
        <w:rPr>
          <w:rFonts w:hint="eastAsia" w:hAnsi="宋体"/>
          <w:b/>
          <w:bCs/>
          <w:sz w:val="32"/>
          <w:szCs w:val="32"/>
        </w:rPr>
        <w:t>干警使用满意度：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95%，实际完成值96%，分值5分，得分5分，得分率100.00%。</w:t>
      </w:r>
      <w:r>
        <w:rPr>
          <w:rFonts w:hint="eastAsia" w:hAnsi="宋体"/>
          <w:b w:val="0"/>
          <w:bCs w:val="0"/>
          <w:sz w:val="32"/>
          <w:szCs w:val="32"/>
          <w:lang w:eastAsia="zh-CN"/>
        </w:rPr>
        <w:t>反映出我</w:t>
      </w:r>
      <w:r>
        <w:rPr>
          <w:rFonts w:hint="eastAsia" w:hAnsi="宋体"/>
          <w:b w:val="0"/>
          <w:bCs w:val="0"/>
          <w:sz w:val="32"/>
          <w:szCs w:val="32"/>
        </w:rPr>
        <w:t>院干警对智慧法院信息化建设成果的满意度较高，表明信息化建设在提升干警工作效率、优化工作体验等方面成效显著，有利于推动法院工作的信息化、高效化发展。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hAnsi="宋体"/>
          <w:b w:val="0"/>
          <w:bCs w:val="0"/>
          <w:sz w:val="32"/>
          <w:szCs w:val="32"/>
        </w:rPr>
      </w:pPr>
      <w:r>
        <w:rPr>
          <w:rFonts w:hint="eastAsia" w:hAnsi="宋体"/>
          <w:b/>
          <w:bCs/>
          <w:sz w:val="32"/>
          <w:szCs w:val="32"/>
        </w:rPr>
        <w:t>人民群众满意度：</w:t>
      </w:r>
      <w:r>
        <w:rPr>
          <w:rFonts w:hint="eastAsia" w:hAnsi="宋体"/>
          <w:b w:val="0"/>
          <w:bCs w:val="0"/>
          <w:sz w:val="32"/>
          <w:szCs w:val="32"/>
        </w:rPr>
        <w:t>年度指标</w:t>
      </w:r>
      <w:r>
        <w:rPr>
          <w:rFonts w:hint="eastAsia" w:hAnsi="宋体"/>
          <w:b w:val="0"/>
          <w:bCs w:val="0"/>
          <w:sz w:val="32"/>
          <w:szCs w:val="32"/>
          <w:lang w:eastAsia="zh-CN"/>
        </w:rPr>
        <w:t>大于等于</w:t>
      </w:r>
      <w:r>
        <w:rPr>
          <w:rFonts w:hint="eastAsia" w:hAnsi="宋体"/>
          <w:b w:val="0"/>
          <w:bCs w:val="0"/>
          <w:sz w:val="32"/>
          <w:szCs w:val="32"/>
        </w:rPr>
        <w:t>90%，实际完成值95%，分值5分，得分5分，得分率100.00%。表明崆峒区人民法院通过智慧法院信息化建设，在司法服务群众方面取得良好效果，得到群众认可。说明信息化建设在提升司法公开、便民服务等方面发挥了积极作用，树立了良好司法形象。</w:t>
      </w:r>
    </w:p>
    <w:p>
      <w:pPr>
        <w:pStyle w:val="4"/>
        <w:spacing w:line="560" w:lineRule="exact"/>
        <w:ind w:firstLine="643"/>
        <w:rPr>
          <w:sz w:val="32"/>
        </w:rPr>
      </w:pPr>
      <w:r>
        <w:rPr>
          <w:rFonts w:hint="eastAsia"/>
          <w:sz w:val="32"/>
        </w:rPr>
        <w:t>4.偏离绩效目标的原因及下一步改进措施</w:t>
      </w:r>
    </w:p>
    <w:p>
      <w:pPr>
        <w:spacing w:line="560" w:lineRule="exact"/>
        <w:ind w:firstLine="640"/>
        <w:rPr>
          <w:sz w:val="32"/>
          <w:szCs w:val="32"/>
        </w:rPr>
      </w:pPr>
      <w:r>
        <w:rPr>
          <w:rFonts w:hint="eastAsia"/>
          <w:sz w:val="32"/>
          <w:szCs w:val="32"/>
        </w:rPr>
        <w:t>无。</w:t>
      </w:r>
    </w:p>
    <w:bookmarkEnd w:id="62"/>
    <w:bookmarkEnd w:id="63"/>
    <w:bookmarkEnd w:id="64"/>
    <w:bookmarkEnd w:id="65"/>
    <w:bookmarkEnd w:id="66"/>
    <w:bookmarkEnd w:id="67"/>
    <w:bookmarkEnd w:id="68"/>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4" w:name="_Toc21400"/>
      <w:bookmarkStart w:id="75" w:name="_Toc22571"/>
      <w:bookmarkStart w:id="76" w:name="_Toc6472"/>
      <w:r>
        <w:rPr>
          <w:rFonts w:hint="eastAsia"/>
          <w:lang w:val="en-US" w:eastAsia="zh-CN"/>
        </w:rPr>
        <w:t>五、绩效自评结果拟应用和公开情况</w:t>
      </w:r>
      <w:bookmarkEnd w:id="74"/>
    </w:p>
    <w:bookmarkEnd w:id="75"/>
    <w:bookmarkEnd w:id="76"/>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w:t>
      </w:r>
      <w:r>
        <w:rPr>
          <w:rFonts w:hint="eastAsia" w:hAnsi="宋体"/>
          <w:szCs w:val="28"/>
          <w:lang w:eastAsia="zh-CN"/>
        </w:rPr>
        <w:t>自评</w:t>
      </w:r>
      <w:r>
        <w:rPr>
          <w:rFonts w:hint="eastAsia" w:hAnsi="宋体"/>
          <w:szCs w:val="28"/>
        </w:rPr>
        <w:t>结果的应用。根据政策文件规定，我院绩效自评结果将编入</w:t>
      </w:r>
      <w:r>
        <w:rPr>
          <w:rFonts w:hint="eastAsia" w:hAnsi="宋体"/>
          <w:szCs w:val="28"/>
          <w:lang w:eastAsia="zh-CN"/>
        </w:rPr>
        <w:t>2024年度</w:t>
      </w:r>
      <w:r>
        <w:rPr>
          <w:rFonts w:hint="eastAsia" w:hAnsi="宋体"/>
          <w:szCs w:val="28"/>
        </w:rPr>
        <w:t>决算中，随同</w:t>
      </w:r>
      <w:r>
        <w:rPr>
          <w:rFonts w:hint="eastAsia" w:hAnsi="宋体"/>
          <w:szCs w:val="28"/>
          <w:lang w:eastAsia="zh-CN"/>
        </w:rPr>
        <w:t>2024年度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7" w:name="_Toc21490"/>
      <w:bookmarkStart w:id="78" w:name="_Toc1836"/>
      <w:bookmarkStart w:id="79" w:name="_Toc17181"/>
      <w:bookmarkStart w:id="80" w:name="_Toc21115"/>
      <w:bookmarkStart w:id="81" w:name="_Toc40046066"/>
      <w:bookmarkStart w:id="82" w:name="_Toc18183"/>
      <w:bookmarkStart w:id="83" w:name="_Toc6781"/>
      <w:bookmarkStart w:id="84" w:name="_Toc4491"/>
      <w:r>
        <w:rPr>
          <w:rFonts w:hint="eastAsia"/>
          <w:lang w:val="en-US" w:eastAsia="zh-CN"/>
        </w:rPr>
        <w:t>六、其他需要说明的问题</w:t>
      </w:r>
      <w:bookmarkEnd w:id="77"/>
      <w:bookmarkEnd w:id="78"/>
      <w:bookmarkEnd w:id="79"/>
      <w:bookmarkEnd w:id="80"/>
      <w:bookmarkEnd w:id="81"/>
      <w:bookmarkEnd w:id="82"/>
      <w:bookmarkEnd w:id="83"/>
      <w:bookmarkEnd w:id="84"/>
    </w:p>
    <w:p>
      <w:pPr>
        <w:keepNext w:val="0"/>
        <w:keepLines w:val="0"/>
        <w:pageBreakBefore w:val="0"/>
        <w:widowControl/>
        <w:kinsoku/>
        <w:wordWrap/>
        <w:overflowPunct/>
        <w:topLinePunct w:val="0"/>
        <w:autoSpaceDE/>
        <w:autoSpaceDN/>
        <w:bidi w:val="0"/>
        <w:adjustRightInd/>
        <w:snapToGrid/>
        <w:ind w:firstLine="560"/>
        <w:jc w:val="both"/>
        <w:textAlignment w:val="auto"/>
        <w:rPr>
          <w:rFonts w:hint="eastAsia" w:eastAsia="仿宋_GB2312"/>
          <w:lang w:eastAsia="zh-CN"/>
        </w:rPr>
      </w:pPr>
      <w:r>
        <w:rPr>
          <w:rFonts w:hint="eastAsia" w:hAnsi="宋体"/>
          <w:szCs w:val="28"/>
        </w:rPr>
        <w:t>无</w:t>
      </w:r>
      <w:r>
        <w:rPr>
          <w:rFonts w:hint="eastAsia" w:hAnsi="宋体"/>
          <w:szCs w:val="28"/>
          <w:lang w:eastAsia="zh-CN"/>
        </w:rPr>
        <w:t>。</w:t>
      </w:r>
    </w:p>
    <w:p>
      <w:pPr>
        <w:widowControl/>
        <w:spacing w:line="560" w:lineRule="exact"/>
        <w:ind w:firstLine="640"/>
        <w:jc w:val="left"/>
        <w:rPr>
          <w:rFonts w:ascii="宋体" w:hAnsi="宋体" w:eastAsia="宋体"/>
          <w:b/>
          <w:bCs/>
          <w:sz w:val="32"/>
          <w:szCs w:val="32"/>
        </w:rPr>
      </w:pPr>
    </w:p>
    <w:p>
      <w:pPr>
        <w:ind w:firstLine="4819" w:firstLineChars="1500"/>
        <w:rPr>
          <w:rFonts w:ascii="宋体" w:hAnsi="宋体" w:eastAsia="宋体"/>
          <w:b/>
          <w:bCs/>
          <w:sz w:val="32"/>
          <w:szCs w:val="32"/>
        </w:rPr>
      </w:pPr>
    </w:p>
    <w:p>
      <w:pPr>
        <w:pStyle w:val="28"/>
        <w:ind w:left="0" w:leftChars="0" w:firstLine="5120" w:firstLineChars="1600"/>
        <w:jc w:val="right"/>
        <w:rPr>
          <w:rFonts w:hAnsi="宋体"/>
          <w:sz w:val="32"/>
          <w:szCs w:val="32"/>
        </w:rPr>
      </w:pPr>
      <w:bookmarkStart w:id="85" w:name="_GoBack"/>
      <w:bookmarkEnd w:id="85"/>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4"/>
          <w:ind w:firstLine="360"/>
          <w:jc w:val="center"/>
        </w:pPr>
        <w:r>
          <w:fldChar w:fldCharType="begin"/>
        </w:r>
        <w:r>
          <w:instrText xml:space="preserve">PAGE   \* MERGEFORMAT</w:instrText>
        </w:r>
        <w:r>
          <w:fldChar w:fldCharType="separate"/>
        </w:r>
        <w:r>
          <w:rPr>
            <w:lang w:val="zh-CN"/>
          </w:rPr>
          <w:t>6</w:t>
        </w:r>
        <w:r>
          <w:fldChar w:fldCharType="end"/>
        </w:r>
      </w:p>
    </w:sdtContent>
  </w:sdt>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4MTUxZGZkYWJhOWFiZWNlM2IwYzc5OGI5NzRjYzQ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B0C5B"/>
    <w:rsid w:val="005F4EFE"/>
    <w:rsid w:val="00657B40"/>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16A0"/>
    <w:rsid w:val="00A55CA9"/>
    <w:rsid w:val="00A959C7"/>
    <w:rsid w:val="00AE078A"/>
    <w:rsid w:val="00B42316"/>
    <w:rsid w:val="00B435CF"/>
    <w:rsid w:val="00B713E0"/>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B40728"/>
    <w:rsid w:val="04C826FC"/>
    <w:rsid w:val="04D710AE"/>
    <w:rsid w:val="05431AC5"/>
    <w:rsid w:val="055B4129"/>
    <w:rsid w:val="058F525E"/>
    <w:rsid w:val="05AE5047"/>
    <w:rsid w:val="05D64F65"/>
    <w:rsid w:val="064F716B"/>
    <w:rsid w:val="068B5D38"/>
    <w:rsid w:val="06B8742D"/>
    <w:rsid w:val="06D575E9"/>
    <w:rsid w:val="06E8731C"/>
    <w:rsid w:val="06F265AD"/>
    <w:rsid w:val="06F90833"/>
    <w:rsid w:val="071E5658"/>
    <w:rsid w:val="07930250"/>
    <w:rsid w:val="07AF39D1"/>
    <w:rsid w:val="07DE28D4"/>
    <w:rsid w:val="080476EC"/>
    <w:rsid w:val="080E4270"/>
    <w:rsid w:val="087F1930"/>
    <w:rsid w:val="088272FC"/>
    <w:rsid w:val="08A7247E"/>
    <w:rsid w:val="08A728CF"/>
    <w:rsid w:val="08A84A40"/>
    <w:rsid w:val="08F834BD"/>
    <w:rsid w:val="09077DF6"/>
    <w:rsid w:val="091241C8"/>
    <w:rsid w:val="09376339"/>
    <w:rsid w:val="09877709"/>
    <w:rsid w:val="098A4967"/>
    <w:rsid w:val="09B13A45"/>
    <w:rsid w:val="09BE6112"/>
    <w:rsid w:val="0A6C3DC0"/>
    <w:rsid w:val="0AAC7535"/>
    <w:rsid w:val="0AFD6D5D"/>
    <w:rsid w:val="0B3D575C"/>
    <w:rsid w:val="0B8B2A8B"/>
    <w:rsid w:val="0B8D6294"/>
    <w:rsid w:val="0B987180"/>
    <w:rsid w:val="0BA35E5E"/>
    <w:rsid w:val="0BA70E60"/>
    <w:rsid w:val="0BE1433A"/>
    <w:rsid w:val="0C040E46"/>
    <w:rsid w:val="0C126BE9"/>
    <w:rsid w:val="0C4D1C1D"/>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73CBB"/>
    <w:rsid w:val="0ECC7523"/>
    <w:rsid w:val="0F087E2F"/>
    <w:rsid w:val="0F0E7B3C"/>
    <w:rsid w:val="0F5301E5"/>
    <w:rsid w:val="0FAD1102"/>
    <w:rsid w:val="0FBE7ED7"/>
    <w:rsid w:val="0FC91CB4"/>
    <w:rsid w:val="0FF12338"/>
    <w:rsid w:val="10953945"/>
    <w:rsid w:val="109A22B0"/>
    <w:rsid w:val="10E548CC"/>
    <w:rsid w:val="10ED0DA6"/>
    <w:rsid w:val="115B7B4E"/>
    <w:rsid w:val="119368FA"/>
    <w:rsid w:val="119732E4"/>
    <w:rsid w:val="11A11963"/>
    <w:rsid w:val="11C03DEA"/>
    <w:rsid w:val="11C20FE9"/>
    <w:rsid w:val="11CF41B2"/>
    <w:rsid w:val="11E85901"/>
    <w:rsid w:val="126D4DDF"/>
    <w:rsid w:val="12F942BB"/>
    <w:rsid w:val="13FF72DC"/>
    <w:rsid w:val="14055456"/>
    <w:rsid w:val="1410241B"/>
    <w:rsid w:val="146A4AEC"/>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9429A5"/>
    <w:rsid w:val="17A22D12"/>
    <w:rsid w:val="17A41D79"/>
    <w:rsid w:val="17D45E88"/>
    <w:rsid w:val="18657FD3"/>
    <w:rsid w:val="187F540D"/>
    <w:rsid w:val="18CA4D24"/>
    <w:rsid w:val="19167A27"/>
    <w:rsid w:val="19444033"/>
    <w:rsid w:val="194F153B"/>
    <w:rsid w:val="19557E39"/>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AC44F0"/>
    <w:rsid w:val="1CB60D97"/>
    <w:rsid w:val="1CC41839"/>
    <w:rsid w:val="1CD540C4"/>
    <w:rsid w:val="1CE82FAE"/>
    <w:rsid w:val="1CED19AE"/>
    <w:rsid w:val="1D172F01"/>
    <w:rsid w:val="1D4B7A4A"/>
    <w:rsid w:val="1D6B5FA6"/>
    <w:rsid w:val="1DE5415D"/>
    <w:rsid w:val="1E0730ED"/>
    <w:rsid w:val="1E4A23BC"/>
    <w:rsid w:val="1EC73863"/>
    <w:rsid w:val="1EFC175F"/>
    <w:rsid w:val="1F206BF2"/>
    <w:rsid w:val="1F88196E"/>
    <w:rsid w:val="201C2D22"/>
    <w:rsid w:val="204131A1"/>
    <w:rsid w:val="20462111"/>
    <w:rsid w:val="205A1343"/>
    <w:rsid w:val="206A11BC"/>
    <w:rsid w:val="2081416F"/>
    <w:rsid w:val="20B724D5"/>
    <w:rsid w:val="21132B7C"/>
    <w:rsid w:val="215313DE"/>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452E06"/>
    <w:rsid w:val="26555BF8"/>
    <w:rsid w:val="269A7D3C"/>
    <w:rsid w:val="270E5FB0"/>
    <w:rsid w:val="27B81298"/>
    <w:rsid w:val="27EC5A7D"/>
    <w:rsid w:val="27F751B9"/>
    <w:rsid w:val="27FA58DE"/>
    <w:rsid w:val="281C4006"/>
    <w:rsid w:val="2841391F"/>
    <w:rsid w:val="28452D46"/>
    <w:rsid w:val="2872534E"/>
    <w:rsid w:val="28A571DE"/>
    <w:rsid w:val="28AD5878"/>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7071E9"/>
    <w:rsid w:val="2DF56335"/>
    <w:rsid w:val="2DF9286A"/>
    <w:rsid w:val="2DFD104F"/>
    <w:rsid w:val="2ED6443A"/>
    <w:rsid w:val="2EE138F7"/>
    <w:rsid w:val="2F0C4BE3"/>
    <w:rsid w:val="2F377CAB"/>
    <w:rsid w:val="2F4D1ED1"/>
    <w:rsid w:val="2FCB61DD"/>
    <w:rsid w:val="30952D41"/>
    <w:rsid w:val="30AD3888"/>
    <w:rsid w:val="30DD0CC4"/>
    <w:rsid w:val="30E271B6"/>
    <w:rsid w:val="31187645"/>
    <w:rsid w:val="31397F4B"/>
    <w:rsid w:val="31541DBA"/>
    <w:rsid w:val="317070E4"/>
    <w:rsid w:val="31775428"/>
    <w:rsid w:val="318F7220"/>
    <w:rsid w:val="31B63FAB"/>
    <w:rsid w:val="31D65E3F"/>
    <w:rsid w:val="31EB672C"/>
    <w:rsid w:val="31F02617"/>
    <w:rsid w:val="329A6E6D"/>
    <w:rsid w:val="32DC4272"/>
    <w:rsid w:val="33150BE9"/>
    <w:rsid w:val="334B0167"/>
    <w:rsid w:val="336C775A"/>
    <w:rsid w:val="33725861"/>
    <w:rsid w:val="33AB1A51"/>
    <w:rsid w:val="33CF4883"/>
    <w:rsid w:val="33D62126"/>
    <w:rsid w:val="33D75E9F"/>
    <w:rsid w:val="33DE375D"/>
    <w:rsid w:val="33F71B1A"/>
    <w:rsid w:val="342E014E"/>
    <w:rsid w:val="346A0719"/>
    <w:rsid w:val="3495737B"/>
    <w:rsid w:val="34B306BA"/>
    <w:rsid w:val="34BC46A1"/>
    <w:rsid w:val="34D36666"/>
    <w:rsid w:val="34F146C2"/>
    <w:rsid w:val="351358AA"/>
    <w:rsid w:val="35303AB8"/>
    <w:rsid w:val="35324607"/>
    <w:rsid w:val="36237B9A"/>
    <w:rsid w:val="363277FD"/>
    <w:rsid w:val="365E57FF"/>
    <w:rsid w:val="366A70C8"/>
    <w:rsid w:val="36AF7935"/>
    <w:rsid w:val="36B928EF"/>
    <w:rsid w:val="36D901FE"/>
    <w:rsid w:val="37164F30"/>
    <w:rsid w:val="372B7BCD"/>
    <w:rsid w:val="376728C4"/>
    <w:rsid w:val="376E08C8"/>
    <w:rsid w:val="378413EA"/>
    <w:rsid w:val="379067CC"/>
    <w:rsid w:val="38021539"/>
    <w:rsid w:val="380A28CA"/>
    <w:rsid w:val="38135099"/>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72650D"/>
    <w:rsid w:val="3BA33E48"/>
    <w:rsid w:val="3BBD0A54"/>
    <w:rsid w:val="3BBE58F0"/>
    <w:rsid w:val="3BDA41CF"/>
    <w:rsid w:val="3BE4409F"/>
    <w:rsid w:val="3BF62ED6"/>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3FC760C5"/>
    <w:rsid w:val="3FDF166A"/>
    <w:rsid w:val="40287B7C"/>
    <w:rsid w:val="403A4B1E"/>
    <w:rsid w:val="40516350"/>
    <w:rsid w:val="4081490E"/>
    <w:rsid w:val="408F79A5"/>
    <w:rsid w:val="40B17223"/>
    <w:rsid w:val="40C96B6F"/>
    <w:rsid w:val="41106F9A"/>
    <w:rsid w:val="41B62723"/>
    <w:rsid w:val="41C474D0"/>
    <w:rsid w:val="41C8474B"/>
    <w:rsid w:val="41CC073D"/>
    <w:rsid w:val="41CD47B2"/>
    <w:rsid w:val="423B584A"/>
    <w:rsid w:val="43166C1A"/>
    <w:rsid w:val="43291B47"/>
    <w:rsid w:val="432F247C"/>
    <w:rsid w:val="43625A2A"/>
    <w:rsid w:val="436D196C"/>
    <w:rsid w:val="437F06E0"/>
    <w:rsid w:val="43C31F9B"/>
    <w:rsid w:val="43D14C90"/>
    <w:rsid w:val="44093E52"/>
    <w:rsid w:val="44475071"/>
    <w:rsid w:val="445E3AFF"/>
    <w:rsid w:val="44612E7B"/>
    <w:rsid w:val="44753B35"/>
    <w:rsid w:val="44A571E8"/>
    <w:rsid w:val="45343151"/>
    <w:rsid w:val="456C2851"/>
    <w:rsid w:val="456F5F37"/>
    <w:rsid w:val="45BE1410"/>
    <w:rsid w:val="45CA5863"/>
    <w:rsid w:val="45E00434"/>
    <w:rsid w:val="45F047F0"/>
    <w:rsid w:val="45F4583A"/>
    <w:rsid w:val="46054912"/>
    <w:rsid w:val="46112717"/>
    <w:rsid w:val="46307B3F"/>
    <w:rsid w:val="46317690"/>
    <w:rsid w:val="468974CC"/>
    <w:rsid w:val="469448BA"/>
    <w:rsid w:val="46DC1289"/>
    <w:rsid w:val="472655E6"/>
    <w:rsid w:val="477D2815"/>
    <w:rsid w:val="47982EAF"/>
    <w:rsid w:val="48101C67"/>
    <w:rsid w:val="481B63B6"/>
    <w:rsid w:val="481C74F5"/>
    <w:rsid w:val="487550B7"/>
    <w:rsid w:val="48904B42"/>
    <w:rsid w:val="48917118"/>
    <w:rsid w:val="48B40105"/>
    <w:rsid w:val="48C20A74"/>
    <w:rsid w:val="48D569F9"/>
    <w:rsid w:val="48D83D6A"/>
    <w:rsid w:val="48E3765E"/>
    <w:rsid w:val="48F202EF"/>
    <w:rsid w:val="49747127"/>
    <w:rsid w:val="49B35FD2"/>
    <w:rsid w:val="49B45B0A"/>
    <w:rsid w:val="49BF4D9E"/>
    <w:rsid w:val="49D337CF"/>
    <w:rsid w:val="4A0027B1"/>
    <w:rsid w:val="4A642CF0"/>
    <w:rsid w:val="4A9A1CA8"/>
    <w:rsid w:val="4AAF69DB"/>
    <w:rsid w:val="4AC565F9"/>
    <w:rsid w:val="4ADB46D8"/>
    <w:rsid w:val="4AE1198C"/>
    <w:rsid w:val="4AF07AF1"/>
    <w:rsid w:val="4B4439C2"/>
    <w:rsid w:val="4BD110E2"/>
    <w:rsid w:val="4C261319"/>
    <w:rsid w:val="4C261844"/>
    <w:rsid w:val="4C3E48B5"/>
    <w:rsid w:val="4C5E4F57"/>
    <w:rsid w:val="4C6F4027"/>
    <w:rsid w:val="4C975D73"/>
    <w:rsid w:val="4CDF1128"/>
    <w:rsid w:val="4D0B54AD"/>
    <w:rsid w:val="4D16026A"/>
    <w:rsid w:val="4D2A1AB4"/>
    <w:rsid w:val="4D633045"/>
    <w:rsid w:val="4DA343CF"/>
    <w:rsid w:val="4DBA72D7"/>
    <w:rsid w:val="4DBD57AB"/>
    <w:rsid w:val="4E471E75"/>
    <w:rsid w:val="4E64507F"/>
    <w:rsid w:val="4E8D3684"/>
    <w:rsid w:val="4E957926"/>
    <w:rsid w:val="4EF474AD"/>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7D3F15"/>
    <w:rsid w:val="53874D93"/>
    <w:rsid w:val="53932FF4"/>
    <w:rsid w:val="53DC53F9"/>
    <w:rsid w:val="543071D9"/>
    <w:rsid w:val="543C16DA"/>
    <w:rsid w:val="54843081"/>
    <w:rsid w:val="54D2168C"/>
    <w:rsid w:val="54E720BB"/>
    <w:rsid w:val="551B4A12"/>
    <w:rsid w:val="5588094F"/>
    <w:rsid w:val="558A2919"/>
    <w:rsid w:val="5634588C"/>
    <w:rsid w:val="56615E0C"/>
    <w:rsid w:val="567846EC"/>
    <w:rsid w:val="56AC0B61"/>
    <w:rsid w:val="56B04601"/>
    <w:rsid w:val="56B45E9F"/>
    <w:rsid w:val="5701674D"/>
    <w:rsid w:val="5714693E"/>
    <w:rsid w:val="57272B15"/>
    <w:rsid w:val="575C16B2"/>
    <w:rsid w:val="57966F2A"/>
    <w:rsid w:val="57AD207D"/>
    <w:rsid w:val="57BA7F1F"/>
    <w:rsid w:val="5806097D"/>
    <w:rsid w:val="58134E48"/>
    <w:rsid w:val="583A6878"/>
    <w:rsid w:val="586E3B70"/>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084A8D"/>
    <w:rsid w:val="5C161EDE"/>
    <w:rsid w:val="5C207B33"/>
    <w:rsid w:val="5C726720"/>
    <w:rsid w:val="5C880D1C"/>
    <w:rsid w:val="5CA91A5D"/>
    <w:rsid w:val="5D04082A"/>
    <w:rsid w:val="5D2914FD"/>
    <w:rsid w:val="5D611791"/>
    <w:rsid w:val="5D755C5D"/>
    <w:rsid w:val="5DAE0264"/>
    <w:rsid w:val="5DD5494D"/>
    <w:rsid w:val="5DDE74C5"/>
    <w:rsid w:val="5E916AC6"/>
    <w:rsid w:val="5E9640DD"/>
    <w:rsid w:val="5E992621"/>
    <w:rsid w:val="5EC67DA5"/>
    <w:rsid w:val="5ED247CC"/>
    <w:rsid w:val="5F103E8F"/>
    <w:rsid w:val="5F3A0F0C"/>
    <w:rsid w:val="5F58262D"/>
    <w:rsid w:val="5F6419A2"/>
    <w:rsid w:val="5F775691"/>
    <w:rsid w:val="600414DC"/>
    <w:rsid w:val="603319A6"/>
    <w:rsid w:val="605F1472"/>
    <w:rsid w:val="606759EC"/>
    <w:rsid w:val="60A12843"/>
    <w:rsid w:val="60BA744E"/>
    <w:rsid w:val="60BB23FA"/>
    <w:rsid w:val="60FB49D2"/>
    <w:rsid w:val="61D474C9"/>
    <w:rsid w:val="62950A8E"/>
    <w:rsid w:val="629774D1"/>
    <w:rsid w:val="62BE64F4"/>
    <w:rsid w:val="62C9714A"/>
    <w:rsid w:val="635B3466"/>
    <w:rsid w:val="637B00FA"/>
    <w:rsid w:val="63DC4C88"/>
    <w:rsid w:val="64234172"/>
    <w:rsid w:val="6431668F"/>
    <w:rsid w:val="64471260"/>
    <w:rsid w:val="64803EF5"/>
    <w:rsid w:val="64835103"/>
    <w:rsid w:val="64970BAF"/>
    <w:rsid w:val="64AA6F1D"/>
    <w:rsid w:val="64F8164D"/>
    <w:rsid w:val="6502427A"/>
    <w:rsid w:val="65213EFA"/>
    <w:rsid w:val="656C3DE9"/>
    <w:rsid w:val="65715BFD"/>
    <w:rsid w:val="65732D00"/>
    <w:rsid w:val="65B34C8C"/>
    <w:rsid w:val="66050395"/>
    <w:rsid w:val="661A0932"/>
    <w:rsid w:val="66302426"/>
    <w:rsid w:val="66326DE1"/>
    <w:rsid w:val="66364452"/>
    <w:rsid w:val="6651710F"/>
    <w:rsid w:val="66624590"/>
    <w:rsid w:val="66D90189"/>
    <w:rsid w:val="66E85FB4"/>
    <w:rsid w:val="67330E86"/>
    <w:rsid w:val="674033C8"/>
    <w:rsid w:val="67614E4C"/>
    <w:rsid w:val="679C7C07"/>
    <w:rsid w:val="679F580B"/>
    <w:rsid w:val="67B37AAD"/>
    <w:rsid w:val="67F524F3"/>
    <w:rsid w:val="67F92005"/>
    <w:rsid w:val="68025435"/>
    <w:rsid w:val="688F22C8"/>
    <w:rsid w:val="68C267B6"/>
    <w:rsid w:val="68CF738C"/>
    <w:rsid w:val="68F20812"/>
    <w:rsid w:val="69021FA8"/>
    <w:rsid w:val="69137A07"/>
    <w:rsid w:val="697415F1"/>
    <w:rsid w:val="697F3ADF"/>
    <w:rsid w:val="69DA3ABA"/>
    <w:rsid w:val="6A3762A4"/>
    <w:rsid w:val="6A3D3FA6"/>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5E1B52"/>
    <w:rsid w:val="70D07922"/>
    <w:rsid w:val="70E14841"/>
    <w:rsid w:val="7113156F"/>
    <w:rsid w:val="718524BB"/>
    <w:rsid w:val="718631F8"/>
    <w:rsid w:val="71CE1DE8"/>
    <w:rsid w:val="72A11576"/>
    <w:rsid w:val="72B56CCB"/>
    <w:rsid w:val="72D23B4D"/>
    <w:rsid w:val="72D46929"/>
    <w:rsid w:val="72D729DB"/>
    <w:rsid w:val="72EC0317"/>
    <w:rsid w:val="732D4BB8"/>
    <w:rsid w:val="73353469"/>
    <w:rsid w:val="73644117"/>
    <w:rsid w:val="736D3FC9"/>
    <w:rsid w:val="736E6F7E"/>
    <w:rsid w:val="73BF6E3A"/>
    <w:rsid w:val="74035919"/>
    <w:rsid w:val="741D30BD"/>
    <w:rsid w:val="74213FF1"/>
    <w:rsid w:val="74962374"/>
    <w:rsid w:val="74FB38D2"/>
    <w:rsid w:val="750E0A19"/>
    <w:rsid w:val="75606932"/>
    <w:rsid w:val="75685790"/>
    <w:rsid w:val="756E5918"/>
    <w:rsid w:val="75712C55"/>
    <w:rsid w:val="757B7431"/>
    <w:rsid w:val="75D7226C"/>
    <w:rsid w:val="75F15990"/>
    <w:rsid w:val="76332FB4"/>
    <w:rsid w:val="76740D50"/>
    <w:rsid w:val="76807996"/>
    <w:rsid w:val="769C1001"/>
    <w:rsid w:val="76EB38E3"/>
    <w:rsid w:val="775547B2"/>
    <w:rsid w:val="777404D2"/>
    <w:rsid w:val="77770AF7"/>
    <w:rsid w:val="77F35CA4"/>
    <w:rsid w:val="781D7C27"/>
    <w:rsid w:val="7823605C"/>
    <w:rsid w:val="7875145D"/>
    <w:rsid w:val="788809AD"/>
    <w:rsid w:val="78A23E67"/>
    <w:rsid w:val="78AF7473"/>
    <w:rsid w:val="78BB3CBA"/>
    <w:rsid w:val="78C87131"/>
    <w:rsid w:val="79291DBD"/>
    <w:rsid w:val="79463D2A"/>
    <w:rsid w:val="79584959"/>
    <w:rsid w:val="796E3278"/>
    <w:rsid w:val="79B80DE0"/>
    <w:rsid w:val="7A574C10"/>
    <w:rsid w:val="7AAC0AB8"/>
    <w:rsid w:val="7AAF2356"/>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8640F9"/>
    <w:rsid w:val="7E8E06E9"/>
    <w:rsid w:val="7EA31D98"/>
    <w:rsid w:val="7EBB7DDB"/>
    <w:rsid w:val="7EC81C39"/>
    <w:rsid w:val="7EF700D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48"/>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5"/>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6"/>
    <w:unhideWhenUsed/>
    <w:qFormat/>
    <w:uiPriority w:val="9"/>
    <w:pPr>
      <w:keepNext/>
      <w:keepLines/>
      <w:outlineLvl w:val="2"/>
    </w:pPr>
    <w:rPr>
      <w:b/>
      <w:bCs/>
      <w:szCs w:val="32"/>
    </w:rPr>
  </w:style>
  <w:style w:type="paragraph" w:styleId="5">
    <w:name w:val="heading 6"/>
    <w:basedOn w:val="1"/>
    <w:next w:val="1"/>
    <w:unhideWhenUsed/>
    <w:qFormat/>
    <w:uiPriority w:val="9"/>
    <w:pPr>
      <w:keepNext/>
      <w:keepLines/>
      <w:outlineLvl w:val="5"/>
    </w:pPr>
    <w:rPr>
      <w:rFonts w:ascii="Cambria" w:hAnsi="Cambria"/>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8"/>
    <w:semiHidden/>
    <w:unhideWhenUsed/>
    <w:qFormat/>
    <w:uiPriority w:val="99"/>
    <w:pPr>
      <w:jc w:val="left"/>
    </w:pPr>
  </w:style>
  <w:style w:type="paragraph" w:styleId="8">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9">
    <w:name w:val="Body Text"/>
    <w:basedOn w:val="1"/>
    <w:next w:val="1"/>
    <w:qFormat/>
    <w:uiPriority w:val="99"/>
    <w:rPr>
      <w:szCs w:val="21"/>
    </w:rPr>
  </w:style>
  <w:style w:type="paragraph" w:styleId="10">
    <w:name w:val="Body Text Indent"/>
    <w:basedOn w:val="1"/>
    <w:link w:val="46"/>
    <w:qFormat/>
    <w:uiPriority w:val="0"/>
    <w:pPr>
      <w:ind w:left="200" w:leftChars="200"/>
    </w:pPr>
    <w:rPr>
      <w:szCs w:val="21"/>
    </w:rPr>
  </w:style>
  <w:style w:type="paragraph" w:styleId="11">
    <w:name w:val="Plain Text"/>
    <w:basedOn w:val="1"/>
    <w:qFormat/>
    <w:uiPriority w:val="0"/>
    <w:rPr>
      <w:rFonts w:hint="eastAsia" w:ascii="宋体" w:hAnsi="Courier New" w:eastAsia="宋体" w:cs="Times New Roman"/>
      <w:szCs w:val="20"/>
    </w:rPr>
  </w:style>
  <w:style w:type="paragraph" w:styleId="12">
    <w:name w:val="Body Text Indent 2"/>
    <w:basedOn w:val="1"/>
    <w:next w:val="11"/>
    <w:qFormat/>
    <w:uiPriority w:val="0"/>
    <w:pPr>
      <w:ind w:left="-718" w:leftChars="-342" w:firstLine="720" w:firstLineChars="225"/>
      <w:jc w:val="left"/>
    </w:pPr>
    <w:rPr>
      <w:sz w:val="32"/>
      <w:szCs w:val="32"/>
    </w:rPr>
  </w:style>
  <w:style w:type="paragraph" w:styleId="13">
    <w:name w:val="Balloon Text"/>
    <w:basedOn w:val="1"/>
    <w:link w:val="45"/>
    <w:semiHidden/>
    <w:unhideWhenUsed/>
    <w:qFormat/>
    <w:uiPriority w:val="99"/>
    <w:pPr>
      <w:spacing w:line="240" w:lineRule="auto"/>
    </w:pPr>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ind w:firstLine="0" w:firstLineChars="0"/>
    </w:pPr>
    <w:rPr>
      <w:rFonts w:hAnsi="宋体"/>
      <w:b/>
      <w:bCs/>
    </w:rPr>
  </w:style>
  <w:style w:type="paragraph" w:styleId="17">
    <w:name w:val="toc 2"/>
    <w:basedOn w:val="1"/>
    <w:next w:val="1"/>
    <w:unhideWhenUsed/>
    <w:qFormat/>
    <w:uiPriority w:val="39"/>
    <w:pPr>
      <w:tabs>
        <w:tab w:val="right" w:leader="dot" w:pos="8296"/>
      </w:tabs>
      <w:ind w:left="560" w:leftChars="200" w:firstLine="0" w:firstLineChars="0"/>
    </w:p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index 1"/>
    <w:basedOn w:val="1"/>
    <w:next w:val="1"/>
    <w:qFormat/>
    <w:uiPriority w:val="0"/>
  </w:style>
  <w:style w:type="paragraph" w:styleId="21">
    <w:name w:val="annotation subject"/>
    <w:basedOn w:val="7"/>
    <w:next w:val="7"/>
    <w:link w:val="39"/>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basedOn w:val="24"/>
    <w:unhideWhenUsed/>
    <w:qFormat/>
    <w:uiPriority w:val="99"/>
    <w:rPr>
      <w:color w:val="0563C1" w:themeColor="hyperlink"/>
      <w:u w:val="single"/>
    </w:rPr>
  </w:style>
  <w:style w:type="character" w:styleId="27">
    <w:name w:val="annotation reference"/>
    <w:basedOn w:val="24"/>
    <w:semiHidden/>
    <w:unhideWhenUsed/>
    <w:qFormat/>
    <w:uiPriority w:val="99"/>
    <w:rPr>
      <w:sz w:val="21"/>
      <w:szCs w:val="21"/>
    </w:rPr>
  </w:style>
  <w:style w:type="paragraph" w:customStyle="1" w:styleId="28">
    <w:name w:val="正文首行缩进 21"/>
    <w:basedOn w:val="1"/>
    <w:qFormat/>
    <w:uiPriority w:val="0"/>
    <w:pPr>
      <w:ind w:left="420" w:leftChars="200" w:firstLine="420"/>
    </w:pPr>
  </w:style>
  <w:style w:type="paragraph" w:customStyle="1" w:styleId="29">
    <w:name w:val="Body Text First Indent 21"/>
    <w:basedOn w:val="1"/>
    <w:qFormat/>
    <w:uiPriority w:val="0"/>
    <w:pPr>
      <w:ind w:left="420" w:leftChars="200" w:firstLine="420"/>
    </w:pPr>
  </w:style>
  <w:style w:type="paragraph" w:customStyle="1" w:styleId="30">
    <w:name w:val="BodyTextIndent"/>
    <w:basedOn w:val="1"/>
    <w:qFormat/>
    <w:uiPriority w:val="0"/>
    <w:pPr>
      <w:widowControl/>
      <w:ind w:left="200" w:leftChars="200"/>
      <w:textAlignment w:val="baseline"/>
    </w:pPr>
    <w:rPr>
      <w:sz w:val="21"/>
      <w:szCs w:val="21"/>
    </w:rPr>
  </w:style>
  <w:style w:type="character" w:customStyle="1" w:styleId="31">
    <w:name w:val="页眉 Char"/>
    <w:basedOn w:val="24"/>
    <w:link w:val="15"/>
    <w:qFormat/>
    <w:uiPriority w:val="99"/>
    <w:rPr>
      <w:sz w:val="18"/>
      <w:szCs w:val="18"/>
    </w:rPr>
  </w:style>
  <w:style w:type="character" w:customStyle="1" w:styleId="32">
    <w:name w:val="页脚 Char"/>
    <w:basedOn w:val="24"/>
    <w:link w:val="14"/>
    <w:qFormat/>
    <w:uiPriority w:val="99"/>
    <w:rPr>
      <w:sz w:val="18"/>
      <w:szCs w:val="18"/>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4">
    <w:name w:val="标题 1 Char"/>
    <w:basedOn w:val="24"/>
    <w:link w:val="2"/>
    <w:qFormat/>
    <w:uiPriority w:val="9"/>
    <w:rPr>
      <w:rFonts w:ascii="黑体" w:hAnsi="黑体" w:eastAsia="黑体"/>
      <w:b/>
      <w:bCs/>
      <w:kern w:val="44"/>
      <w:sz w:val="32"/>
      <w:szCs w:val="44"/>
    </w:rPr>
  </w:style>
  <w:style w:type="character" w:customStyle="1" w:styleId="35">
    <w:name w:val="标题 2 Char"/>
    <w:basedOn w:val="24"/>
    <w:link w:val="3"/>
    <w:qFormat/>
    <w:uiPriority w:val="9"/>
    <w:rPr>
      <w:rFonts w:ascii="楷体" w:hAnsi="楷体" w:eastAsia="楷体" w:cstheme="majorBidi"/>
      <w:b/>
      <w:bCs/>
      <w:sz w:val="32"/>
      <w:szCs w:val="32"/>
    </w:rPr>
  </w:style>
  <w:style w:type="character" w:customStyle="1" w:styleId="36">
    <w:name w:val="标题 3 Char"/>
    <w:basedOn w:val="24"/>
    <w:link w:val="4"/>
    <w:qFormat/>
    <w:uiPriority w:val="9"/>
    <w:rPr>
      <w:rFonts w:ascii="仿宋_GB2312" w:hAnsi="仿宋_GB2312" w:eastAsia="仿宋_GB2312"/>
      <w:b/>
      <w:bCs/>
      <w:sz w:val="28"/>
      <w:szCs w:val="32"/>
    </w:rPr>
  </w:style>
  <w:style w:type="character" w:customStyle="1" w:styleId="37">
    <w:name w:val="font01"/>
    <w:basedOn w:val="24"/>
    <w:qFormat/>
    <w:uiPriority w:val="0"/>
    <w:rPr>
      <w:rFonts w:hint="eastAsia" w:ascii="宋体" w:hAnsi="宋体" w:eastAsia="宋体" w:cs="宋体"/>
      <w:color w:val="000000"/>
      <w:sz w:val="21"/>
      <w:szCs w:val="21"/>
      <w:u w:val="none"/>
    </w:rPr>
  </w:style>
  <w:style w:type="character" w:customStyle="1" w:styleId="38">
    <w:name w:val="批注文字 Char"/>
    <w:basedOn w:val="24"/>
    <w:link w:val="7"/>
    <w:semiHidden/>
    <w:qFormat/>
    <w:uiPriority w:val="99"/>
    <w:rPr>
      <w:rFonts w:ascii="仿宋_GB2312" w:hAnsi="仿宋_GB2312" w:eastAsia="仿宋_GB2312" w:cstheme="minorBidi"/>
      <w:kern w:val="2"/>
      <w:sz w:val="28"/>
      <w:szCs w:val="22"/>
    </w:rPr>
  </w:style>
  <w:style w:type="character" w:customStyle="1" w:styleId="39">
    <w:name w:val="批注主题 Char"/>
    <w:basedOn w:val="38"/>
    <w:link w:val="21"/>
    <w:semiHidden/>
    <w:qFormat/>
    <w:uiPriority w:val="99"/>
    <w:rPr>
      <w:rFonts w:ascii="仿宋_GB2312" w:hAnsi="仿宋_GB2312" w:eastAsia="仿宋_GB2312" w:cstheme="minorBidi"/>
      <w:b/>
      <w:bCs/>
      <w:kern w:val="2"/>
      <w:sz w:val="28"/>
      <w:szCs w:val="22"/>
    </w:rPr>
  </w:style>
  <w:style w:type="paragraph" w:customStyle="1" w:styleId="40">
    <w:name w:val="NormalIndent"/>
    <w:basedOn w:val="1"/>
    <w:qFormat/>
    <w:uiPriority w:val="99"/>
    <w:pPr>
      <w:ind w:firstLine="420"/>
      <w:textAlignment w:val="baseline"/>
    </w:pPr>
    <w:rPr>
      <w:szCs w:val="21"/>
    </w:rPr>
  </w:style>
  <w:style w:type="character" w:customStyle="1" w:styleId="41">
    <w:name w:val="content1"/>
    <w:basedOn w:val="24"/>
    <w:qFormat/>
    <w:uiPriority w:val="0"/>
    <w:rPr>
      <w:rFonts w:hint="default"/>
      <w:sz w:val="21"/>
    </w:rPr>
  </w:style>
  <w:style w:type="paragraph" w:customStyle="1" w:styleId="42">
    <w:name w:val="Char2"/>
    <w:basedOn w:val="1"/>
    <w:qFormat/>
    <w:uiPriority w:val="0"/>
    <w:rPr>
      <w:rFonts w:ascii="Courier" w:hAnsi="Courier" w:cs="Courier"/>
      <w:szCs w:val="21"/>
    </w:rPr>
  </w:style>
  <w:style w:type="character" w:customStyle="1" w:styleId="43">
    <w:name w:val="NormalCharacter"/>
    <w:semiHidden/>
    <w:qFormat/>
    <w:uiPriority w:val="0"/>
  </w:style>
  <w:style w:type="paragraph" w:customStyle="1" w:styleId="44">
    <w:name w:val="Normal Indent1"/>
    <w:basedOn w:val="1"/>
    <w:qFormat/>
    <w:uiPriority w:val="99"/>
    <w:pPr>
      <w:ind w:firstLine="420"/>
    </w:pPr>
  </w:style>
  <w:style w:type="character" w:customStyle="1" w:styleId="45">
    <w:name w:val="批注框文本 Char"/>
    <w:basedOn w:val="24"/>
    <w:link w:val="13"/>
    <w:semiHidden/>
    <w:qFormat/>
    <w:uiPriority w:val="99"/>
    <w:rPr>
      <w:rFonts w:ascii="仿宋_GB2312" w:hAnsi="仿宋_GB2312" w:eastAsia="仿宋_GB2312" w:cstheme="minorBidi"/>
      <w:kern w:val="2"/>
      <w:sz w:val="18"/>
      <w:szCs w:val="18"/>
    </w:rPr>
  </w:style>
  <w:style w:type="character" w:customStyle="1" w:styleId="46">
    <w:name w:val="正文文本缩进 Char"/>
    <w:basedOn w:val="24"/>
    <w:link w:val="10"/>
    <w:qFormat/>
    <w:uiPriority w:val="0"/>
    <w:rPr>
      <w:rFonts w:ascii="仿宋_GB2312" w:hAnsi="仿宋_GB2312" w:eastAsia="仿宋_GB2312" w:cstheme="minorBidi"/>
      <w:kern w:val="2"/>
      <w:sz w:val="28"/>
      <w:szCs w:val="21"/>
    </w:rPr>
  </w:style>
  <w:style w:type="paragraph" w:styleId="47">
    <w:name w:val="List Paragraph"/>
    <w:basedOn w:val="1"/>
    <w:qFormat/>
    <w:uiPriority w:val="99"/>
    <w:pPr>
      <w:ind w:firstLine="420"/>
    </w:pPr>
  </w:style>
  <w:style w:type="character" w:customStyle="1" w:styleId="48">
    <w:name w:val="标题 1 字符"/>
    <w:basedOn w:val="24"/>
    <w:link w:val="2"/>
    <w:qFormat/>
    <w:uiPriority w:val="9"/>
    <w:rPr>
      <w:rFonts w:ascii="黑体" w:hAnsi="黑体"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11909</Words>
  <Characters>14548</Characters>
  <Lines>20</Lines>
  <Paragraphs>22</Paragraphs>
  <TotalTime>13</TotalTime>
  <ScaleCrop>false</ScaleCrop>
  <LinksUpToDate>false</LinksUpToDate>
  <CharactersWithSpaces>14947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席瑜皎</cp:lastModifiedBy>
  <cp:lastPrinted>2021-04-25T06:46:00Z</cp:lastPrinted>
  <dcterms:modified xsi:type="dcterms:W3CDTF">2025-08-20T07:24:49Z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2053319AB45E4CF8A9683F2D2FC1B7A2</vt:lpwstr>
  </property>
  <property fmtid="{D5CDD505-2E9C-101B-9397-08002B2CF9AE}" pid="4" name="KSOTemplateDocerSaveRecord">
    <vt:lpwstr>eyJoZGlkIjoiZWU5MjE0NTIwMDJjZWVjNDUzNTk2NjBkNWY1M2YyMTUiLCJ1c2VySWQiOiI0MDgyOTcxNTUifQ==</vt:lpwstr>
  </property>
</Properties>
</file>