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045FE">
      <w:pPr>
        <w:spacing w:line="480" w:lineRule="auto"/>
        <w:ind w:firstLine="883"/>
        <w:jc w:val="center"/>
        <w:rPr>
          <w:rFonts w:ascii="宋体" w:hAnsi="宋体" w:eastAsia="宋体"/>
          <w:b/>
          <w:bCs/>
          <w:sz w:val="44"/>
          <w:szCs w:val="44"/>
        </w:rPr>
      </w:pPr>
    </w:p>
    <w:p w14:paraId="5B78992B">
      <w:pPr>
        <w:spacing w:line="480" w:lineRule="auto"/>
        <w:ind w:firstLine="883"/>
        <w:jc w:val="center"/>
        <w:rPr>
          <w:rFonts w:ascii="宋体" w:hAnsi="宋体" w:eastAsia="宋体"/>
          <w:b/>
          <w:bCs/>
          <w:sz w:val="44"/>
          <w:szCs w:val="44"/>
        </w:rPr>
      </w:pPr>
    </w:p>
    <w:p w14:paraId="1BC68D99">
      <w:pPr>
        <w:spacing w:line="480" w:lineRule="auto"/>
        <w:ind w:firstLine="883"/>
        <w:jc w:val="center"/>
        <w:rPr>
          <w:rFonts w:ascii="宋体" w:hAnsi="宋体" w:eastAsia="宋体"/>
          <w:b/>
          <w:bCs/>
          <w:sz w:val="44"/>
          <w:szCs w:val="44"/>
        </w:rPr>
      </w:pPr>
    </w:p>
    <w:p w14:paraId="627B61CE">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2024</w:t>
      </w:r>
      <w:r>
        <w:rPr>
          <w:rFonts w:hint="eastAsia" w:ascii="宋体" w:hAnsi="宋体" w:eastAsia="宋体"/>
          <w:b/>
          <w:bCs/>
          <w:sz w:val="44"/>
          <w:szCs w:val="44"/>
        </w:rPr>
        <w:t>年度</w:t>
      </w:r>
      <w:r>
        <w:rPr>
          <w:rFonts w:hint="eastAsia" w:ascii="宋体" w:hAnsi="宋体" w:eastAsia="宋体"/>
          <w:b/>
          <w:bCs/>
          <w:sz w:val="44"/>
          <w:szCs w:val="44"/>
          <w:lang w:eastAsia="zh-CN"/>
        </w:rPr>
        <w:t>泾川县人民法院</w:t>
      </w:r>
    </w:p>
    <w:p w14:paraId="453D7FE1">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0CEED39F">
      <w:pPr>
        <w:widowControl/>
        <w:spacing w:line="240" w:lineRule="auto"/>
        <w:ind w:firstLine="0" w:firstLineChars="0"/>
        <w:jc w:val="left"/>
        <w:rPr>
          <w:rFonts w:ascii="宋体" w:hAnsi="宋体" w:eastAsia="宋体"/>
          <w:b/>
          <w:bCs/>
          <w:sz w:val="44"/>
          <w:szCs w:val="44"/>
        </w:rPr>
      </w:pPr>
    </w:p>
    <w:p w14:paraId="2EFA9C0D">
      <w:pPr>
        <w:ind w:firstLine="883"/>
        <w:jc w:val="center"/>
        <w:rPr>
          <w:rFonts w:ascii="宋体" w:hAnsi="宋体" w:eastAsia="宋体"/>
          <w:b/>
          <w:bCs/>
          <w:sz w:val="44"/>
          <w:szCs w:val="44"/>
        </w:rPr>
      </w:pPr>
    </w:p>
    <w:p w14:paraId="3B94FC7C">
      <w:pPr>
        <w:ind w:firstLine="883"/>
        <w:jc w:val="center"/>
        <w:rPr>
          <w:rFonts w:ascii="宋体" w:hAnsi="宋体" w:eastAsia="宋体"/>
          <w:b/>
          <w:bCs/>
          <w:sz w:val="44"/>
          <w:szCs w:val="44"/>
        </w:rPr>
      </w:pPr>
    </w:p>
    <w:p w14:paraId="512195B3">
      <w:pPr>
        <w:ind w:firstLine="883"/>
        <w:jc w:val="center"/>
        <w:rPr>
          <w:rFonts w:ascii="宋体" w:hAnsi="宋体" w:eastAsia="宋体"/>
          <w:b/>
          <w:bCs/>
          <w:sz w:val="44"/>
          <w:szCs w:val="44"/>
        </w:rPr>
      </w:pPr>
    </w:p>
    <w:p w14:paraId="245762C4">
      <w:pPr>
        <w:ind w:firstLine="883"/>
        <w:jc w:val="center"/>
        <w:rPr>
          <w:rFonts w:ascii="宋体" w:hAnsi="宋体" w:eastAsia="宋体"/>
          <w:b/>
          <w:bCs/>
          <w:sz w:val="44"/>
          <w:szCs w:val="44"/>
        </w:rPr>
      </w:pPr>
    </w:p>
    <w:p w14:paraId="24A9069F">
      <w:pPr>
        <w:ind w:firstLine="883"/>
        <w:jc w:val="center"/>
        <w:rPr>
          <w:rFonts w:ascii="宋体" w:hAnsi="宋体" w:eastAsia="宋体"/>
          <w:b/>
          <w:bCs/>
          <w:sz w:val="44"/>
          <w:szCs w:val="44"/>
        </w:rPr>
      </w:pPr>
    </w:p>
    <w:p w14:paraId="36408DBE">
      <w:pPr>
        <w:ind w:firstLine="883"/>
        <w:jc w:val="center"/>
        <w:rPr>
          <w:rFonts w:ascii="宋体" w:hAnsi="宋体" w:eastAsia="宋体"/>
          <w:b/>
          <w:bCs/>
          <w:sz w:val="44"/>
          <w:szCs w:val="44"/>
        </w:rPr>
      </w:pPr>
    </w:p>
    <w:p w14:paraId="42C929D7">
      <w:pPr>
        <w:ind w:firstLine="883"/>
        <w:jc w:val="center"/>
        <w:rPr>
          <w:rFonts w:ascii="宋体" w:hAnsi="宋体" w:eastAsia="宋体"/>
          <w:b/>
          <w:bCs/>
          <w:sz w:val="44"/>
          <w:szCs w:val="44"/>
        </w:rPr>
      </w:pPr>
    </w:p>
    <w:p w14:paraId="1F16FBC4">
      <w:pPr>
        <w:ind w:firstLine="883"/>
        <w:jc w:val="center"/>
        <w:rPr>
          <w:rFonts w:ascii="宋体" w:hAnsi="宋体" w:eastAsia="宋体"/>
          <w:b/>
          <w:bCs/>
          <w:sz w:val="44"/>
          <w:szCs w:val="44"/>
        </w:rPr>
      </w:pPr>
    </w:p>
    <w:p w14:paraId="4D0EDC17">
      <w:pPr>
        <w:ind w:firstLine="883"/>
        <w:jc w:val="center"/>
        <w:rPr>
          <w:rFonts w:ascii="宋体" w:hAnsi="宋体" w:eastAsia="宋体"/>
          <w:b/>
          <w:bCs/>
          <w:sz w:val="44"/>
          <w:szCs w:val="44"/>
        </w:rPr>
      </w:pPr>
    </w:p>
    <w:p w14:paraId="5988C838">
      <w:pPr>
        <w:ind w:firstLine="883"/>
        <w:jc w:val="center"/>
        <w:rPr>
          <w:rFonts w:ascii="宋体" w:hAnsi="宋体" w:eastAsia="宋体"/>
          <w:b/>
          <w:bCs/>
          <w:sz w:val="44"/>
          <w:szCs w:val="44"/>
        </w:rPr>
      </w:pPr>
    </w:p>
    <w:p w14:paraId="1323CD29">
      <w:pPr>
        <w:ind w:firstLine="883"/>
        <w:jc w:val="center"/>
        <w:rPr>
          <w:rFonts w:ascii="宋体" w:hAnsi="宋体" w:eastAsia="宋体"/>
          <w:b/>
          <w:bCs/>
          <w:sz w:val="44"/>
          <w:szCs w:val="44"/>
        </w:rPr>
      </w:pPr>
    </w:p>
    <w:p w14:paraId="383725C7">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泾川县人民法院</w:t>
      </w:r>
    </w:p>
    <w:p w14:paraId="47E87807">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5</w:t>
      </w:r>
      <w:r>
        <w:rPr>
          <w:rFonts w:hint="eastAsia" w:ascii="宋体" w:hAnsi="宋体" w:eastAsia="宋体"/>
          <w:b/>
          <w:bCs/>
          <w:sz w:val="32"/>
          <w:szCs w:val="32"/>
        </w:rPr>
        <w:t>年</w:t>
      </w:r>
      <w:r>
        <w:rPr>
          <w:rFonts w:hint="eastAsia" w:ascii="宋体" w:hAnsi="宋体" w:eastAsia="宋体"/>
          <w:b/>
          <w:bCs/>
          <w:sz w:val="32"/>
          <w:szCs w:val="32"/>
          <w:lang w:val="en-US" w:eastAsia="zh-CN"/>
        </w:rPr>
        <w:t>4</w:t>
      </w:r>
      <w:r>
        <w:rPr>
          <w:rFonts w:hint="eastAsia" w:ascii="宋体" w:hAnsi="宋体" w:eastAsia="宋体"/>
          <w:b/>
          <w:bCs/>
          <w:sz w:val="32"/>
          <w:szCs w:val="32"/>
        </w:rPr>
        <w:t>月</w:t>
      </w:r>
      <w:r>
        <w:rPr>
          <w:rFonts w:hint="eastAsia" w:ascii="宋体" w:hAnsi="宋体" w:eastAsia="宋体"/>
          <w:b/>
          <w:bCs/>
          <w:sz w:val="32"/>
          <w:szCs w:val="32"/>
          <w:lang w:val="en-US" w:eastAsia="zh-CN"/>
        </w:rPr>
        <w:t>21</w:t>
      </w:r>
      <w:r>
        <w:rPr>
          <w:rFonts w:hint="eastAsia" w:ascii="宋体" w:hAnsi="宋体" w:eastAsia="宋体"/>
          <w:b/>
          <w:bCs/>
          <w:sz w:val="32"/>
          <w:szCs w:val="32"/>
        </w:rPr>
        <w:t>日</w:t>
      </w:r>
    </w:p>
    <w:p w14:paraId="04C8C939">
      <w:pPr>
        <w:ind w:firstLine="560"/>
      </w:pPr>
    </w:p>
    <w:p w14:paraId="1ABE8A1B">
      <w:pPr>
        <w:pStyle w:val="33"/>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1BD5A9EA">
          <w:pPr>
            <w:pStyle w:val="33"/>
            <w:pageBreakBefore w:val="0"/>
            <w:kinsoku/>
            <w:wordWrap/>
            <w:overflowPunct/>
            <w:topLinePunct w:val="0"/>
            <w:autoSpaceDE/>
            <w:autoSpaceDN/>
            <w:bidi w:val="0"/>
            <w:adjustRightInd/>
            <w:snapToGrid/>
            <w:spacing w:line="560" w:lineRule="exact"/>
            <w:ind w:firstLine="560"/>
            <w:jc w:val="center"/>
            <w:textAlignment w:val="auto"/>
            <w:rPr>
              <w:rFonts w:ascii="黑体" w:hAnsi="黑体" w:eastAsia="黑体"/>
              <w:color w:val="auto"/>
            </w:rPr>
          </w:pPr>
          <w:r>
            <w:rPr>
              <w:rFonts w:ascii="黑体" w:hAnsi="黑体" w:eastAsia="黑体"/>
              <w:color w:val="auto"/>
              <w:lang w:val="zh-CN"/>
            </w:rPr>
            <w:t>目录</w:t>
          </w:r>
        </w:p>
        <w:p w14:paraId="66F09007">
          <w:pPr>
            <w:pStyle w:val="16"/>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_Toc20190 </w:instrText>
          </w:r>
          <w:r>
            <w:fldChar w:fldCharType="separate"/>
          </w:r>
          <w:r>
            <w:rPr>
              <w:rFonts w:hint="eastAsia"/>
            </w:rPr>
            <w:t>一、基本情况</w:t>
          </w:r>
          <w:r>
            <w:tab/>
          </w:r>
          <w:r>
            <w:fldChar w:fldCharType="begin"/>
          </w:r>
          <w:r>
            <w:instrText xml:space="preserve"> PAGEREF _Toc20190 \h </w:instrText>
          </w:r>
          <w:r>
            <w:fldChar w:fldCharType="separate"/>
          </w:r>
          <w:r>
            <w:t>1</w:t>
          </w:r>
          <w:r>
            <w:fldChar w:fldCharType="end"/>
          </w:r>
          <w:r>
            <w:fldChar w:fldCharType="end"/>
          </w:r>
        </w:p>
        <w:p w14:paraId="3C78BAA4">
          <w:pPr>
            <w:pStyle w:val="17"/>
            <w:tabs>
              <w:tab w:val="right" w:leader="dot" w:pos="8306"/>
              <w:tab w:val="clear" w:pos="8296"/>
            </w:tabs>
          </w:pPr>
          <w:r>
            <w:fldChar w:fldCharType="begin"/>
          </w:r>
          <w:r>
            <w:instrText xml:space="preserve"> HYPERLINK \l _Toc6019 </w:instrText>
          </w:r>
          <w:r>
            <w:fldChar w:fldCharType="separate"/>
          </w:r>
          <w:r>
            <w:rPr>
              <w:rFonts w:hint="eastAsia"/>
            </w:rPr>
            <w:t>（一）部门主要职能</w:t>
          </w:r>
          <w:r>
            <w:tab/>
          </w:r>
          <w:r>
            <w:fldChar w:fldCharType="begin"/>
          </w:r>
          <w:r>
            <w:instrText xml:space="preserve"> PAGEREF _Toc6019 \h </w:instrText>
          </w:r>
          <w:r>
            <w:fldChar w:fldCharType="separate"/>
          </w:r>
          <w:r>
            <w:t>1</w:t>
          </w:r>
          <w:r>
            <w:fldChar w:fldCharType="end"/>
          </w:r>
          <w:r>
            <w:fldChar w:fldCharType="end"/>
          </w:r>
        </w:p>
        <w:p w14:paraId="38852604">
          <w:pPr>
            <w:pStyle w:val="17"/>
            <w:tabs>
              <w:tab w:val="right" w:leader="dot" w:pos="8306"/>
              <w:tab w:val="clear" w:pos="8296"/>
            </w:tabs>
          </w:pPr>
          <w:r>
            <w:fldChar w:fldCharType="begin"/>
          </w:r>
          <w:r>
            <w:instrText xml:space="preserve"> HYPERLINK \l _Toc27338 </w:instrText>
          </w:r>
          <w:r>
            <w:fldChar w:fldCharType="separate"/>
          </w:r>
          <w:r>
            <w:rPr>
              <w:rFonts w:hint="eastAsia"/>
            </w:rPr>
            <w:t>（二）内设机构及所属部门概况</w:t>
          </w:r>
          <w:r>
            <w:tab/>
          </w:r>
          <w:r>
            <w:fldChar w:fldCharType="begin"/>
          </w:r>
          <w:r>
            <w:instrText xml:space="preserve"> PAGEREF _Toc27338 \h </w:instrText>
          </w:r>
          <w:r>
            <w:fldChar w:fldCharType="separate"/>
          </w:r>
          <w:r>
            <w:t>1</w:t>
          </w:r>
          <w:r>
            <w:fldChar w:fldCharType="end"/>
          </w:r>
          <w:r>
            <w:fldChar w:fldCharType="end"/>
          </w:r>
        </w:p>
        <w:p w14:paraId="40833242">
          <w:pPr>
            <w:pStyle w:val="16"/>
            <w:tabs>
              <w:tab w:val="right" w:leader="dot" w:pos="8306"/>
              <w:tab w:val="clear" w:pos="8296"/>
            </w:tabs>
          </w:pPr>
          <w:r>
            <w:fldChar w:fldCharType="begin"/>
          </w:r>
          <w:r>
            <w:instrText xml:space="preserve"> HYPERLINK \l _Toc22781 </w:instrText>
          </w:r>
          <w:r>
            <w:fldChar w:fldCharType="separate"/>
          </w:r>
          <w:r>
            <w:rPr>
              <w:rFonts w:hint="eastAsia"/>
            </w:rPr>
            <w:t>二、绩效自评工作组织开展情况</w:t>
          </w:r>
          <w:r>
            <w:tab/>
          </w:r>
          <w:r>
            <w:fldChar w:fldCharType="begin"/>
          </w:r>
          <w:r>
            <w:instrText xml:space="preserve"> PAGEREF _Toc22781 \h </w:instrText>
          </w:r>
          <w:r>
            <w:fldChar w:fldCharType="separate"/>
          </w:r>
          <w:r>
            <w:t>2</w:t>
          </w:r>
          <w:r>
            <w:fldChar w:fldCharType="end"/>
          </w:r>
          <w:r>
            <w:fldChar w:fldCharType="end"/>
          </w:r>
        </w:p>
        <w:p w14:paraId="747D81F5">
          <w:pPr>
            <w:pStyle w:val="17"/>
            <w:tabs>
              <w:tab w:val="right" w:leader="dot" w:pos="8306"/>
              <w:tab w:val="clear" w:pos="8296"/>
            </w:tabs>
          </w:pPr>
          <w:r>
            <w:fldChar w:fldCharType="begin"/>
          </w:r>
          <w:r>
            <w:instrText xml:space="preserve"> HYPERLINK \l _Toc18239 </w:instrText>
          </w:r>
          <w:r>
            <w:fldChar w:fldCharType="separate"/>
          </w:r>
          <w:r>
            <w:rPr>
              <w:rFonts w:hint="eastAsia"/>
            </w:rPr>
            <w:t>（一）自评工作组织管理情况</w:t>
          </w:r>
          <w:r>
            <w:tab/>
          </w:r>
          <w:r>
            <w:fldChar w:fldCharType="begin"/>
          </w:r>
          <w:r>
            <w:instrText xml:space="preserve"> PAGEREF _Toc18239 \h </w:instrText>
          </w:r>
          <w:r>
            <w:fldChar w:fldCharType="separate"/>
          </w:r>
          <w:r>
            <w:t>2</w:t>
          </w:r>
          <w:r>
            <w:fldChar w:fldCharType="end"/>
          </w:r>
          <w:r>
            <w:fldChar w:fldCharType="end"/>
          </w:r>
        </w:p>
        <w:p w14:paraId="2E1EA036">
          <w:pPr>
            <w:pStyle w:val="17"/>
            <w:tabs>
              <w:tab w:val="right" w:leader="dot" w:pos="8306"/>
              <w:tab w:val="clear" w:pos="8296"/>
            </w:tabs>
          </w:pPr>
          <w:r>
            <w:fldChar w:fldCharType="begin"/>
          </w:r>
          <w:r>
            <w:instrText xml:space="preserve"> HYPERLINK \l _Toc16156 </w:instrText>
          </w:r>
          <w:r>
            <w:fldChar w:fldCharType="separate"/>
          </w:r>
          <w:r>
            <w:rPr>
              <w:rFonts w:hint="eastAsia"/>
            </w:rPr>
            <w:t>（二）自评范围</w:t>
          </w:r>
          <w:r>
            <w:tab/>
          </w:r>
          <w:r>
            <w:fldChar w:fldCharType="begin"/>
          </w:r>
          <w:r>
            <w:instrText xml:space="preserve"> PAGEREF _Toc16156 \h </w:instrText>
          </w:r>
          <w:r>
            <w:fldChar w:fldCharType="separate"/>
          </w:r>
          <w:r>
            <w:t>2</w:t>
          </w:r>
          <w:r>
            <w:fldChar w:fldCharType="end"/>
          </w:r>
          <w:r>
            <w:fldChar w:fldCharType="end"/>
          </w:r>
        </w:p>
        <w:p w14:paraId="09157456">
          <w:pPr>
            <w:pStyle w:val="17"/>
            <w:tabs>
              <w:tab w:val="right" w:leader="dot" w:pos="8306"/>
              <w:tab w:val="clear" w:pos="8296"/>
            </w:tabs>
          </w:pPr>
          <w:r>
            <w:fldChar w:fldCharType="begin"/>
          </w:r>
          <w:r>
            <w:instrText xml:space="preserve"> HYPERLINK \l _Toc2059 </w:instrText>
          </w:r>
          <w:r>
            <w:fldChar w:fldCharType="separate"/>
          </w:r>
          <w:r>
            <w:rPr>
              <w:rFonts w:hint="eastAsia"/>
            </w:rPr>
            <w:t>（三）自评工作程序</w:t>
          </w:r>
          <w:r>
            <w:tab/>
          </w:r>
          <w:r>
            <w:fldChar w:fldCharType="begin"/>
          </w:r>
          <w:r>
            <w:instrText xml:space="preserve"> PAGEREF _Toc2059 \h </w:instrText>
          </w:r>
          <w:r>
            <w:fldChar w:fldCharType="separate"/>
          </w:r>
          <w:r>
            <w:t>3</w:t>
          </w:r>
          <w:r>
            <w:fldChar w:fldCharType="end"/>
          </w:r>
          <w:r>
            <w:fldChar w:fldCharType="end"/>
          </w:r>
        </w:p>
        <w:p w14:paraId="67EF1A0A">
          <w:pPr>
            <w:pStyle w:val="16"/>
            <w:tabs>
              <w:tab w:val="right" w:leader="dot" w:pos="8306"/>
              <w:tab w:val="clear" w:pos="8296"/>
            </w:tabs>
          </w:pPr>
          <w:r>
            <w:fldChar w:fldCharType="begin"/>
          </w:r>
          <w:r>
            <w:instrText xml:space="preserve"> HYPERLINK \l _Toc29274 </w:instrText>
          </w:r>
          <w:r>
            <w:fldChar w:fldCharType="separate"/>
          </w:r>
          <w:r>
            <w:rPr>
              <w:rFonts w:hint="eastAsia"/>
            </w:rPr>
            <w:t>三、部门整体支出绩效自评情况分析</w:t>
          </w:r>
          <w:r>
            <w:tab/>
          </w:r>
          <w:r>
            <w:fldChar w:fldCharType="begin"/>
          </w:r>
          <w:r>
            <w:instrText xml:space="preserve"> PAGEREF _Toc29274 \h </w:instrText>
          </w:r>
          <w:r>
            <w:fldChar w:fldCharType="separate"/>
          </w:r>
          <w:r>
            <w:t>3</w:t>
          </w:r>
          <w:r>
            <w:fldChar w:fldCharType="end"/>
          </w:r>
          <w:r>
            <w:fldChar w:fldCharType="end"/>
          </w:r>
        </w:p>
        <w:p w14:paraId="03C50FD6">
          <w:pPr>
            <w:pStyle w:val="17"/>
            <w:tabs>
              <w:tab w:val="right" w:leader="dot" w:pos="8306"/>
              <w:tab w:val="clear" w:pos="8296"/>
            </w:tabs>
          </w:pPr>
          <w:r>
            <w:fldChar w:fldCharType="begin"/>
          </w:r>
          <w:r>
            <w:instrText xml:space="preserve"> HYPERLINK \l _Toc8195 </w:instrText>
          </w:r>
          <w:r>
            <w:fldChar w:fldCharType="separate"/>
          </w:r>
          <w:r>
            <w:rPr>
              <w:rFonts w:hint="eastAsia"/>
            </w:rPr>
            <w:t>（一）部门决算情况</w:t>
          </w:r>
          <w:r>
            <w:tab/>
          </w:r>
          <w:r>
            <w:fldChar w:fldCharType="begin"/>
          </w:r>
          <w:r>
            <w:instrText xml:space="preserve"> PAGEREF _Toc8195 \h </w:instrText>
          </w:r>
          <w:r>
            <w:fldChar w:fldCharType="separate"/>
          </w:r>
          <w:r>
            <w:t>3</w:t>
          </w:r>
          <w:r>
            <w:fldChar w:fldCharType="end"/>
          </w:r>
          <w:r>
            <w:fldChar w:fldCharType="end"/>
          </w:r>
        </w:p>
        <w:p w14:paraId="09F2903A">
          <w:pPr>
            <w:pStyle w:val="17"/>
            <w:tabs>
              <w:tab w:val="right" w:leader="dot" w:pos="8306"/>
              <w:tab w:val="clear" w:pos="8296"/>
            </w:tabs>
          </w:pPr>
          <w:r>
            <w:fldChar w:fldCharType="begin"/>
          </w:r>
          <w:r>
            <w:instrText xml:space="preserve"> HYPERLINK \l _Toc23928 </w:instrText>
          </w:r>
          <w:r>
            <w:fldChar w:fldCharType="separate"/>
          </w:r>
          <w:r>
            <w:rPr>
              <w:rFonts w:hint="eastAsia"/>
            </w:rPr>
            <w:t>（二）总体绩效目标完成情况分析</w:t>
          </w:r>
          <w:r>
            <w:tab/>
          </w:r>
          <w:r>
            <w:fldChar w:fldCharType="begin"/>
          </w:r>
          <w:r>
            <w:instrText xml:space="preserve"> PAGEREF _Toc23928 \h </w:instrText>
          </w:r>
          <w:r>
            <w:fldChar w:fldCharType="separate"/>
          </w:r>
          <w:r>
            <w:t>3</w:t>
          </w:r>
          <w:r>
            <w:fldChar w:fldCharType="end"/>
          </w:r>
          <w:r>
            <w:fldChar w:fldCharType="end"/>
          </w:r>
        </w:p>
        <w:p w14:paraId="4D110041">
          <w:pPr>
            <w:pStyle w:val="17"/>
            <w:tabs>
              <w:tab w:val="right" w:leader="dot" w:pos="8306"/>
              <w:tab w:val="clear" w:pos="8296"/>
            </w:tabs>
          </w:pPr>
          <w:r>
            <w:fldChar w:fldCharType="begin"/>
          </w:r>
          <w:r>
            <w:instrText xml:space="preserve"> HYPERLINK \l _Toc27962 </w:instrText>
          </w:r>
          <w:r>
            <w:fldChar w:fldCharType="separate"/>
          </w:r>
          <w:r>
            <w:rPr>
              <w:rFonts w:hint="eastAsia"/>
            </w:rPr>
            <w:t>（三）各项指标完成情况分析</w:t>
          </w:r>
          <w:r>
            <w:tab/>
          </w:r>
          <w:r>
            <w:fldChar w:fldCharType="begin"/>
          </w:r>
          <w:r>
            <w:instrText xml:space="preserve"> PAGEREF _Toc27962 \h </w:instrText>
          </w:r>
          <w:r>
            <w:fldChar w:fldCharType="separate"/>
          </w:r>
          <w:r>
            <w:t>5</w:t>
          </w:r>
          <w:r>
            <w:fldChar w:fldCharType="end"/>
          </w:r>
          <w:r>
            <w:fldChar w:fldCharType="end"/>
          </w:r>
        </w:p>
        <w:p w14:paraId="74C27731">
          <w:pPr>
            <w:pStyle w:val="17"/>
            <w:tabs>
              <w:tab w:val="right" w:leader="dot" w:pos="8306"/>
              <w:tab w:val="clear" w:pos="8296"/>
            </w:tabs>
          </w:pPr>
          <w:r>
            <w:fldChar w:fldCharType="begin"/>
          </w:r>
          <w:r>
            <w:instrText xml:space="preserve"> HYPERLINK \l _Toc21315 </w:instrText>
          </w:r>
          <w:r>
            <w:fldChar w:fldCharType="separate"/>
          </w:r>
          <w:r>
            <w:rPr>
              <w:rFonts w:hint="eastAsia"/>
            </w:rPr>
            <w:t>（四）偏离绩效目标的原因及下一步改进措施</w:t>
          </w:r>
          <w:r>
            <w:tab/>
          </w:r>
          <w:r>
            <w:fldChar w:fldCharType="begin"/>
          </w:r>
          <w:r>
            <w:instrText xml:space="preserve"> PAGEREF _Toc21315 \h </w:instrText>
          </w:r>
          <w:r>
            <w:fldChar w:fldCharType="separate"/>
          </w:r>
          <w:r>
            <w:t>11</w:t>
          </w:r>
          <w:r>
            <w:fldChar w:fldCharType="end"/>
          </w:r>
          <w:r>
            <w:fldChar w:fldCharType="end"/>
          </w:r>
        </w:p>
        <w:p w14:paraId="392C1705">
          <w:pPr>
            <w:pStyle w:val="16"/>
            <w:tabs>
              <w:tab w:val="right" w:leader="dot" w:pos="8306"/>
              <w:tab w:val="clear" w:pos="8296"/>
            </w:tabs>
          </w:pPr>
          <w:r>
            <w:fldChar w:fldCharType="begin"/>
          </w:r>
          <w:r>
            <w:instrText xml:space="preserve"> HYPERLINK \l _Toc22566 </w:instrText>
          </w:r>
          <w:r>
            <w:fldChar w:fldCharType="separate"/>
          </w:r>
          <w:r>
            <w:rPr>
              <w:rFonts w:hint="eastAsia"/>
            </w:rPr>
            <w:t>四、部门预算项目支出绩效自评情况分析</w:t>
          </w:r>
          <w:r>
            <w:tab/>
          </w:r>
          <w:r>
            <w:fldChar w:fldCharType="begin"/>
          </w:r>
          <w:r>
            <w:instrText xml:space="preserve"> PAGEREF _Toc22566 \h </w:instrText>
          </w:r>
          <w:r>
            <w:fldChar w:fldCharType="separate"/>
          </w:r>
          <w:r>
            <w:t>11</w:t>
          </w:r>
          <w:r>
            <w:fldChar w:fldCharType="end"/>
          </w:r>
          <w:r>
            <w:fldChar w:fldCharType="end"/>
          </w:r>
        </w:p>
        <w:p w14:paraId="394934E0">
          <w:pPr>
            <w:pStyle w:val="17"/>
            <w:tabs>
              <w:tab w:val="right" w:leader="dot" w:pos="8306"/>
              <w:tab w:val="clear" w:pos="8296"/>
            </w:tabs>
          </w:pPr>
          <w:r>
            <w:fldChar w:fldCharType="begin"/>
          </w:r>
          <w:r>
            <w:instrText xml:space="preserve"> HYPERLINK \l _Toc32694 </w:instrText>
          </w:r>
          <w:r>
            <w:fldChar w:fldCharType="separate"/>
          </w:r>
          <w:r>
            <w:rPr>
              <w:rFonts w:hint="eastAsia"/>
            </w:rPr>
            <w:t>（一）</w:t>
          </w:r>
          <w:r>
            <w:rPr>
              <w:rFonts w:hint="eastAsia" w:hAnsi="宋体"/>
              <w:szCs w:val="28"/>
            </w:rPr>
            <w:t>全省法院</w:t>
          </w:r>
          <w:r>
            <w:rPr>
              <w:rFonts w:hint="eastAsia"/>
            </w:rPr>
            <w:t>业务费</w:t>
          </w:r>
          <w:r>
            <w:tab/>
          </w:r>
          <w:r>
            <w:fldChar w:fldCharType="begin"/>
          </w:r>
          <w:r>
            <w:instrText xml:space="preserve"> PAGEREF _Toc32694 \h </w:instrText>
          </w:r>
          <w:r>
            <w:fldChar w:fldCharType="separate"/>
          </w:r>
          <w:r>
            <w:t>11</w:t>
          </w:r>
          <w:r>
            <w:fldChar w:fldCharType="end"/>
          </w:r>
          <w:r>
            <w:fldChar w:fldCharType="end"/>
          </w:r>
        </w:p>
        <w:p w14:paraId="01111321">
          <w:pPr>
            <w:pStyle w:val="17"/>
            <w:tabs>
              <w:tab w:val="right" w:leader="dot" w:pos="8306"/>
              <w:tab w:val="clear" w:pos="8296"/>
            </w:tabs>
          </w:pPr>
          <w:r>
            <w:fldChar w:fldCharType="begin"/>
          </w:r>
          <w:r>
            <w:instrText xml:space="preserve"> HYPERLINK \l _Toc5325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_Toc5325 \h </w:instrText>
          </w:r>
          <w:r>
            <w:fldChar w:fldCharType="separate"/>
          </w:r>
          <w:r>
            <w:t>17</w:t>
          </w:r>
          <w:r>
            <w:fldChar w:fldCharType="end"/>
          </w:r>
          <w:r>
            <w:fldChar w:fldCharType="end"/>
          </w:r>
        </w:p>
        <w:p w14:paraId="5156F09B">
          <w:pPr>
            <w:pStyle w:val="17"/>
            <w:tabs>
              <w:tab w:val="right" w:leader="dot" w:pos="8306"/>
              <w:tab w:val="clear" w:pos="8296"/>
            </w:tabs>
          </w:pPr>
          <w:r>
            <w:fldChar w:fldCharType="begin"/>
          </w:r>
          <w:r>
            <w:instrText xml:space="preserve"> HYPERLINK \l _Toc26343 </w:instrText>
          </w:r>
          <w:r>
            <w:fldChar w:fldCharType="separate"/>
          </w:r>
          <w:r>
            <w:rPr>
              <w:rFonts w:hint="eastAsia"/>
            </w:rPr>
            <w:t>（</w:t>
          </w:r>
          <w:r>
            <w:rPr>
              <w:rFonts w:hint="eastAsia"/>
              <w:lang w:val="en-US" w:eastAsia="zh-CN"/>
            </w:rPr>
            <w:t>三</w:t>
          </w:r>
          <w:r>
            <w:rPr>
              <w:rFonts w:hint="eastAsia"/>
            </w:rPr>
            <w:t>）</w:t>
          </w:r>
          <w:r>
            <w:rPr>
              <w:rFonts w:hint="eastAsia" w:hAnsi="宋体"/>
              <w:szCs w:val="28"/>
            </w:rPr>
            <w:t>第一批“全省法院维修改造”项目</w:t>
          </w:r>
          <w:r>
            <w:tab/>
          </w:r>
          <w:r>
            <w:fldChar w:fldCharType="begin"/>
          </w:r>
          <w:r>
            <w:instrText xml:space="preserve"> PAGEREF _Toc26343 \h </w:instrText>
          </w:r>
          <w:r>
            <w:fldChar w:fldCharType="separate"/>
          </w:r>
          <w:r>
            <w:t>22</w:t>
          </w:r>
          <w:r>
            <w:fldChar w:fldCharType="end"/>
          </w:r>
          <w:r>
            <w:fldChar w:fldCharType="end"/>
          </w:r>
        </w:p>
        <w:p w14:paraId="626A55C0">
          <w:pPr>
            <w:pStyle w:val="17"/>
            <w:tabs>
              <w:tab w:val="right" w:leader="dot" w:pos="8306"/>
              <w:tab w:val="clear" w:pos="8296"/>
            </w:tabs>
          </w:pPr>
          <w:r>
            <w:fldChar w:fldCharType="begin"/>
          </w:r>
          <w:r>
            <w:instrText xml:space="preserve"> HYPERLINK \l _Toc24168 </w:instrText>
          </w:r>
          <w:r>
            <w:fldChar w:fldCharType="separate"/>
          </w:r>
          <w:r>
            <w:rPr>
              <w:rFonts w:hint="eastAsia"/>
              <w:highlight w:val="none"/>
            </w:rPr>
            <w:t>（</w:t>
          </w:r>
          <w:r>
            <w:rPr>
              <w:rFonts w:hint="eastAsia"/>
              <w:highlight w:val="none"/>
              <w:lang w:val="en-US" w:eastAsia="zh-CN"/>
            </w:rPr>
            <w:t>四</w:t>
          </w:r>
          <w:r>
            <w:rPr>
              <w:rFonts w:hint="eastAsia"/>
              <w:highlight w:val="none"/>
            </w:rPr>
            <w:t>）</w:t>
          </w:r>
          <w:r>
            <w:rPr>
              <w:rFonts w:hint="eastAsia" w:hAnsi="宋体"/>
              <w:szCs w:val="28"/>
              <w:highlight w:val="none"/>
            </w:rPr>
            <w:t>全省法院“两庭”建设资金</w:t>
          </w:r>
          <w:r>
            <w:tab/>
          </w:r>
          <w:r>
            <w:fldChar w:fldCharType="begin"/>
          </w:r>
          <w:r>
            <w:instrText xml:space="preserve"> PAGEREF _Toc24168 \h </w:instrText>
          </w:r>
          <w:r>
            <w:fldChar w:fldCharType="separate"/>
          </w:r>
          <w:r>
            <w:t>25</w:t>
          </w:r>
          <w:r>
            <w:fldChar w:fldCharType="end"/>
          </w:r>
          <w:r>
            <w:fldChar w:fldCharType="end"/>
          </w:r>
        </w:p>
        <w:p w14:paraId="0356C461">
          <w:pPr>
            <w:pStyle w:val="17"/>
            <w:tabs>
              <w:tab w:val="right" w:leader="dot" w:pos="8306"/>
              <w:tab w:val="clear" w:pos="8296"/>
            </w:tabs>
          </w:pPr>
          <w:r>
            <w:fldChar w:fldCharType="begin"/>
          </w:r>
          <w:r>
            <w:instrText xml:space="preserve"> HYPERLINK \l _Toc2212 </w:instrText>
          </w:r>
          <w:r>
            <w:fldChar w:fldCharType="separate"/>
          </w:r>
          <w:r>
            <w:rPr>
              <w:rFonts w:hint="eastAsia"/>
              <w:highlight w:val="none"/>
            </w:rPr>
            <w:t>（</w:t>
          </w:r>
          <w:r>
            <w:rPr>
              <w:rFonts w:hint="eastAsia"/>
              <w:highlight w:val="none"/>
              <w:lang w:val="en-US" w:eastAsia="zh-CN"/>
            </w:rPr>
            <w:t>五</w:t>
          </w:r>
          <w:r>
            <w:rPr>
              <w:rFonts w:hint="eastAsia"/>
              <w:highlight w:val="none"/>
            </w:rPr>
            <w:t>）</w:t>
          </w:r>
          <w:r>
            <w:rPr>
              <w:rFonts w:hint="eastAsia" w:hAnsi="宋体"/>
              <w:szCs w:val="28"/>
              <w:highlight w:val="none"/>
            </w:rPr>
            <w:t>全省法院“两庭建设”资金</w:t>
          </w:r>
          <w:r>
            <w:tab/>
          </w:r>
          <w:r>
            <w:fldChar w:fldCharType="begin"/>
          </w:r>
          <w:r>
            <w:instrText xml:space="preserve"> PAGEREF _Toc2212 \h </w:instrText>
          </w:r>
          <w:r>
            <w:fldChar w:fldCharType="separate"/>
          </w:r>
          <w:r>
            <w:t>30</w:t>
          </w:r>
          <w:r>
            <w:fldChar w:fldCharType="end"/>
          </w:r>
          <w:r>
            <w:fldChar w:fldCharType="end"/>
          </w:r>
        </w:p>
        <w:p w14:paraId="57410377">
          <w:pPr>
            <w:pStyle w:val="17"/>
            <w:tabs>
              <w:tab w:val="right" w:leader="dot" w:pos="8306"/>
              <w:tab w:val="clear" w:pos="8296"/>
            </w:tabs>
          </w:pPr>
          <w:r>
            <w:fldChar w:fldCharType="begin"/>
          </w:r>
          <w:r>
            <w:instrText xml:space="preserve"> HYPERLINK \l _Toc2343 </w:instrText>
          </w:r>
          <w:r>
            <w:fldChar w:fldCharType="separate"/>
          </w:r>
          <w:r>
            <w:rPr>
              <w:rFonts w:hint="eastAsia"/>
              <w:lang w:eastAsia="zh-CN"/>
            </w:rPr>
            <w:t>（</w:t>
          </w:r>
          <w:r>
            <w:rPr>
              <w:rFonts w:hint="eastAsia"/>
              <w:lang w:val="en-US" w:eastAsia="zh-CN"/>
            </w:rPr>
            <w:t>六</w:t>
          </w:r>
          <w:r>
            <w:rPr>
              <w:rFonts w:hint="eastAsia"/>
              <w:lang w:eastAsia="zh-CN"/>
            </w:rPr>
            <w:t>）全省法院人民法庭维修经费</w:t>
          </w:r>
          <w:r>
            <w:tab/>
          </w:r>
          <w:r>
            <w:fldChar w:fldCharType="begin"/>
          </w:r>
          <w:r>
            <w:instrText xml:space="preserve"> PAGEREF _Toc2343 \h </w:instrText>
          </w:r>
          <w:r>
            <w:fldChar w:fldCharType="separate"/>
          </w:r>
          <w:r>
            <w:t>31</w:t>
          </w:r>
          <w:r>
            <w:fldChar w:fldCharType="end"/>
          </w:r>
          <w:r>
            <w:fldChar w:fldCharType="end"/>
          </w:r>
        </w:p>
        <w:p w14:paraId="7C84CBE5">
          <w:pPr>
            <w:pStyle w:val="16"/>
            <w:tabs>
              <w:tab w:val="right" w:leader="dot" w:pos="8306"/>
              <w:tab w:val="clear" w:pos="8296"/>
            </w:tabs>
          </w:pPr>
          <w:r>
            <w:fldChar w:fldCharType="begin"/>
          </w:r>
          <w:r>
            <w:instrText xml:space="preserve"> HYPERLINK \l _Toc13737 </w:instrText>
          </w:r>
          <w:r>
            <w:fldChar w:fldCharType="separate"/>
          </w:r>
          <w:r>
            <w:rPr>
              <w:rFonts w:hint="eastAsia"/>
              <w:lang w:val="en-US" w:eastAsia="zh-CN"/>
            </w:rPr>
            <w:t>五、绩效自评结果拟应用和公开情况</w:t>
          </w:r>
          <w:r>
            <w:tab/>
          </w:r>
          <w:r>
            <w:fldChar w:fldCharType="begin"/>
          </w:r>
          <w:r>
            <w:instrText xml:space="preserve"> PAGEREF _Toc13737 \h </w:instrText>
          </w:r>
          <w:r>
            <w:fldChar w:fldCharType="separate"/>
          </w:r>
          <w:r>
            <w:t>32</w:t>
          </w:r>
          <w:r>
            <w:fldChar w:fldCharType="end"/>
          </w:r>
          <w:r>
            <w:fldChar w:fldCharType="end"/>
          </w:r>
        </w:p>
        <w:p w14:paraId="13221DCC">
          <w:pPr>
            <w:pStyle w:val="16"/>
            <w:tabs>
              <w:tab w:val="right" w:leader="dot" w:pos="8306"/>
              <w:tab w:val="clear" w:pos="8296"/>
            </w:tabs>
          </w:pPr>
          <w:r>
            <w:fldChar w:fldCharType="begin"/>
          </w:r>
          <w:r>
            <w:instrText xml:space="preserve"> HYPERLINK \l _Toc25330 </w:instrText>
          </w:r>
          <w:r>
            <w:fldChar w:fldCharType="separate"/>
          </w:r>
          <w:r>
            <w:rPr>
              <w:rFonts w:hint="eastAsia"/>
              <w:lang w:val="en-US" w:eastAsia="zh-CN"/>
            </w:rPr>
            <w:t>六、其他需要说明的问题</w:t>
          </w:r>
          <w:r>
            <w:tab/>
          </w:r>
          <w:r>
            <w:fldChar w:fldCharType="begin"/>
          </w:r>
          <w:r>
            <w:instrText xml:space="preserve"> PAGEREF _Toc25330 \h </w:instrText>
          </w:r>
          <w:r>
            <w:fldChar w:fldCharType="separate"/>
          </w:r>
          <w:r>
            <w:t>32</w:t>
          </w:r>
          <w:r>
            <w:fldChar w:fldCharType="end"/>
          </w:r>
          <w:r>
            <w:fldChar w:fldCharType="end"/>
          </w:r>
        </w:p>
        <w:p w14:paraId="61B92AF9">
          <w:pPr>
            <w:pageBreakBefore w:val="0"/>
            <w:kinsoku/>
            <w:wordWrap/>
            <w:overflowPunct/>
            <w:topLinePunct w:val="0"/>
            <w:autoSpaceDE/>
            <w:autoSpaceDN/>
            <w:bidi w:val="0"/>
            <w:adjustRightInd/>
            <w:snapToGrid/>
            <w:spacing w:line="560" w:lineRule="exact"/>
            <w:ind w:firstLine="0" w:firstLineChars="0"/>
            <w:textAlignment w:val="auto"/>
          </w:pPr>
          <w:r>
            <w:fldChar w:fldCharType="end"/>
          </w:r>
        </w:p>
      </w:sdtContent>
    </w:sdt>
    <w:p w14:paraId="04D9A408">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4040"/>
      <w:bookmarkStart w:id="1" w:name="_Toc13158"/>
      <w:bookmarkStart w:id="2" w:name="_Toc28671"/>
      <w:bookmarkStart w:id="3" w:name="_Toc22477"/>
      <w:bookmarkStart w:id="4" w:name="_Toc18188"/>
    </w:p>
    <w:p w14:paraId="733EB8B2">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泾川县人民法院2024</w:t>
      </w:r>
      <w:r>
        <w:rPr>
          <w:rFonts w:hint="eastAsia" w:ascii="宋体" w:hAnsi="宋体" w:eastAsia="宋体" w:cs="Arial"/>
          <w:b/>
          <w:bCs/>
          <w:sz w:val="44"/>
          <w:szCs w:val="44"/>
        </w:rPr>
        <w:t>年度</w:t>
      </w:r>
    </w:p>
    <w:p w14:paraId="2636DD0C">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204D3DC7">
      <w:pPr>
        <w:pStyle w:val="2"/>
        <w:spacing w:before="0" w:after="0" w:line="560" w:lineRule="exact"/>
        <w:ind w:firstLine="643" w:firstLineChars="200"/>
      </w:pPr>
      <w:bookmarkStart w:id="5" w:name="_Toc20190"/>
      <w:r>
        <w:rPr>
          <w:rFonts w:hint="eastAsia"/>
        </w:rPr>
        <w:t>一、基本情况</w:t>
      </w:r>
      <w:bookmarkEnd w:id="2"/>
      <w:bookmarkEnd w:id="3"/>
      <w:bookmarkEnd w:id="4"/>
      <w:bookmarkEnd w:id="5"/>
    </w:p>
    <w:p w14:paraId="7FF139C5">
      <w:pPr>
        <w:pStyle w:val="3"/>
        <w:spacing w:before="0" w:after="0" w:line="560" w:lineRule="exact"/>
        <w:ind w:firstLine="643"/>
      </w:pPr>
      <w:bookmarkStart w:id="6" w:name="_Toc24636"/>
      <w:bookmarkStart w:id="7" w:name="_Toc819"/>
      <w:bookmarkStart w:id="8" w:name="_Toc18868"/>
      <w:bookmarkStart w:id="9" w:name="_Toc6019"/>
      <w:r>
        <w:rPr>
          <w:rFonts w:hint="eastAsia"/>
        </w:rPr>
        <w:t>（一）部门主要职能</w:t>
      </w:r>
      <w:bookmarkEnd w:id="6"/>
      <w:bookmarkEnd w:id="7"/>
      <w:bookmarkEnd w:id="8"/>
      <w:bookmarkEnd w:id="9"/>
    </w:p>
    <w:p w14:paraId="488DD558">
      <w:pPr>
        <w:spacing w:line="560" w:lineRule="exact"/>
        <w:ind w:firstLine="640"/>
        <w:rPr>
          <w:rFonts w:hint="eastAsia"/>
        </w:rPr>
      </w:pPr>
      <w:bookmarkStart w:id="10" w:name="_Toc7151"/>
      <w:bookmarkStart w:id="11" w:name="_Toc20782"/>
      <w:bookmarkStart w:id="12" w:name="_Toc25335"/>
      <w:r>
        <w:rPr>
          <w:rFonts w:hint="eastAsia"/>
        </w:rPr>
        <w:t>泾川县人民法院是国家审判机关，对泾川县人民代表大会及其常务委员会负责并报告工作，接受县人民代表大会及其常务委员会的监督。其主要职责有：</w:t>
      </w:r>
    </w:p>
    <w:p w14:paraId="2B5ADABD">
      <w:pPr>
        <w:numPr>
          <w:ilvl w:val="0"/>
          <w:numId w:val="1"/>
        </w:numPr>
        <w:spacing w:line="560" w:lineRule="exact"/>
        <w:ind w:firstLine="640"/>
        <w:rPr>
          <w:rFonts w:hint="eastAsia"/>
        </w:rPr>
      </w:pPr>
      <w:r>
        <w:rPr>
          <w:rFonts w:hint="eastAsia"/>
        </w:rPr>
        <w:t>审判法律规定由县法院管辖的刑事、民事、行政等第一审案件；依法做好再审案件和信访工作。</w:t>
      </w:r>
    </w:p>
    <w:p w14:paraId="0642E69D">
      <w:pPr>
        <w:numPr>
          <w:ilvl w:val="0"/>
          <w:numId w:val="1"/>
        </w:numPr>
        <w:spacing w:line="560" w:lineRule="exact"/>
        <w:ind w:firstLine="640"/>
        <w:rPr>
          <w:rFonts w:hint="eastAsia"/>
        </w:rPr>
      </w:pPr>
      <w:r>
        <w:rPr>
          <w:rFonts w:hint="eastAsia"/>
        </w:rPr>
        <w:t>依法行使立案权、司法执行权和司法决定权。</w:t>
      </w:r>
    </w:p>
    <w:p w14:paraId="7EB0FA88">
      <w:pPr>
        <w:numPr>
          <w:ilvl w:val="0"/>
          <w:numId w:val="1"/>
        </w:numPr>
        <w:spacing w:line="560" w:lineRule="exact"/>
        <w:ind w:firstLine="640"/>
        <w:rPr>
          <w:rFonts w:hint="eastAsia"/>
        </w:rPr>
      </w:pPr>
      <w:r>
        <w:rPr>
          <w:rFonts w:hint="eastAsia"/>
        </w:rPr>
        <w:t>针对案件审理发现的问题提出司法建议。</w:t>
      </w:r>
    </w:p>
    <w:p w14:paraId="6E675B31">
      <w:pPr>
        <w:numPr>
          <w:ilvl w:val="0"/>
          <w:numId w:val="1"/>
        </w:numPr>
        <w:spacing w:line="560" w:lineRule="exact"/>
        <w:ind w:firstLine="640"/>
        <w:rPr>
          <w:rFonts w:hint="eastAsia"/>
        </w:rPr>
      </w:pPr>
      <w:r>
        <w:rPr>
          <w:rFonts w:hint="eastAsia"/>
        </w:rPr>
        <w:t>按照权限管理法官、执行员、书记员、司法警察及司法行政人员；协同主管部门管理法院的机构设置、人员编制工作。</w:t>
      </w:r>
    </w:p>
    <w:p w14:paraId="0EDE8CF2">
      <w:pPr>
        <w:numPr>
          <w:ilvl w:val="0"/>
          <w:numId w:val="1"/>
        </w:numPr>
        <w:spacing w:line="560" w:lineRule="exact"/>
        <w:ind w:firstLine="640"/>
        <w:rPr>
          <w:rFonts w:hint="eastAsia"/>
        </w:rPr>
      </w:pPr>
      <w:r>
        <w:rPr>
          <w:rFonts w:hint="eastAsia"/>
        </w:rPr>
        <w:t>管理法院的有关经费和物资装备。</w:t>
      </w:r>
    </w:p>
    <w:p w14:paraId="5A6401EB">
      <w:pPr>
        <w:numPr>
          <w:ilvl w:val="0"/>
          <w:numId w:val="1"/>
        </w:numPr>
        <w:spacing w:line="560" w:lineRule="exact"/>
        <w:ind w:firstLine="640"/>
        <w:rPr>
          <w:rFonts w:hint="eastAsia"/>
        </w:rPr>
      </w:pPr>
      <w:r>
        <w:rPr>
          <w:rFonts w:hint="eastAsia"/>
        </w:rPr>
        <w:t>在业务工作中宣传法制，教育公民忠于社会主义祖国，自觉遵守宪法、法律和社会公德。</w:t>
      </w:r>
    </w:p>
    <w:p w14:paraId="2AA5094E">
      <w:pPr>
        <w:numPr>
          <w:ilvl w:val="0"/>
          <w:numId w:val="1"/>
        </w:numPr>
        <w:spacing w:line="560" w:lineRule="exact"/>
        <w:ind w:firstLine="640"/>
        <w:rPr>
          <w:rFonts w:hint="eastAsia"/>
        </w:rPr>
      </w:pPr>
      <w:r>
        <w:rPr>
          <w:rFonts w:hint="eastAsia"/>
        </w:rPr>
        <w:t>管理干警的思想政治，教育培训工作。</w:t>
      </w:r>
    </w:p>
    <w:p w14:paraId="67A4C853">
      <w:pPr>
        <w:numPr>
          <w:ilvl w:val="0"/>
          <w:numId w:val="1"/>
        </w:numPr>
        <w:spacing w:line="560" w:lineRule="exact"/>
        <w:ind w:firstLine="640"/>
        <w:rPr>
          <w:rFonts w:hint="eastAsia"/>
        </w:rPr>
      </w:pPr>
      <w:r>
        <w:rPr>
          <w:rFonts w:hint="eastAsia"/>
        </w:rPr>
        <w:t>承办其他应由县法院负责的工作。</w:t>
      </w:r>
    </w:p>
    <w:p w14:paraId="20EB7B98">
      <w:pPr>
        <w:pStyle w:val="3"/>
        <w:spacing w:before="0" w:after="0" w:line="560" w:lineRule="exact"/>
        <w:ind w:firstLine="643"/>
      </w:pPr>
      <w:bookmarkStart w:id="13" w:name="_Toc27338"/>
      <w:r>
        <w:rPr>
          <w:rFonts w:hint="eastAsia"/>
        </w:rPr>
        <w:t>（二）内设机构及所属部门概况</w:t>
      </w:r>
      <w:bookmarkEnd w:id="10"/>
      <w:bookmarkEnd w:id="11"/>
      <w:bookmarkEnd w:id="12"/>
      <w:bookmarkEnd w:id="13"/>
    </w:p>
    <w:p w14:paraId="1149B4EF">
      <w:pPr>
        <w:numPr>
          <w:ilvl w:val="0"/>
          <w:numId w:val="0"/>
        </w:numPr>
        <w:spacing w:line="560" w:lineRule="exact"/>
        <w:ind w:firstLine="640" w:firstLineChars="200"/>
        <w:rPr>
          <w:rFonts w:hint="eastAsia"/>
        </w:rPr>
      </w:pPr>
      <w:r>
        <w:rPr>
          <w:rFonts w:hint="eastAsia"/>
        </w:rPr>
        <w:t>机关内设机构13个，包括：立案庭（诉讼服务中心）、刑事审判庭、民事审判庭、行政审判庭（综合审判庭）、执行局（庭）、审判管理办公室（研究室）、综合办公室（司法警察大队）、政治部（机关党总支）、监察室。</w:t>
      </w:r>
    </w:p>
    <w:p w14:paraId="05392B65">
      <w:pPr>
        <w:pStyle w:val="2"/>
        <w:spacing w:before="0" w:after="0" w:line="560" w:lineRule="exact"/>
        <w:ind w:firstLine="643" w:firstLineChars="200"/>
      </w:pPr>
      <w:bookmarkStart w:id="14" w:name="_Toc4574"/>
      <w:bookmarkStart w:id="15" w:name="_Toc18193"/>
      <w:bookmarkStart w:id="16" w:name="_Toc13794"/>
      <w:bookmarkStart w:id="17" w:name="_Toc22781"/>
      <w:r>
        <w:rPr>
          <w:rFonts w:hint="eastAsia"/>
        </w:rPr>
        <w:t>二、绩效自评工作组织开展情况</w:t>
      </w:r>
      <w:bookmarkEnd w:id="14"/>
      <w:bookmarkEnd w:id="15"/>
      <w:bookmarkEnd w:id="16"/>
      <w:bookmarkEnd w:id="17"/>
    </w:p>
    <w:p w14:paraId="6D02225D">
      <w:pPr>
        <w:pStyle w:val="3"/>
        <w:spacing w:before="0" w:after="0" w:line="560" w:lineRule="exact"/>
        <w:ind w:firstLine="643"/>
      </w:pPr>
      <w:bookmarkStart w:id="18" w:name="_Toc18239"/>
      <w:bookmarkStart w:id="19" w:name="_Toc4177"/>
      <w:bookmarkStart w:id="20" w:name="_Toc31965"/>
      <w:bookmarkStart w:id="21" w:name="_Toc11147"/>
      <w:r>
        <w:rPr>
          <w:rFonts w:hint="eastAsia"/>
        </w:rPr>
        <w:t>（一）自评工作组织管理情况</w:t>
      </w:r>
      <w:bookmarkEnd w:id="18"/>
    </w:p>
    <w:p w14:paraId="480E5BEE">
      <w:pPr>
        <w:spacing w:line="560" w:lineRule="exact"/>
        <w:ind w:firstLine="640"/>
        <w:rPr>
          <w:sz w:val="32"/>
          <w:szCs w:val="24"/>
        </w:rPr>
      </w:pPr>
      <w:bookmarkStart w:id="22" w:name="_Toc28216"/>
      <w:bookmarkStart w:id="23" w:name="_Toc13356"/>
      <w:bookmarkStart w:id="24" w:name="_Toc26980"/>
      <w:bookmarkStart w:id="25" w:name="_Toc29448"/>
      <w:r>
        <w:rPr>
          <w:rFonts w:hint="eastAsia"/>
          <w:sz w:val="32"/>
          <w:szCs w:val="24"/>
        </w:rPr>
        <w:t>我院十分重视此次绩效评价工作，要求财务部门严格按照</w:t>
      </w:r>
      <w:r>
        <w:rPr>
          <w:rFonts w:hint="eastAsia"/>
          <w:sz w:val="32"/>
          <w:szCs w:val="24"/>
          <w:lang w:eastAsia="zh-CN"/>
        </w:rPr>
        <w:t>甘肃省</w:t>
      </w:r>
      <w:r>
        <w:rPr>
          <w:rFonts w:hint="eastAsia"/>
          <w:sz w:val="32"/>
          <w:szCs w:val="24"/>
        </w:rPr>
        <w:t>有关文件精神，科学分析，精准评价，确保绩效评价客观公正。工作启动后，严格按照《中华人民共和国预算法》《中华人民共和国预算法实施条例》《中共中央国务院关于全面实施预算绩效管理的意见》（</w:t>
      </w:r>
      <w:r>
        <w:rPr>
          <w:rFonts w:hint="eastAsia"/>
          <w:sz w:val="32"/>
          <w:szCs w:val="24"/>
          <w:lang w:val="en-US" w:eastAsia="zh-CN"/>
        </w:rPr>
        <w:t>中</w:t>
      </w:r>
      <w:r>
        <w:rPr>
          <w:rFonts w:hint="eastAsia"/>
          <w:sz w:val="32"/>
          <w:szCs w:val="24"/>
        </w:rPr>
        <w:t>发〔2018〕34号）、《中共甘肃省委甘肃省人民政府关于全面实施预算绩效管理的实施意见》（</w:t>
      </w:r>
      <w:r>
        <w:rPr>
          <w:rFonts w:hint="eastAsia"/>
          <w:sz w:val="32"/>
          <w:szCs w:val="24"/>
          <w:lang w:val="en-US" w:eastAsia="zh-CN"/>
        </w:rPr>
        <w:t>甘</w:t>
      </w:r>
      <w:r>
        <w:rPr>
          <w:rFonts w:hint="eastAsia"/>
          <w:sz w:val="32"/>
          <w:szCs w:val="24"/>
        </w:rPr>
        <w:t>发〔2018〕32号）、《甘肃省省级预算绩效管理办法》（甘财绩〔2020〕5号）等文件的要求，联合各相关业务部门共同完成此次自评工作。自评工作遵循科学公正、统筹兼顾、激励约束和公开透明的原则，以我院</w:t>
      </w:r>
      <w:r>
        <w:rPr>
          <w:rFonts w:hint="eastAsia"/>
          <w:sz w:val="32"/>
          <w:szCs w:val="24"/>
          <w:lang w:eastAsia="zh-CN"/>
        </w:rPr>
        <w:t>2024</w:t>
      </w:r>
      <w:r>
        <w:rPr>
          <w:rFonts w:hint="eastAsia"/>
          <w:sz w:val="32"/>
          <w:szCs w:val="24"/>
        </w:rPr>
        <w:t>年初设定的绩效目标及相关法律法规、政策要求、行业规划、部门职责等为依据，运用定量和定性相结合的评价方法，对我院</w:t>
      </w:r>
      <w:r>
        <w:rPr>
          <w:rFonts w:hint="eastAsia"/>
          <w:sz w:val="32"/>
          <w:szCs w:val="24"/>
          <w:lang w:eastAsia="zh-CN"/>
        </w:rPr>
        <w:t>2024</w:t>
      </w:r>
      <w:r>
        <w:rPr>
          <w:rFonts w:hint="eastAsia"/>
          <w:sz w:val="32"/>
          <w:szCs w:val="24"/>
        </w:rPr>
        <w:t>年度省级预算执行情况的经济性、效率性、效益性进行客观公正的分析评价。</w:t>
      </w:r>
    </w:p>
    <w:p w14:paraId="605F67CF">
      <w:pPr>
        <w:pStyle w:val="3"/>
        <w:spacing w:before="0" w:after="0" w:line="560" w:lineRule="exact"/>
        <w:ind w:firstLine="643"/>
      </w:pPr>
      <w:bookmarkStart w:id="26" w:name="_Toc16156"/>
      <w:r>
        <w:rPr>
          <w:rFonts w:hint="eastAsia"/>
        </w:rPr>
        <w:t>（二）自评范围</w:t>
      </w:r>
      <w:bookmarkEnd w:id="22"/>
      <w:bookmarkEnd w:id="23"/>
      <w:bookmarkEnd w:id="24"/>
      <w:bookmarkEnd w:id="25"/>
      <w:bookmarkEnd w:id="26"/>
    </w:p>
    <w:p w14:paraId="344CAB96">
      <w:pPr>
        <w:spacing w:line="560" w:lineRule="exact"/>
        <w:ind w:firstLine="640"/>
        <w:rPr>
          <w:sz w:val="32"/>
          <w:szCs w:val="24"/>
        </w:rPr>
      </w:pPr>
      <w:r>
        <w:rPr>
          <w:rFonts w:hint="eastAsia"/>
          <w:sz w:val="32"/>
          <w:szCs w:val="24"/>
        </w:rPr>
        <w:t>本次预算绩效自评，按照</w:t>
      </w:r>
      <w:bookmarkStart w:id="91" w:name="_GoBack"/>
      <w:bookmarkEnd w:id="91"/>
      <w:r>
        <w:rPr>
          <w:rFonts w:hint="eastAsia"/>
          <w:sz w:val="32"/>
          <w:szCs w:val="24"/>
        </w:rPr>
        <w:t>省级部门项目支出、省对市县转移支付、部门整体支出三类评价对象全覆盖的原则，结合我院</w:t>
      </w:r>
      <w:r>
        <w:rPr>
          <w:sz w:val="32"/>
          <w:szCs w:val="24"/>
        </w:rPr>
        <w:t>实际情况，自评所有对象为</w:t>
      </w:r>
      <w:r>
        <w:rPr>
          <w:rFonts w:hint="eastAsia" w:hAnsi="宋体"/>
          <w:sz w:val="32"/>
          <w:szCs w:val="32"/>
        </w:rPr>
        <w:t>部门整体支出自评和全省法院</w:t>
      </w:r>
      <w:r>
        <w:rPr>
          <w:rFonts w:hint="eastAsia"/>
          <w:sz w:val="32"/>
          <w:szCs w:val="24"/>
        </w:rPr>
        <w:t>业务费</w:t>
      </w:r>
      <w:r>
        <w:rPr>
          <w:rFonts w:hint="eastAsia"/>
          <w:sz w:val="32"/>
          <w:szCs w:val="24"/>
          <w:lang w:eastAsia="zh-CN"/>
        </w:rPr>
        <w:t>、法庭运维费、</w:t>
      </w:r>
      <w:r>
        <w:rPr>
          <w:rFonts w:hint="eastAsia" w:hAnsi="宋体"/>
          <w:sz w:val="32"/>
          <w:szCs w:val="32"/>
        </w:rPr>
        <w:t>中央政法转移支付资金</w:t>
      </w:r>
      <w:r>
        <w:rPr>
          <w:rFonts w:hint="eastAsia" w:hAnsi="宋体"/>
          <w:sz w:val="32"/>
          <w:szCs w:val="32"/>
          <w:lang w:eastAsia="zh-CN"/>
        </w:rPr>
        <w:t>、第一批“全省法院维修改造”项目、</w:t>
      </w:r>
      <w:r>
        <w:rPr>
          <w:rFonts w:hint="eastAsia" w:hAnsi="宋体"/>
          <w:sz w:val="32"/>
          <w:szCs w:val="32"/>
          <w:lang w:val="en-US" w:eastAsia="zh-CN"/>
        </w:rPr>
        <w:t>2个</w:t>
      </w:r>
      <w:r>
        <w:rPr>
          <w:rFonts w:hint="eastAsia" w:hAnsi="宋体"/>
          <w:sz w:val="32"/>
          <w:szCs w:val="32"/>
          <w:lang w:eastAsia="zh-CN"/>
        </w:rPr>
        <w:t>全省法院“两庭”建设资金、全省法院人民法庭维修经费</w:t>
      </w:r>
      <w:r>
        <w:rPr>
          <w:rFonts w:hint="eastAsia" w:hAnsi="宋体"/>
          <w:sz w:val="32"/>
          <w:szCs w:val="32"/>
          <w:lang w:val="en-US" w:eastAsia="zh-CN"/>
        </w:rPr>
        <w:t>共7</w:t>
      </w:r>
      <w:r>
        <w:rPr>
          <w:rFonts w:hint="eastAsia" w:hAnsi="宋体"/>
          <w:sz w:val="32"/>
          <w:szCs w:val="32"/>
        </w:rPr>
        <w:t>个</w:t>
      </w:r>
      <w:r>
        <w:rPr>
          <w:sz w:val="32"/>
          <w:szCs w:val="24"/>
        </w:rPr>
        <w:t>项目自评</w:t>
      </w:r>
      <w:r>
        <w:rPr>
          <w:rFonts w:hint="eastAsia" w:hAnsi="宋体"/>
          <w:sz w:val="32"/>
          <w:szCs w:val="32"/>
        </w:rPr>
        <w:t>。</w:t>
      </w:r>
    </w:p>
    <w:p w14:paraId="470D6392">
      <w:pPr>
        <w:pStyle w:val="3"/>
        <w:spacing w:before="0" w:after="0" w:line="560" w:lineRule="exact"/>
        <w:ind w:firstLine="643"/>
      </w:pPr>
      <w:bookmarkStart w:id="27" w:name="_Toc18694"/>
      <w:bookmarkStart w:id="28" w:name="_Toc25429"/>
      <w:bookmarkStart w:id="29" w:name="_Toc25203"/>
      <w:bookmarkStart w:id="30" w:name="_Toc22785"/>
      <w:bookmarkStart w:id="31" w:name="_Toc2059"/>
      <w:r>
        <w:rPr>
          <w:rFonts w:hint="eastAsia"/>
        </w:rPr>
        <w:t>（三）自评工作程序</w:t>
      </w:r>
      <w:bookmarkEnd w:id="27"/>
      <w:bookmarkEnd w:id="28"/>
      <w:bookmarkEnd w:id="29"/>
      <w:bookmarkEnd w:id="30"/>
      <w:bookmarkEnd w:id="31"/>
    </w:p>
    <w:p w14:paraId="5E3EE4F9">
      <w:pPr>
        <w:spacing w:line="560" w:lineRule="exact"/>
        <w:ind w:firstLine="640"/>
        <w:rPr>
          <w:sz w:val="32"/>
          <w:szCs w:val="24"/>
        </w:rPr>
      </w:pPr>
      <w:r>
        <w:rPr>
          <w:rFonts w:hint="eastAsia"/>
          <w:sz w:val="32"/>
          <w:szCs w:val="24"/>
        </w:rPr>
        <w:t>本次绩效自评工作主要包括以下工作程序：</w:t>
      </w:r>
    </w:p>
    <w:p w14:paraId="63D3B945">
      <w:pPr>
        <w:spacing w:line="560" w:lineRule="exact"/>
        <w:ind w:firstLine="640"/>
        <w:rPr>
          <w:sz w:val="32"/>
          <w:szCs w:val="24"/>
        </w:rPr>
      </w:pPr>
      <w:r>
        <w:rPr>
          <w:rFonts w:hint="eastAsia"/>
          <w:sz w:val="32"/>
          <w:szCs w:val="24"/>
        </w:rPr>
        <w:t>1.根据我院整体支出和项目支出绩效目标的设定情况，通过各业务部门收集绩效目标实现程度、预算执行进度等绩效评价基础资料。</w:t>
      </w:r>
    </w:p>
    <w:p w14:paraId="73C63E54">
      <w:pPr>
        <w:spacing w:line="560" w:lineRule="exact"/>
        <w:ind w:firstLine="640"/>
        <w:rPr>
          <w:sz w:val="32"/>
          <w:szCs w:val="24"/>
        </w:rPr>
      </w:pPr>
      <w:r>
        <w:rPr>
          <w:rFonts w:hint="eastAsia"/>
          <w:sz w:val="32"/>
          <w:szCs w:val="24"/>
        </w:rPr>
        <w:t>2.整理分析相关资料，统计财政资金预算执行情况和各项绩效目标完成情况，对年初设定的绩效指标及各项指标完成情况进行对比分析，填写《</w:t>
      </w:r>
      <w:r>
        <w:rPr>
          <w:rFonts w:hint="eastAsia"/>
          <w:sz w:val="32"/>
          <w:szCs w:val="24"/>
          <w:lang w:eastAsia="zh-CN"/>
        </w:rPr>
        <w:t>2024</w:t>
      </w:r>
      <w:r>
        <w:rPr>
          <w:rFonts w:hint="eastAsia"/>
          <w:sz w:val="32"/>
          <w:szCs w:val="24"/>
        </w:rPr>
        <w:t>年度部门预算执行情况绩效自评报表》。</w:t>
      </w:r>
    </w:p>
    <w:p w14:paraId="0409B806">
      <w:pPr>
        <w:spacing w:line="560" w:lineRule="exact"/>
        <w:ind w:firstLine="640"/>
        <w:rPr>
          <w:sz w:val="32"/>
          <w:szCs w:val="24"/>
        </w:rPr>
      </w:pPr>
      <w:r>
        <w:rPr>
          <w:rFonts w:hint="eastAsia"/>
          <w:sz w:val="32"/>
          <w:szCs w:val="24"/>
        </w:rPr>
        <w:t>3.总结评价结论，归纳问题，分析原因，提出改进措施，完成《</w:t>
      </w:r>
      <w:r>
        <w:rPr>
          <w:rFonts w:hint="eastAsia"/>
          <w:sz w:val="32"/>
          <w:szCs w:val="24"/>
          <w:lang w:eastAsia="zh-CN"/>
        </w:rPr>
        <w:t>2024</w:t>
      </w:r>
      <w:r>
        <w:rPr>
          <w:rFonts w:hint="eastAsia"/>
          <w:sz w:val="32"/>
          <w:szCs w:val="24"/>
        </w:rPr>
        <w:t>年度预算执行情况自评报告》撰写。</w:t>
      </w:r>
    </w:p>
    <w:p w14:paraId="3AB2A5BA">
      <w:pPr>
        <w:spacing w:line="560" w:lineRule="exact"/>
        <w:ind w:firstLine="640"/>
        <w:rPr>
          <w:sz w:val="32"/>
          <w:szCs w:val="24"/>
        </w:rPr>
      </w:pPr>
      <w:r>
        <w:rPr>
          <w:rFonts w:hint="eastAsia"/>
          <w:sz w:val="32"/>
          <w:szCs w:val="24"/>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1FFEC8A2">
      <w:pPr>
        <w:pStyle w:val="2"/>
        <w:spacing w:before="0" w:after="0" w:line="560" w:lineRule="exact"/>
        <w:ind w:firstLine="643" w:firstLineChars="200"/>
      </w:pPr>
      <w:bookmarkStart w:id="32" w:name="_Toc17042"/>
      <w:bookmarkStart w:id="33" w:name="_Toc26000"/>
      <w:bookmarkStart w:id="34" w:name="_Toc31556"/>
      <w:bookmarkStart w:id="35" w:name="_Toc29274"/>
      <w:r>
        <w:rPr>
          <w:rFonts w:hint="eastAsia"/>
        </w:rPr>
        <w:t>三、部门整体支出绩效自评情况分析</w:t>
      </w:r>
      <w:bookmarkEnd w:id="32"/>
      <w:bookmarkEnd w:id="33"/>
      <w:bookmarkEnd w:id="34"/>
      <w:bookmarkEnd w:id="35"/>
      <w:r>
        <w:rPr>
          <w:rFonts w:hint="eastAsia"/>
        </w:rPr>
        <w:tab/>
      </w:r>
    </w:p>
    <w:p w14:paraId="37CF843B">
      <w:pPr>
        <w:pStyle w:val="3"/>
        <w:spacing w:before="0" w:after="0" w:line="560" w:lineRule="exact"/>
        <w:ind w:firstLine="643"/>
      </w:pPr>
      <w:bookmarkStart w:id="36" w:name="_Toc8171"/>
      <w:bookmarkStart w:id="37" w:name="_Toc32623"/>
      <w:bookmarkStart w:id="38" w:name="_Toc3483"/>
      <w:bookmarkStart w:id="39" w:name="_Toc8195"/>
      <w:r>
        <w:rPr>
          <w:rFonts w:hint="eastAsia"/>
        </w:rPr>
        <w:t>（一）部门决算情况</w:t>
      </w:r>
      <w:bookmarkEnd w:id="36"/>
      <w:bookmarkEnd w:id="37"/>
      <w:bookmarkEnd w:id="38"/>
      <w:bookmarkEnd w:id="39"/>
    </w:p>
    <w:p w14:paraId="0D563D5E">
      <w:pPr>
        <w:spacing w:line="560" w:lineRule="exact"/>
        <w:ind w:firstLine="640"/>
        <w:rPr>
          <w:sz w:val="32"/>
          <w:szCs w:val="24"/>
        </w:rPr>
      </w:pPr>
      <w:r>
        <w:rPr>
          <w:rFonts w:hint="eastAsia"/>
          <w:sz w:val="32"/>
          <w:szCs w:val="24"/>
          <w:lang w:eastAsia="zh-CN"/>
        </w:rPr>
        <w:t>2024</w:t>
      </w:r>
      <w:r>
        <w:rPr>
          <w:rFonts w:hint="eastAsia"/>
          <w:sz w:val="32"/>
          <w:szCs w:val="24"/>
        </w:rPr>
        <w:t>年度，</w:t>
      </w:r>
      <w:r>
        <w:rPr>
          <w:rFonts w:hint="eastAsia"/>
          <w:sz w:val="32"/>
          <w:szCs w:val="24"/>
          <w:lang w:eastAsia="zh-CN"/>
        </w:rPr>
        <w:t>泾川县人民法院</w:t>
      </w:r>
      <w:r>
        <w:rPr>
          <w:rFonts w:hint="eastAsia"/>
          <w:sz w:val="32"/>
          <w:szCs w:val="24"/>
        </w:rPr>
        <w:t>年初预算2991</w:t>
      </w:r>
      <w:r>
        <w:rPr>
          <w:rFonts w:hint="eastAsia"/>
          <w:sz w:val="32"/>
          <w:szCs w:val="24"/>
          <w:lang w:val="en-US" w:eastAsia="zh-CN"/>
        </w:rPr>
        <w:t>.62</w:t>
      </w:r>
      <w:r>
        <w:rPr>
          <w:rFonts w:hint="eastAsia"/>
          <w:sz w:val="32"/>
          <w:szCs w:val="24"/>
        </w:rPr>
        <w:t>万元，全年预算</w:t>
      </w:r>
      <w:r>
        <w:rPr>
          <w:rFonts w:hint="eastAsia"/>
          <w:sz w:val="32"/>
          <w:szCs w:val="24"/>
          <w:lang w:val="en-US" w:eastAsia="zh-CN"/>
        </w:rPr>
        <w:t>数</w:t>
      </w:r>
      <w:r>
        <w:rPr>
          <w:rFonts w:hint="eastAsia"/>
          <w:sz w:val="32"/>
          <w:szCs w:val="24"/>
        </w:rPr>
        <w:t>3736</w:t>
      </w:r>
      <w:r>
        <w:rPr>
          <w:rFonts w:hint="eastAsia"/>
          <w:sz w:val="32"/>
          <w:szCs w:val="24"/>
          <w:lang w:val="en-US" w:eastAsia="zh-CN"/>
        </w:rPr>
        <w:t>.72</w:t>
      </w:r>
      <w:r>
        <w:rPr>
          <w:rFonts w:hint="eastAsia"/>
          <w:sz w:val="32"/>
          <w:szCs w:val="24"/>
        </w:rPr>
        <w:t>万元，实际支出</w:t>
      </w:r>
      <w:r>
        <w:rPr>
          <w:rFonts w:hint="eastAsia"/>
          <w:sz w:val="32"/>
          <w:szCs w:val="24"/>
          <w:lang w:val="en-US" w:eastAsia="zh-CN"/>
        </w:rPr>
        <w:t>数</w:t>
      </w:r>
      <w:r>
        <w:rPr>
          <w:rFonts w:hint="eastAsia"/>
          <w:sz w:val="32"/>
          <w:szCs w:val="24"/>
        </w:rPr>
        <w:t>2890</w:t>
      </w:r>
      <w:r>
        <w:rPr>
          <w:rFonts w:hint="eastAsia"/>
          <w:sz w:val="32"/>
          <w:szCs w:val="24"/>
          <w:lang w:val="en-US" w:eastAsia="zh-CN"/>
        </w:rPr>
        <w:t>.07</w:t>
      </w:r>
      <w:r>
        <w:rPr>
          <w:rFonts w:hint="eastAsia"/>
          <w:sz w:val="32"/>
          <w:szCs w:val="24"/>
        </w:rPr>
        <w:t>万元，部门整体支出预算执行率为</w:t>
      </w:r>
      <w:r>
        <w:rPr>
          <w:rFonts w:hint="eastAsia"/>
          <w:sz w:val="32"/>
          <w:szCs w:val="24"/>
          <w:lang w:eastAsia="zh-CN"/>
        </w:rPr>
        <w:t>77.34</w:t>
      </w:r>
      <w:r>
        <w:rPr>
          <w:rFonts w:hint="eastAsia"/>
          <w:sz w:val="32"/>
          <w:szCs w:val="24"/>
        </w:rPr>
        <w:t>%。</w:t>
      </w:r>
    </w:p>
    <w:p w14:paraId="23505B11">
      <w:pPr>
        <w:pStyle w:val="3"/>
        <w:spacing w:before="0" w:after="0" w:line="560" w:lineRule="exact"/>
        <w:ind w:firstLine="643"/>
      </w:pPr>
      <w:bookmarkStart w:id="40" w:name="_Toc22782"/>
      <w:bookmarkStart w:id="41" w:name="_Toc10769"/>
      <w:bookmarkStart w:id="42" w:name="_Toc21423"/>
      <w:bookmarkStart w:id="43" w:name="_Toc23928"/>
      <w:r>
        <w:rPr>
          <w:rFonts w:hint="eastAsia"/>
        </w:rPr>
        <w:t>（二）总体绩效目标完成情况分析</w:t>
      </w:r>
      <w:bookmarkEnd w:id="40"/>
      <w:bookmarkEnd w:id="41"/>
      <w:bookmarkEnd w:id="42"/>
      <w:bookmarkEnd w:id="43"/>
    </w:p>
    <w:p w14:paraId="7EA953FA">
      <w:pPr>
        <w:spacing w:line="560" w:lineRule="exact"/>
        <w:ind w:firstLine="640"/>
        <w:rPr>
          <w:sz w:val="32"/>
          <w:szCs w:val="24"/>
        </w:rPr>
      </w:pPr>
      <w:r>
        <w:rPr>
          <w:rFonts w:hint="eastAsia"/>
          <w:sz w:val="32"/>
          <w:szCs w:val="24"/>
        </w:rPr>
        <w:t>经综合评价与分析，</w:t>
      </w:r>
      <w:r>
        <w:rPr>
          <w:rFonts w:hint="eastAsia"/>
          <w:sz w:val="32"/>
          <w:szCs w:val="24"/>
          <w:lang w:eastAsia="zh-CN"/>
        </w:rPr>
        <w:t>泾川县人民法院2024</w:t>
      </w:r>
      <w:r>
        <w:rPr>
          <w:rFonts w:hint="eastAsia"/>
          <w:sz w:val="32"/>
          <w:szCs w:val="24"/>
        </w:rPr>
        <w:t>年度部门整体支出绩效评价最终得分为</w:t>
      </w:r>
      <w:r>
        <w:rPr>
          <w:rFonts w:hint="eastAsia"/>
          <w:sz w:val="32"/>
          <w:szCs w:val="24"/>
          <w:lang w:eastAsia="zh-CN"/>
        </w:rPr>
        <w:t>91.42</w:t>
      </w:r>
      <w:r>
        <w:rPr>
          <w:rFonts w:hint="eastAsia"/>
          <w:sz w:val="32"/>
          <w:szCs w:val="24"/>
        </w:rPr>
        <w:t>分，评价结果为“优”。最终评分结果如下表所示：</w:t>
      </w:r>
    </w:p>
    <w:p w14:paraId="37601B83">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年度部门整体支出</w:t>
      </w:r>
      <w:r>
        <w:rPr>
          <w:rFonts w:hint="eastAsia" w:ascii="宋体" w:hAnsi="宋体" w:cs="宋体"/>
          <w:b/>
          <w:bCs/>
          <w:kern w:val="0"/>
          <w:sz w:val="24"/>
          <w:lang w:eastAsia="zh-CN"/>
        </w:rPr>
        <w:t>绩效自评指标</w:t>
      </w:r>
      <w:r>
        <w:rPr>
          <w:rFonts w:hint="eastAsia" w:ascii="宋体" w:hAnsi="宋体" w:cs="宋体"/>
          <w:b/>
          <w:bCs/>
          <w:kern w:val="0"/>
          <w:sz w:val="24"/>
        </w:rPr>
        <w:t>得分情况</w:t>
      </w:r>
    </w:p>
    <w:tbl>
      <w:tblPr>
        <w:tblStyle w:val="22"/>
        <w:tblW w:w="47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05"/>
        <w:gridCol w:w="1657"/>
        <w:gridCol w:w="1658"/>
        <w:gridCol w:w="1658"/>
      </w:tblGrid>
      <w:tr w14:paraId="1FACF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959" w:type="pct"/>
            <w:shd w:val="clear" w:color="auto" w:fill="BDD6EE"/>
            <w:vAlign w:val="center"/>
          </w:tcPr>
          <w:p w14:paraId="399FA5E0">
            <w:pPr>
              <w:widowControl/>
              <w:ind w:firstLine="482"/>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一级指标</w:t>
            </w:r>
          </w:p>
        </w:tc>
        <w:tc>
          <w:tcPr>
            <w:tcW w:w="1013" w:type="pct"/>
            <w:shd w:val="clear" w:color="auto" w:fill="BDD6EE"/>
            <w:vAlign w:val="center"/>
          </w:tcPr>
          <w:p w14:paraId="4C6F5D79">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分值</w:t>
            </w:r>
          </w:p>
        </w:tc>
        <w:tc>
          <w:tcPr>
            <w:tcW w:w="1013" w:type="pct"/>
            <w:shd w:val="clear" w:color="auto" w:fill="BDD6EE"/>
            <w:vAlign w:val="center"/>
          </w:tcPr>
          <w:p w14:paraId="1E44C84E">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自评得分</w:t>
            </w:r>
          </w:p>
        </w:tc>
        <w:tc>
          <w:tcPr>
            <w:tcW w:w="1013" w:type="pct"/>
            <w:shd w:val="clear" w:color="auto" w:fill="BDD6EE"/>
            <w:vAlign w:val="center"/>
          </w:tcPr>
          <w:p w14:paraId="4450BB87">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得分率</w:t>
            </w:r>
          </w:p>
        </w:tc>
      </w:tr>
      <w:tr w14:paraId="00914A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959" w:type="pct"/>
            <w:vAlign w:val="center"/>
          </w:tcPr>
          <w:p w14:paraId="1D0E2B99">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013" w:type="pct"/>
            <w:vAlign w:val="center"/>
          </w:tcPr>
          <w:p w14:paraId="5CC040CB">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10</w:t>
            </w:r>
          </w:p>
        </w:tc>
        <w:tc>
          <w:tcPr>
            <w:tcW w:w="1013" w:type="pct"/>
            <w:vAlign w:val="center"/>
          </w:tcPr>
          <w:p w14:paraId="2121859E">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7.73</w:t>
            </w:r>
          </w:p>
        </w:tc>
        <w:tc>
          <w:tcPr>
            <w:tcW w:w="1013" w:type="pct"/>
            <w:vAlign w:val="center"/>
          </w:tcPr>
          <w:p w14:paraId="726C3E3E">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77.30%</w:t>
            </w:r>
          </w:p>
        </w:tc>
      </w:tr>
      <w:tr w14:paraId="342E53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959" w:type="pct"/>
            <w:vAlign w:val="center"/>
          </w:tcPr>
          <w:p w14:paraId="523492C6">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部门管理</w:t>
            </w:r>
          </w:p>
        </w:tc>
        <w:tc>
          <w:tcPr>
            <w:tcW w:w="1013" w:type="pct"/>
            <w:vAlign w:val="center"/>
          </w:tcPr>
          <w:p w14:paraId="54853DF6">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20</w:t>
            </w:r>
          </w:p>
        </w:tc>
        <w:tc>
          <w:tcPr>
            <w:tcW w:w="1013" w:type="pct"/>
            <w:vAlign w:val="center"/>
          </w:tcPr>
          <w:p w14:paraId="6EAFE770">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17.00</w:t>
            </w:r>
          </w:p>
        </w:tc>
        <w:tc>
          <w:tcPr>
            <w:tcW w:w="1013" w:type="pct"/>
            <w:vAlign w:val="center"/>
          </w:tcPr>
          <w:p w14:paraId="727329C5">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85.00</w:t>
            </w:r>
            <w:r>
              <w:rPr>
                <w:rFonts w:hint="eastAsia" w:ascii="宋体" w:hAnsi="宋体" w:eastAsia="宋体" w:cs="宋体"/>
                <w:color w:val="000000"/>
                <w:kern w:val="0"/>
                <w:sz w:val="20"/>
                <w:szCs w:val="20"/>
              </w:rPr>
              <w:t>%</w:t>
            </w:r>
          </w:p>
        </w:tc>
      </w:tr>
      <w:tr w14:paraId="5DC6F0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959" w:type="pct"/>
            <w:vAlign w:val="center"/>
          </w:tcPr>
          <w:p w14:paraId="688B0D6F">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履职效果</w:t>
            </w:r>
          </w:p>
        </w:tc>
        <w:tc>
          <w:tcPr>
            <w:tcW w:w="1013" w:type="pct"/>
            <w:vAlign w:val="center"/>
          </w:tcPr>
          <w:p w14:paraId="6B271926">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60</w:t>
            </w:r>
          </w:p>
        </w:tc>
        <w:tc>
          <w:tcPr>
            <w:tcW w:w="1013" w:type="pct"/>
            <w:vAlign w:val="center"/>
          </w:tcPr>
          <w:p w14:paraId="06AED3C4">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color w:val="000000"/>
                <w:kern w:val="0"/>
                <w:sz w:val="20"/>
                <w:szCs w:val="20"/>
                <w:lang w:val="en-US" w:eastAsia="zh-CN"/>
              </w:rPr>
              <w:t>57.68</w:t>
            </w:r>
          </w:p>
        </w:tc>
        <w:tc>
          <w:tcPr>
            <w:tcW w:w="1013" w:type="pct"/>
            <w:vAlign w:val="center"/>
          </w:tcPr>
          <w:p w14:paraId="474E3BB2">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96.13</w:t>
            </w:r>
            <w:r>
              <w:rPr>
                <w:rFonts w:hint="eastAsia" w:ascii="宋体" w:hAnsi="宋体" w:eastAsia="宋体" w:cs="宋体"/>
                <w:color w:val="000000"/>
                <w:kern w:val="0"/>
                <w:sz w:val="20"/>
                <w:szCs w:val="20"/>
              </w:rPr>
              <w:t>%</w:t>
            </w:r>
          </w:p>
        </w:tc>
      </w:tr>
      <w:tr w14:paraId="2F7C6D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959" w:type="pct"/>
            <w:vAlign w:val="center"/>
          </w:tcPr>
          <w:p w14:paraId="725A2CFE">
            <w:pPr>
              <w:widowControl/>
              <w:ind w:firstLine="48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能力建设</w:t>
            </w:r>
          </w:p>
        </w:tc>
        <w:tc>
          <w:tcPr>
            <w:tcW w:w="1013" w:type="pct"/>
            <w:vAlign w:val="center"/>
          </w:tcPr>
          <w:p w14:paraId="59F70606">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013" w:type="pct"/>
            <w:vAlign w:val="center"/>
          </w:tcPr>
          <w:p w14:paraId="1B2F338A">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9.01</w:t>
            </w:r>
          </w:p>
        </w:tc>
        <w:tc>
          <w:tcPr>
            <w:tcW w:w="1013" w:type="pct"/>
            <w:vAlign w:val="center"/>
          </w:tcPr>
          <w:p w14:paraId="5AFA8BB0">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90.1</w:t>
            </w:r>
            <w:r>
              <w:rPr>
                <w:rFonts w:hint="eastAsia" w:ascii="宋体" w:hAnsi="宋体" w:eastAsia="宋体" w:cs="宋体"/>
                <w:color w:val="000000"/>
                <w:kern w:val="0"/>
                <w:sz w:val="20"/>
                <w:szCs w:val="20"/>
              </w:rPr>
              <w:t>0%</w:t>
            </w:r>
          </w:p>
        </w:tc>
      </w:tr>
      <w:tr w14:paraId="0458E4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3" w:hRule="atLeast"/>
        </w:trPr>
        <w:tc>
          <w:tcPr>
            <w:tcW w:w="1959" w:type="pct"/>
            <w:shd w:val="clear" w:color="auto" w:fill="BDD6EE"/>
            <w:vAlign w:val="center"/>
          </w:tcPr>
          <w:p w14:paraId="1026E7CD">
            <w:pPr>
              <w:widowControl/>
              <w:ind w:firstLine="482"/>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合计</w:t>
            </w:r>
          </w:p>
        </w:tc>
        <w:tc>
          <w:tcPr>
            <w:tcW w:w="1013" w:type="pct"/>
            <w:shd w:val="clear" w:color="auto" w:fill="BDD6EE"/>
            <w:vAlign w:val="center"/>
          </w:tcPr>
          <w:p w14:paraId="523D7510">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013" w:type="pct"/>
            <w:shd w:val="clear" w:color="auto" w:fill="BDD6EE"/>
            <w:vAlign w:val="center"/>
          </w:tcPr>
          <w:p w14:paraId="46845269">
            <w:pPr>
              <w:widowControl/>
              <w:ind w:firstLine="0" w:firstLineChars="0"/>
              <w:jc w:val="center"/>
              <w:textAlignment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91.42</w:t>
            </w:r>
          </w:p>
        </w:tc>
        <w:tc>
          <w:tcPr>
            <w:tcW w:w="1013" w:type="pct"/>
            <w:shd w:val="clear" w:color="auto" w:fill="BDD6EE"/>
            <w:vAlign w:val="center"/>
          </w:tcPr>
          <w:p w14:paraId="03A32972">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eastAsia="zh-CN"/>
              </w:rPr>
              <w:t>91.42</w:t>
            </w:r>
            <w:r>
              <w:rPr>
                <w:rFonts w:hint="eastAsia" w:ascii="宋体" w:hAnsi="宋体" w:eastAsia="宋体" w:cs="宋体"/>
                <w:b/>
                <w:bCs/>
                <w:color w:val="000000"/>
                <w:kern w:val="0"/>
                <w:sz w:val="20"/>
                <w:szCs w:val="20"/>
              </w:rPr>
              <w:t>%</w:t>
            </w:r>
          </w:p>
        </w:tc>
      </w:tr>
    </w:tbl>
    <w:p w14:paraId="6FE0A9FA">
      <w:pPr>
        <w:widowControl/>
        <w:spacing w:line="560" w:lineRule="exact"/>
        <w:ind w:firstLine="643"/>
        <w:rPr>
          <w:b/>
          <w:bCs/>
          <w:sz w:val="32"/>
          <w:szCs w:val="24"/>
        </w:rPr>
      </w:pPr>
      <w:r>
        <w:rPr>
          <w:rFonts w:hint="eastAsia"/>
          <w:b/>
          <w:bCs/>
          <w:sz w:val="32"/>
          <w:szCs w:val="24"/>
        </w:rPr>
        <w:t>1.总体绩效目标</w:t>
      </w:r>
    </w:p>
    <w:p w14:paraId="42580643">
      <w:pPr>
        <w:pStyle w:val="29"/>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eastAsia="仿宋_GB2312"/>
          <w:sz w:val="32"/>
          <w:szCs w:val="24"/>
          <w:lang w:eastAsia="zh-CN"/>
        </w:rPr>
      </w:pPr>
      <w:r>
        <w:rPr>
          <w:rFonts w:hint="eastAsia"/>
          <w:sz w:val="32"/>
          <w:szCs w:val="24"/>
        </w:rPr>
        <w:t>通过2024年各项经费的投入，确保我院基层人民法庭办案办公的正常开展，更好的执行及维护国家法制，法律的权威，维护社会稳定和谐，保障基层法庭运营维护经费，改善基层法庭办案办公条件，提供稳定经费保障，确保基层法庭有一个良好的办案办公条件</w:t>
      </w:r>
      <w:r>
        <w:rPr>
          <w:rFonts w:hint="eastAsia"/>
          <w:sz w:val="32"/>
          <w:szCs w:val="24"/>
          <w:lang w:eastAsia="zh-CN"/>
        </w:rPr>
        <w:t>。</w:t>
      </w:r>
    </w:p>
    <w:p w14:paraId="3597EB48">
      <w:pPr>
        <w:spacing w:line="560" w:lineRule="exact"/>
        <w:ind w:firstLine="643"/>
        <w:rPr>
          <w:rFonts w:hint="eastAsia"/>
          <w:b/>
          <w:bCs/>
          <w:sz w:val="32"/>
          <w:szCs w:val="24"/>
        </w:rPr>
      </w:pPr>
      <w:r>
        <w:rPr>
          <w:rFonts w:hint="eastAsia"/>
          <w:b/>
          <w:bCs/>
          <w:sz w:val="32"/>
          <w:szCs w:val="24"/>
        </w:rPr>
        <w:t>2.实际完成情况</w:t>
      </w:r>
    </w:p>
    <w:p w14:paraId="6D4CED4D">
      <w:pPr>
        <w:pStyle w:val="29"/>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sz w:val="32"/>
          <w:szCs w:val="24"/>
          <w:lang w:eastAsia="zh-CN"/>
        </w:rPr>
      </w:pPr>
      <w:r>
        <w:rPr>
          <w:rFonts w:hint="eastAsia"/>
          <w:sz w:val="32"/>
          <w:szCs w:val="24"/>
          <w:lang w:eastAsia="zh-CN"/>
        </w:rPr>
        <w:t>2024年，</w:t>
      </w:r>
      <w:r>
        <w:rPr>
          <w:rFonts w:hint="eastAsia"/>
          <w:sz w:val="32"/>
          <w:szCs w:val="24"/>
          <w:lang w:val="en-US" w:eastAsia="zh-CN"/>
        </w:rPr>
        <w:t>泾川县</w:t>
      </w:r>
      <w:r>
        <w:rPr>
          <w:rFonts w:hint="eastAsia"/>
          <w:sz w:val="32"/>
          <w:szCs w:val="24"/>
          <w:lang w:eastAsia="zh-CN"/>
        </w:rPr>
        <w:t>人民法院在绩效自评工作中，高度重视基层人民法庭办案办公经费保障。在中央政法转移支付资金、全省法院业务费、法庭运维费等项目上，严格按照预算执行，确保资金精准投入，有效为法庭日常运转提供保障，提升办案效率，有力保障审判服务，完成执法执勤车辆运行维护工作。这些经费投入，切实改善了基层法庭办案办公条件，确保基层法庭能正常开展工作，维护了国家法制权威与社会稳定和谐。</w:t>
      </w:r>
    </w:p>
    <w:p w14:paraId="278D54A1">
      <w:pPr>
        <w:pStyle w:val="3"/>
        <w:spacing w:before="0" w:after="0" w:line="560" w:lineRule="exact"/>
        <w:ind w:firstLine="643"/>
      </w:pPr>
      <w:bookmarkStart w:id="44" w:name="_Toc18553"/>
      <w:bookmarkStart w:id="45" w:name="_Toc7799"/>
      <w:bookmarkStart w:id="46" w:name="_Toc17819"/>
      <w:bookmarkStart w:id="47" w:name="_Toc27962"/>
      <w:r>
        <w:rPr>
          <w:rFonts w:hint="eastAsia"/>
        </w:rPr>
        <w:t>（三）各项指标完成情况分析</w:t>
      </w:r>
      <w:bookmarkEnd w:id="44"/>
      <w:bookmarkEnd w:id="45"/>
      <w:bookmarkEnd w:id="46"/>
      <w:bookmarkEnd w:id="47"/>
    </w:p>
    <w:p w14:paraId="787ECB83">
      <w:pPr>
        <w:pStyle w:val="4"/>
        <w:spacing w:line="560" w:lineRule="exact"/>
        <w:ind w:firstLine="643"/>
        <w:rPr>
          <w:sz w:val="32"/>
          <w:szCs w:val="36"/>
        </w:rPr>
      </w:pPr>
      <w:r>
        <w:rPr>
          <w:sz w:val="32"/>
          <w:szCs w:val="36"/>
        </w:rPr>
        <w:t>1</w:t>
      </w:r>
      <w:r>
        <w:rPr>
          <w:rFonts w:hint="eastAsia"/>
          <w:sz w:val="32"/>
          <w:szCs w:val="36"/>
        </w:rPr>
        <w:t>.部门整体支出</w:t>
      </w:r>
      <w:r>
        <w:rPr>
          <w:sz w:val="32"/>
          <w:szCs w:val="36"/>
        </w:rPr>
        <w:t>预算执行率</w:t>
      </w:r>
      <w:r>
        <w:rPr>
          <w:rFonts w:hint="eastAsia"/>
          <w:sz w:val="32"/>
          <w:szCs w:val="36"/>
        </w:rPr>
        <w:t>完成情况分析</w:t>
      </w:r>
    </w:p>
    <w:p w14:paraId="14D007A6">
      <w:pPr>
        <w:spacing w:line="560" w:lineRule="exact"/>
        <w:ind w:firstLine="640"/>
        <w:rPr>
          <w:color w:val="000000" w:themeColor="text1"/>
          <w:sz w:val="32"/>
          <w:szCs w:val="32"/>
        </w:rPr>
      </w:pPr>
      <w:r>
        <w:rPr>
          <w:rFonts w:hint="eastAsia" w:hAnsi="宋体"/>
          <w:sz w:val="32"/>
          <w:szCs w:val="32"/>
        </w:rPr>
        <w:t>我</w:t>
      </w:r>
      <w:r>
        <w:rPr>
          <w:rFonts w:hint="eastAsia"/>
          <w:sz w:val="32"/>
          <w:szCs w:val="24"/>
          <w:lang w:eastAsia="zh-CN"/>
        </w:rPr>
        <w:t>院</w:t>
      </w:r>
      <w:r>
        <w:rPr>
          <w:rFonts w:hint="eastAsia"/>
          <w:sz w:val="32"/>
          <w:szCs w:val="24"/>
        </w:rPr>
        <w:t>年初预算预2991</w:t>
      </w:r>
      <w:r>
        <w:rPr>
          <w:rFonts w:hint="eastAsia"/>
          <w:sz w:val="32"/>
          <w:szCs w:val="24"/>
          <w:lang w:val="en-US" w:eastAsia="zh-CN"/>
        </w:rPr>
        <w:t>.62</w:t>
      </w:r>
      <w:r>
        <w:rPr>
          <w:rFonts w:hint="eastAsia"/>
          <w:sz w:val="32"/>
          <w:szCs w:val="24"/>
        </w:rPr>
        <w:t>万元，全年预算</w:t>
      </w:r>
      <w:r>
        <w:rPr>
          <w:rFonts w:hint="eastAsia"/>
          <w:sz w:val="32"/>
          <w:szCs w:val="24"/>
          <w:lang w:val="en-US" w:eastAsia="zh-CN"/>
        </w:rPr>
        <w:t>数</w:t>
      </w:r>
      <w:r>
        <w:rPr>
          <w:rFonts w:hint="eastAsia"/>
          <w:sz w:val="32"/>
          <w:szCs w:val="24"/>
        </w:rPr>
        <w:t>3736</w:t>
      </w:r>
      <w:r>
        <w:rPr>
          <w:rFonts w:hint="eastAsia"/>
          <w:sz w:val="32"/>
          <w:szCs w:val="24"/>
          <w:lang w:val="en-US" w:eastAsia="zh-CN"/>
        </w:rPr>
        <w:t>.72</w:t>
      </w:r>
      <w:r>
        <w:rPr>
          <w:rFonts w:hint="eastAsia"/>
          <w:sz w:val="32"/>
          <w:szCs w:val="24"/>
        </w:rPr>
        <w:t>万元，实际支出</w:t>
      </w:r>
      <w:r>
        <w:rPr>
          <w:rFonts w:hint="eastAsia"/>
          <w:sz w:val="32"/>
          <w:szCs w:val="24"/>
          <w:lang w:val="en-US" w:eastAsia="zh-CN"/>
        </w:rPr>
        <w:t>数</w:t>
      </w:r>
      <w:r>
        <w:rPr>
          <w:rFonts w:hint="eastAsia"/>
          <w:sz w:val="32"/>
          <w:szCs w:val="24"/>
        </w:rPr>
        <w:t>2890</w:t>
      </w:r>
      <w:r>
        <w:rPr>
          <w:rFonts w:hint="eastAsia"/>
          <w:sz w:val="32"/>
          <w:szCs w:val="24"/>
          <w:lang w:val="en-US" w:eastAsia="zh-CN"/>
        </w:rPr>
        <w:t>.07</w:t>
      </w:r>
      <w:r>
        <w:rPr>
          <w:rFonts w:hint="eastAsia"/>
          <w:sz w:val="32"/>
          <w:szCs w:val="24"/>
        </w:rPr>
        <w:t>万元，部门整体支出预算执行率为</w:t>
      </w:r>
      <w:r>
        <w:rPr>
          <w:rFonts w:hint="eastAsia"/>
          <w:sz w:val="32"/>
          <w:szCs w:val="24"/>
          <w:lang w:val="en-US" w:eastAsia="zh-CN"/>
        </w:rPr>
        <w:t>77.34</w:t>
      </w:r>
      <w:r>
        <w:rPr>
          <w:rFonts w:hint="eastAsia"/>
          <w:sz w:val="32"/>
          <w:szCs w:val="24"/>
        </w:rPr>
        <w:t>%。</w:t>
      </w:r>
      <w:r>
        <w:rPr>
          <w:rFonts w:hint="eastAsia" w:hAnsi="宋体"/>
          <w:sz w:val="32"/>
          <w:szCs w:val="32"/>
        </w:rPr>
        <w:t>该</w:t>
      </w:r>
      <w:r>
        <w:rPr>
          <w:rFonts w:hint="eastAsia"/>
          <w:color w:val="000000" w:themeColor="text1"/>
          <w:sz w:val="32"/>
          <w:szCs w:val="32"/>
        </w:rPr>
        <w:t>指标分值10分，自评得分</w:t>
      </w:r>
      <w:r>
        <w:rPr>
          <w:rFonts w:hint="eastAsia"/>
          <w:color w:val="000000" w:themeColor="text1"/>
          <w:sz w:val="32"/>
          <w:szCs w:val="32"/>
          <w:lang w:val="en-US" w:eastAsia="zh-CN"/>
        </w:rPr>
        <w:t>7.73</w:t>
      </w:r>
      <w:r>
        <w:rPr>
          <w:rFonts w:hint="eastAsia"/>
          <w:color w:val="000000" w:themeColor="text1"/>
          <w:sz w:val="32"/>
          <w:szCs w:val="32"/>
        </w:rPr>
        <w:t>分，得分率为</w:t>
      </w:r>
      <w:r>
        <w:rPr>
          <w:rFonts w:hint="eastAsia"/>
          <w:color w:val="000000" w:themeColor="text1"/>
          <w:sz w:val="32"/>
          <w:szCs w:val="32"/>
          <w:lang w:val="en-US" w:eastAsia="zh-CN"/>
        </w:rPr>
        <w:t>77.30</w:t>
      </w:r>
      <w:r>
        <w:rPr>
          <w:rFonts w:hint="eastAsia"/>
          <w:color w:val="000000" w:themeColor="text1"/>
          <w:sz w:val="32"/>
          <w:szCs w:val="32"/>
        </w:rPr>
        <w:t>%。</w:t>
      </w:r>
    </w:p>
    <w:p w14:paraId="498E91BB">
      <w:pPr>
        <w:pStyle w:val="4"/>
        <w:spacing w:line="560" w:lineRule="exact"/>
        <w:ind w:firstLine="643"/>
        <w:rPr>
          <w:sz w:val="32"/>
          <w:szCs w:val="36"/>
        </w:rPr>
      </w:pPr>
      <w:r>
        <w:rPr>
          <w:sz w:val="32"/>
          <w:szCs w:val="36"/>
        </w:rPr>
        <w:t>2</w:t>
      </w:r>
      <w:r>
        <w:rPr>
          <w:rFonts w:hint="eastAsia"/>
          <w:sz w:val="32"/>
          <w:szCs w:val="36"/>
        </w:rPr>
        <w:t>.</w:t>
      </w:r>
      <w:r>
        <w:rPr>
          <w:sz w:val="32"/>
          <w:szCs w:val="36"/>
        </w:rPr>
        <w:t>部门管理</w:t>
      </w:r>
      <w:r>
        <w:rPr>
          <w:rFonts w:hint="eastAsia"/>
          <w:sz w:val="32"/>
          <w:szCs w:val="36"/>
        </w:rPr>
        <w:t>目标完成情况分析</w:t>
      </w:r>
    </w:p>
    <w:p w14:paraId="7608BB51">
      <w:pPr>
        <w:spacing w:line="560" w:lineRule="exact"/>
        <w:ind w:firstLine="640"/>
        <w:rPr>
          <w:rFonts w:hint="eastAsia"/>
          <w:sz w:val="32"/>
          <w:szCs w:val="24"/>
        </w:rPr>
      </w:pPr>
      <w:r>
        <w:rPr>
          <w:rFonts w:hint="eastAsia"/>
          <w:sz w:val="32"/>
          <w:szCs w:val="24"/>
        </w:rPr>
        <w:t>部门管理指标包括资金投入、财务管理、采购管理、资产管理、人员管理、重点工作管理6个二级指标，下设10个三级指标。</w:t>
      </w:r>
      <w:r>
        <w:rPr>
          <w:rFonts w:hint="eastAsia" w:hAnsi="宋体"/>
          <w:sz w:val="32"/>
          <w:szCs w:val="32"/>
        </w:rPr>
        <w:t>该</w:t>
      </w:r>
      <w:r>
        <w:rPr>
          <w:rFonts w:hint="eastAsia"/>
          <w:sz w:val="32"/>
          <w:szCs w:val="24"/>
        </w:rPr>
        <w:t>指标分值20分，自评</w:t>
      </w:r>
      <w:r>
        <w:rPr>
          <w:sz w:val="32"/>
          <w:szCs w:val="24"/>
        </w:rPr>
        <w:t>得</w:t>
      </w:r>
      <w:r>
        <w:rPr>
          <w:rFonts w:hint="eastAsia"/>
          <w:sz w:val="32"/>
          <w:szCs w:val="24"/>
        </w:rPr>
        <w:t>分</w:t>
      </w:r>
      <w:r>
        <w:rPr>
          <w:rFonts w:hint="eastAsia"/>
          <w:sz w:val="32"/>
          <w:szCs w:val="24"/>
          <w:lang w:eastAsia="zh-CN"/>
        </w:rPr>
        <w:t>1</w:t>
      </w:r>
      <w:r>
        <w:rPr>
          <w:rFonts w:hint="eastAsia"/>
          <w:sz w:val="32"/>
          <w:szCs w:val="24"/>
          <w:lang w:val="en-US" w:eastAsia="zh-CN"/>
        </w:rPr>
        <w:t>7</w:t>
      </w:r>
      <w:r>
        <w:rPr>
          <w:rFonts w:hint="eastAsia"/>
          <w:sz w:val="32"/>
          <w:szCs w:val="24"/>
        </w:rPr>
        <w:t>分，得分率为</w:t>
      </w:r>
      <w:r>
        <w:rPr>
          <w:rFonts w:hint="eastAsia"/>
          <w:sz w:val="32"/>
          <w:szCs w:val="24"/>
          <w:lang w:val="en-US" w:eastAsia="zh-CN"/>
        </w:rPr>
        <w:t>85</w:t>
      </w:r>
      <w:r>
        <w:rPr>
          <w:rFonts w:hint="eastAsia"/>
          <w:sz w:val="32"/>
          <w:szCs w:val="24"/>
        </w:rPr>
        <w:t>%。具体如下表：</w:t>
      </w:r>
    </w:p>
    <w:tbl>
      <w:tblPr>
        <w:tblStyle w:val="22"/>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330"/>
        <w:gridCol w:w="2048"/>
        <w:gridCol w:w="1456"/>
        <w:gridCol w:w="1457"/>
        <w:gridCol w:w="619"/>
        <w:gridCol w:w="692"/>
        <w:gridCol w:w="917"/>
      </w:tblGrid>
      <w:tr w14:paraId="375BB6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shd w:val="clear" w:color="auto" w:fill="BDD6EE"/>
            <w:vAlign w:val="center"/>
          </w:tcPr>
          <w:p w14:paraId="0B04D71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2" w:type="pct"/>
            <w:shd w:val="clear" w:color="auto" w:fill="BDD6EE"/>
            <w:vAlign w:val="center"/>
          </w:tcPr>
          <w:p w14:paraId="6FDDC2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854" w:type="pct"/>
            <w:shd w:val="clear" w:color="auto" w:fill="BDD6EE"/>
            <w:vAlign w:val="center"/>
          </w:tcPr>
          <w:p w14:paraId="2374CE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54" w:type="pct"/>
            <w:shd w:val="clear" w:color="auto" w:fill="BDD6EE"/>
            <w:vAlign w:val="center"/>
          </w:tcPr>
          <w:p w14:paraId="1694819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63" w:type="pct"/>
            <w:shd w:val="clear" w:color="auto" w:fill="BDD6EE"/>
            <w:vAlign w:val="center"/>
          </w:tcPr>
          <w:p w14:paraId="6BABA85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06" w:type="pct"/>
            <w:shd w:val="clear" w:color="auto" w:fill="BDD6EE"/>
            <w:vAlign w:val="center"/>
          </w:tcPr>
          <w:p w14:paraId="3FE3CE8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38" w:type="pct"/>
            <w:shd w:val="clear" w:color="auto" w:fill="BDD6EE"/>
            <w:vAlign w:val="center"/>
          </w:tcPr>
          <w:p w14:paraId="09F6860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74A1A9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Merge w:val="restart"/>
            <w:vAlign w:val="center"/>
          </w:tcPr>
          <w:p w14:paraId="616EF9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资金投入</w:t>
            </w:r>
          </w:p>
        </w:tc>
        <w:tc>
          <w:tcPr>
            <w:tcW w:w="2048" w:type="dxa"/>
            <w:vAlign w:val="center"/>
          </w:tcPr>
          <w:p w14:paraId="2F2C8A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基本支出预算执行率</w:t>
            </w:r>
          </w:p>
        </w:tc>
        <w:tc>
          <w:tcPr>
            <w:tcW w:w="1456" w:type="dxa"/>
            <w:vAlign w:val="center"/>
          </w:tcPr>
          <w:p w14:paraId="6B2A49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7" w:type="dxa"/>
            <w:vAlign w:val="center"/>
          </w:tcPr>
          <w:p w14:paraId="0D31BA7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99.27</w:t>
            </w:r>
          </w:p>
        </w:tc>
        <w:tc>
          <w:tcPr>
            <w:tcW w:w="363" w:type="pct"/>
            <w:vAlign w:val="center"/>
          </w:tcPr>
          <w:p w14:paraId="33324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3F7674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8" w:type="pct"/>
            <w:vAlign w:val="center"/>
          </w:tcPr>
          <w:p w14:paraId="2F0E38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678431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Merge w:val="continue"/>
            <w:vAlign w:val="center"/>
          </w:tcPr>
          <w:p w14:paraId="437D2934">
            <w:pPr>
              <w:jc w:val="center"/>
              <w:rPr>
                <w:rFonts w:hint="eastAsia" w:ascii="宋体" w:hAnsi="宋体" w:eastAsia="宋体" w:cs="宋体"/>
                <w:i w:val="0"/>
                <w:iCs w:val="0"/>
                <w:color w:val="000000"/>
                <w:kern w:val="0"/>
                <w:sz w:val="20"/>
                <w:szCs w:val="20"/>
                <w:u w:val="none"/>
                <w:lang w:val="en-US" w:eastAsia="zh-CN" w:bidi="ar"/>
              </w:rPr>
            </w:pPr>
          </w:p>
        </w:tc>
        <w:tc>
          <w:tcPr>
            <w:tcW w:w="2048" w:type="dxa"/>
            <w:vAlign w:val="center"/>
          </w:tcPr>
          <w:p w14:paraId="244242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项目支出预算执行率</w:t>
            </w:r>
          </w:p>
        </w:tc>
        <w:tc>
          <w:tcPr>
            <w:tcW w:w="1456" w:type="dxa"/>
            <w:vAlign w:val="center"/>
          </w:tcPr>
          <w:p w14:paraId="13FB2B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457" w:type="dxa"/>
            <w:vAlign w:val="center"/>
          </w:tcPr>
          <w:p w14:paraId="7A1234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65.39</w:t>
            </w:r>
          </w:p>
        </w:tc>
        <w:tc>
          <w:tcPr>
            <w:tcW w:w="363" w:type="pct"/>
            <w:vAlign w:val="center"/>
          </w:tcPr>
          <w:p w14:paraId="1ED9AD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7D79FC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8" w:type="pct"/>
            <w:shd w:val="clear" w:color="auto" w:fill="auto"/>
            <w:vAlign w:val="center"/>
          </w:tcPr>
          <w:p w14:paraId="24F5A8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52AADE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Merge w:val="continue"/>
            <w:vAlign w:val="center"/>
          </w:tcPr>
          <w:p w14:paraId="24745E85">
            <w:pPr>
              <w:jc w:val="center"/>
              <w:rPr>
                <w:rFonts w:hint="eastAsia" w:ascii="宋体" w:hAnsi="宋体" w:eastAsia="宋体" w:cs="宋体"/>
                <w:i w:val="0"/>
                <w:iCs w:val="0"/>
                <w:color w:val="000000"/>
                <w:kern w:val="0"/>
                <w:sz w:val="20"/>
                <w:szCs w:val="20"/>
                <w:u w:val="none"/>
                <w:lang w:val="en-US" w:eastAsia="zh-CN" w:bidi="ar"/>
              </w:rPr>
            </w:pPr>
          </w:p>
        </w:tc>
        <w:tc>
          <w:tcPr>
            <w:tcW w:w="2048" w:type="dxa"/>
            <w:vAlign w:val="center"/>
          </w:tcPr>
          <w:p w14:paraId="117928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“三公”经费控制率</w:t>
            </w:r>
          </w:p>
        </w:tc>
        <w:tc>
          <w:tcPr>
            <w:tcW w:w="1456" w:type="dxa"/>
            <w:vAlign w:val="center"/>
          </w:tcPr>
          <w:p w14:paraId="3F4EB7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457" w:type="dxa"/>
            <w:vAlign w:val="center"/>
          </w:tcPr>
          <w:p w14:paraId="6357AC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99.24</w:t>
            </w:r>
          </w:p>
        </w:tc>
        <w:tc>
          <w:tcPr>
            <w:tcW w:w="363" w:type="pct"/>
            <w:vAlign w:val="center"/>
          </w:tcPr>
          <w:p w14:paraId="301AA1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7E217D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8" w:type="pct"/>
            <w:vAlign w:val="center"/>
          </w:tcPr>
          <w:p w14:paraId="648B3C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112241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Merge w:val="continue"/>
            <w:vAlign w:val="center"/>
          </w:tcPr>
          <w:p w14:paraId="3E1695FC">
            <w:pPr>
              <w:jc w:val="center"/>
              <w:rPr>
                <w:rFonts w:hint="eastAsia" w:ascii="宋体" w:hAnsi="宋体" w:eastAsia="宋体" w:cs="宋体"/>
                <w:i w:val="0"/>
                <w:iCs w:val="0"/>
                <w:color w:val="000000"/>
                <w:kern w:val="0"/>
                <w:sz w:val="20"/>
                <w:szCs w:val="20"/>
                <w:u w:val="none"/>
                <w:lang w:val="en-US" w:eastAsia="zh-CN" w:bidi="ar"/>
              </w:rPr>
            </w:pPr>
          </w:p>
        </w:tc>
        <w:tc>
          <w:tcPr>
            <w:tcW w:w="2048" w:type="dxa"/>
            <w:vAlign w:val="center"/>
          </w:tcPr>
          <w:p w14:paraId="0ACC92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结转结余变动率</w:t>
            </w:r>
          </w:p>
        </w:tc>
        <w:tc>
          <w:tcPr>
            <w:tcW w:w="1456" w:type="dxa"/>
            <w:vAlign w:val="center"/>
          </w:tcPr>
          <w:p w14:paraId="621198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&lt;=0%</w:t>
            </w:r>
          </w:p>
        </w:tc>
        <w:tc>
          <w:tcPr>
            <w:tcW w:w="1457" w:type="dxa"/>
            <w:vAlign w:val="center"/>
          </w:tcPr>
          <w:p w14:paraId="239C02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406.99</w:t>
            </w:r>
          </w:p>
        </w:tc>
        <w:tc>
          <w:tcPr>
            <w:tcW w:w="363" w:type="pct"/>
            <w:vAlign w:val="center"/>
          </w:tcPr>
          <w:p w14:paraId="595CA6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4C12D1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538" w:type="pct"/>
            <w:vAlign w:val="center"/>
          </w:tcPr>
          <w:p w14:paraId="55308E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14:paraId="09A05E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Merge w:val="restart"/>
            <w:vAlign w:val="center"/>
          </w:tcPr>
          <w:p w14:paraId="65A04D4D">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财务管理</w:t>
            </w:r>
          </w:p>
        </w:tc>
        <w:tc>
          <w:tcPr>
            <w:tcW w:w="1202" w:type="pct"/>
            <w:vAlign w:val="center"/>
          </w:tcPr>
          <w:p w14:paraId="2EAFC4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854" w:type="pct"/>
            <w:vAlign w:val="center"/>
          </w:tcPr>
          <w:p w14:paraId="3570F7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854" w:type="pct"/>
            <w:vAlign w:val="center"/>
          </w:tcPr>
          <w:p w14:paraId="1BE3A3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3A7EA4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59EA0D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8" w:type="pct"/>
            <w:vAlign w:val="center"/>
          </w:tcPr>
          <w:p w14:paraId="0E5B73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3B3784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Merge w:val="continue"/>
            <w:vAlign w:val="center"/>
          </w:tcPr>
          <w:p w14:paraId="37732225">
            <w:pPr>
              <w:jc w:val="center"/>
              <w:rPr>
                <w:rFonts w:hint="eastAsia" w:ascii="宋体" w:hAnsi="宋体" w:eastAsia="宋体" w:cs="宋体"/>
                <w:color w:val="000000"/>
                <w:kern w:val="0"/>
                <w:sz w:val="20"/>
                <w:szCs w:val="20"/>
                <w:highlight w:val="none"/>
                <w:lang w:val="en-US" w:eastAsia="zh-CN" w:bidi="ar-SA"/>
              </w:rPr>
            </w:pPr>
          </w:p>
        </w:tc>
        <w:tc>
          <w:tcPr>
            <w:tcW w:w="1202" w:type="pct"/>
            <w:vAlign w:val="center"/>
          </w:tcPr>
          <w:p w14:paraId="4B3687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资金使用规范性</w:t>
            </w:r>
          </w:p>
        </w:tc>
        <w:tc>
          <w:tcPr>
            <w:tcW w:w="854" w:type="pct"/>
            <w:vAlign w:val="center"/>
          </w:tcPr>
          <w:p w14:paraId="2FC6C0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54" w:type="pct"/>
            <w:vAlign w:val="center"/>
          </w:tcPr>
          <w:p w14:paraId="460055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33DFFA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596E84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8" w:type="pct"/>
            <w:vAlign w:val="center"/>
          </w:tcPr>
          <w:p w14:paraId="33E3C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5AC90B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Align w:val="center"/>
          </w:tcPr>
          <w:p w14:paraId="119B3130">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采购管理</w:t>
            </w:r>
          </w:p>
        </w:tc>
        <w:tc>
          <w:tcPr>
            <w:tcW w:w="1202" w:type="pct"/>
            <w:vAlign w:val="center"/>
          </w:tcPr>
          <w:p w14:paraId="4FF3E1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政府采购规范性</w:t>
            </w:r>
          </w:p>
        </w:tc>
        <w:tc>
          <w:tcPr>
            <w:tcW w:w="854" w:type="pct"/>
            <w:vAlign w:val="center"/>
          </w:tcPr>
          <w:p w14:paraId="44A213A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54" w:type="pct"/>
            <w:vAlign w:val="center"/>
          </w:tcPr>
          <w:p w14:paraId="292F44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53C6B4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28F822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8" w:type="pct"/>
            <w:vAlign w:val="center"/>
          </w:tcPr>
          <w:p w14:paraId="58AAD9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61C36B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Align w:val="center"/>
          </w:tcPr>
          <w:p w14:paraId="58442F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人员管理</w:t>
            </w:r>
          </w:p>
        </w:tc>
        <w:tc>
          <w:tcPr>
            <w:tcW w:w="1202" w:type="pct"/>
            <w:vAlign w:val="center"/>
          </w:tcPr>
          <w:p w14:paraId="774010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在职人员控制率</w:t>
            </w:r>
          </w:p>
        </w:tc>
        <w:tc>
          <w:tcPr>
            <w:tcW w:w="854" w:type="pct"/>
            <w:vAlign w:val="center"/>
          </w:tcPr>
          <w:p w14:paraId="281BA629">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854" w:type="pct"/>
            <w:vAlign w:val="center"/>
          </w:tcPr>
          <w:p w14:paraId="4B98CC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83.6</w:t>
            </w:r>
          </w:p>
        </w:tc>
        <w:tc>
          <w:tcPr>
            <w:tcW w:w="363" w:type="pct"/>
            <w:vAlign w:val="center"/>
          </w:tcPr>
          <w:p w14:paraId="370E1D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4C78D19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8" w:type="pct"/>
            <w:vAlign w:val="center"/>
          </w:tcPr>
          <w:p w14:paraId="77749E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5AB4E0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Align w:val="center"/>
          </w:tcPr>
          <w:p w14:paraId="4A1EEC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w:t>
            </w:r>
          </w:p>
        </w:tc>
        <w:tc>
          <w:tcPr>
            <w:tcW w:w="1202" w:type="pct"/>
            <w:vAlign w:val="center"/>
          </w:tcPr>
          <w:p w14:paraId="0CE07C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重点工作管理制度健全性</w:t>
            </w:r>
          </w:p>
        </w:tc>
        <w:tc>
          <w:tcPr>
            <w:tcW w:w="854" w:type="pct"/>
            <w:vAlign w:val="center"/>
          </w:tcPr>
          <w:p w14:paraId="14D85DF8">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854" w:type="pct"/>
            <w:vAlign w:val="center"/>
          </w:tcPr>
          <w:p w14:paraId="09D81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089D9D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2C7E20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8" w:type="pct"/>
            <w:vAlign w:val="center"/>
          </w:tcPr>
          <w:p w14:paraId="5EC2E0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31C01F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81" w:type="pct"/>
            <w:vAlign w:val="center"/>
          </w:tcPr>
          <w:p w14:paraId="58E64F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w:t>
            </w:r>
          </w:p>
        </w:tc>
        <w:tc>
          <w:tcPr>
            <w:tcW w:w="1202" w:type="pct"/>
            <w:vAlign w:val="center"/>
          </w:tcPr>
          <w:p w14:paraId="08503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资产管理规范性</w:t>
            </w:r>
          </w:p>
        </w:tc>
        <w:tc>
          <w:tcPr>
            <w:tcW w:w="854" w:type="pct"/>
            <w:vAlign w:val="center"/>
          </w:tcPr>
          <w:p w14:paraId="2FC9E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54" w:type="pct"/>
            <w:vAlign w:val="center"/>
          </w:tcPr>
          <w:p w14:paraId="6AEEC9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3D855C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6" w:type="pct"/>
            <w:vAlign w:val="center"/>
          </w:tcPr>
          <w:p w14:paraId="52E1B4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8" w:type="pct"/>
            <w:vAlign w:val="center"/>
          </w:tcPr>
          <w:p w14:paraId="560FAC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4D7E51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92" w:type="pct"/>
            <w:gridSpan w:val="4"/>
            <w:shd w:val="clear" w:color="auto" w:fill="BDD6EE"/>
            <w:vAlign w:val="center"/>
          </w:tcPr>
          <w:p w14:paraId="02E166B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63" w:type="pct"/>
            <w:shd w:val="clear" w:color="auto" w:fill="BDD6EE"/>
            <w:vAlign w:val="center"/>
          </w:tcPr>
          <w:p w14:paraId="115F1D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06" w:type="pct"/>
            <w:shd w:val="clear" w:color="auto" w:fill="BDD6EE"/>
            <w:vAlign w:val="center"/>
          </w:tcPr>
          <w:p w14:paraId="5518BF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17</w:t>
            </w:r>
          </w:p>
        </w:tc>
        <w:tc>
          <w:tcPr>
            <w:tcW w:w="538" w:type="pct"/>
            <w:shd w:val="clear" w:color="auto" w:fill="BDD6EE"/>
            <w:vAlign w:val="center"/>
          </w:tcPr>
          <w:p w14:paraId="0EB7B04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85%</w:t>
            </w:r>
          </w:p>
        </w:tc>
      </w:tr>
    </w:tbl>
    <w:p w14:paraId="2FF738E8">
      <w:pPr>
        <w:spacing w:line="560" w:lineRule="exact"/>
        <w:ind w:firstLine="643"/>
        <w:rPr>
          <w:rFonts w:hAnsi="宋体"/>
          <w:sz w:val="32"/>
          <w:szCs w:val="32"/>
        </w:rPr>
      </w:pPr>
      <w:r>
        <w:rPr>
          <w:rFonts w:hint="eastAsia" w:hAnsi="宋体"/>
          <w:b/>
          <w:bCs/>
          <w:sz w:val="32"/>
          <w:szCs w:val="32"/>
        </w:rPr>
        <w:t>基本支出预算执行率：</w:t>
      </w:r>
      <w:r>
        <w:rPr>
          <w:rFonts w:hint="eastAsia" w:hAnsi="宋体"/>
          <w:sz w:val="32"/>
          <w:szCs w:val="32"/>
        </w:rPr>
        <w:t>基本支出全年预算数为1317</w:t>
      </w:r>
      <w:r>
        <w:rPr>
          <w:rFonts w:hint="eastAsia" w:hAnsi="宋体"/>
          <w:sz w:val="32"/>
          <w:szCs w:val="32"/>
          <w:lang w:val="en-US" w:eastAsia="zh-CN"/>
        </w:rPr>
        <w:t>.62</w:t>
      </w:r>
      <w:r>
        <w:rPr>
          <w:rFonts w:hint="eastAsia" w:hAnsi="宋体"/>
          <w:sz w:val="32"/>
          <w:szCs w:val="32"/>
        </w:rPr>
        <w:t>万元，实际支出数为</w:t>
      </w:r>
      <w:r>
        <w:rPr>
          <w:rFonts w:hint="eastAsia" w:hAnsi="宋体"/>
          <w:sz w:val="32"/>
          <w:szCs w:val="32"/>
          <w:lang w:val="en-US" w:eastAsia="zh-CN"/>
        </w:rPr>
        <w:t>1308.06</w:t>
      </w:r>
      <w:r>
        <w:rPr>
          <w:rFonts w:hint="eastAsia" w:hAnsi="宋体"/>
          <w:sz w:val="32"/>
          <w:szCs w:val="32"/>
        </w:rPr>
        <w:t>万元，基本支出预算执行率为</w:t>
      </w:r>
      <w:r>
        <w:rPr>
          <w:rFonts w:hint="eastAsia" w:hAnsi="宋体"/>
          <w:sz w:val="32"/>
          <w:szCs w:val="32"/>
          <w:lang w:val="en-US" w:eastAsia="zh-CN"/>
        </w:rPr>
        <w:t>99.27</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5F5801F2">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highlight w:val="none"/>
        </w:rPr>
      </w:pPr>
      <w:r>
        <w:rPr>
          <w:rFonts w:hint="eastAsia" w:hAnsi="宋体"/>
          <w:b/>
          <w:bCs/>
          <w:sz w:val="32"/>
          <w:szCs w:val="32"/>
          <w:highlight w:val="none"/>
        </w:rPr>
        <w:t>项目支出预算执行率：</w:t>
      </w:r>
      <w:r>
        <w:rPr>
          <w:rFonts w:hint="eastAsia" w:hAnsi="宋体"/>
          <w:sz w:val="32"/>
          <w:szCs w:val="32"/>
          <w:highlight w:val="none"/>
          <w:lang w:eastAsia="zh-CN"/>
        </w:rPr>
        <w:t>2024年度</w:t>
      </w:r>
      <w:r>
        <w:rPr>
          <w:rFonts w:hint="eastAsia" w:hAnsi="宋体"/>
          <w:sz w:val="32"/>
          <w:szCs w:val="32"/>
          <w:highlight w:val="none"/>
        </w:rPr>
        <w:t>项目支出全年预算数</w:t>
      </w:r>
      <w:r>
        <w:rPr>
          <w:rFonts w:hint="eastAsia" w:hAnsi="宋体"/>
          <w:sz w:val="32"/>
          <w:szCs w:val="32"/>
          <w:highlight w:val="none"/>
          <w:lang w:val="en-US" w:eastAsia="zh-CN"/>
        </w:rPr>
        <w:t>2419.10万元，</w:t>
      </w:r>
      <w:r>
        <w:rPr>
          <w:rFonts w:hint="eastAsia" w:hAnsi="宋体"/>
          <w:sz w:val="32"/>
          <w:szCs w:val="32"/>
          <w:highlight w:val="none"/>
        </w:rPr>
        <w:t>实际支出数</w:t>
      </w:r>
      <w:r>
        <w:rPr>
          <w:rFonts w:hint="eastAsia" w:hAnsi="宋体"/>
          <w:sz w:val="32"/>
          <w:szCs w:val="32"/>
          <w:highlight w:val="none"/>
          <w:lang w:eastAsia="zh-CN"/>
        </w:rPr>
        <w:t>1582</w:t>
      </w:r>
      <w:r>
        <w:rPr>
          <w:rFonts w:hint="eastAsia" w:hAnsi="宋体"/>
          <w:sz w:val="32"/>
          <w:szCs w:val="32"/>
          <w:highlight w:val="none"/>
          <w:lang w:val="en-US" w:eastAsia="zh-CN"/>
        </w:rPr>
        <w:t>.01</w:t>
      </w:r>
      <w:r>
        <w:rPr>
          <w:rFonts w:hint="eastAsia" w:hAnsi="宋体"/>
          <w:sz w:val="32"/>
          <w:szCs w:val="32"/>
          <w:highlight w:val="none"/>
        </w:rPr>
        <w:t>万元，项目支出预算执行率为</w:t>
      </w:r>
      <w:r>
        <w:rPr>
          <w:rFonts w:hint="eastAsia" w:hAnsi="宋体"/>
          <w:sz w:val="32"/>
          <w:szCs w:val="32"/>
          <w:highlight w:val="none"/>
          <w:lang w:val="en-US" w:eastAsia="zh-CN"/>
        </w:rPr>
        <w:t>65.39%</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2分，得</w:t>
      </w:r>
      <w:r>
        <w:rPr>
          <w:rFonts w:hint="eastAsia" w:hAnsi="宋体"/>
          <w:sz w:val="32"/>
          <w:szCs w:val="32"/>
          <w:highlight w:val="none"/>
        </w:rPr>
        <w:t>分率为</w:t>
      </w:r>
      <w:r>
        <w:rPr>
          <w:rFonts w:hint="eastAsia" w:hAnsi="宋体"/>
          <w:sz w:val="32"/>
          <w:szCs w:val="32"/>
          <w:highlight w:val="none"/>
          <w:lang w:val="en-US" w:eastAsia="zh-CN"/>
        </w:rPr>
        <w:t>100%</w:t>
      </w:r>
      <w:r>
        <w:rPr>
          <w:rFonts w:hint="eastAsia" w:hAnsi="宋体"/>
          <w:sz w:val="32"/>
          <w:szCs w:val="32"/>
          <w:highlight w:val="none"/>
        </w:rPr>
        <w:t>。</w:t>
      </w:r>
    </w:p>
    <w:p w14:paraId="37C6EAD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highlight w:val="none"/>
        </w:rPr>
      </w:pPr>
      <w:r>
        <w:rPr>
          <w:rFonts w:hint="eastAsia" w:hAnsi="宋体"/>
          <w:b/>
          <w:bCs/>
          <w:sz w:val="32"/>
          <w:szCs w:val="32"/>
          <w:highlight w:val="none"/>
        </w:rPr>
        <w:t>“三公经费”控制率：</w:t>
      </w:r>
      <w:r>
        <w:rPr>
          <w:rFonts w:hint="eastAsia" w:hAnsi="宋体"/>
          <w:b w:val="0"/>
          <w:bCs w:val="0"/>
          <w:sz w:val="32"/>
          <w:szCs w:val="32"/>
          <w:highlight w:val="none"/>
          <w:lang w:val="en-US" w:eastAsia="zh-CN"/>
        </w:rPr>
        <w:t>2024年</w:t>
      </w:r>
      <w:r>
        <w:rPr>
          <w:rFonts w:hint="eastAsia" w:hAnsi="宋体"/>
          <w:sz w:val="32"/>
          <w:szCs w:val="32"/>
          <w:highlight w:val="none"/>
        </w:rPr>
        <w:t>“三公经费”</w:t>
      </w:r>
      <w:r>
        <w:rPr>
          <w:rFonts w:hint="eastAsia" w:hAnsi="宋体"/>
          <w:sz w:val="32"/>
          <w:szCs w:val="32"/>
          <w:highlight w:val="none"/>
          <w:lang w:val="en-US" w:eastAsia="zh-CN"/>
        </w:rPr>
        <w:t>年初预算数63.70万元，实际支出数63.22万元，</w:t>
      </w:r>
      <w:r>
        <w:rPr>
          <w:rFonts w:hint="eastAsia" w:hAnsi="宋体"/>
          <w:sz w:val="32"/>
          <w:szCs w:val="32"/>
          <w:highlight w:val="none"/>
        </w:rPr>
        <w:t>“三公经费”控制率为</w:t>
      </w:r>
      <w:r>
        <w:rPr>
          <w:rFonts w:hint="eastAsia" w:hAnsi="宋体"/>
          <w:sz w:val="32"/>
          <w:szCs w:val="32"/>
          <w:highlight w:val="none"/>
          <w:lang w:val="en-US" w:eastAsia="zh-CN"/>
        </w:rPr>
        <w:t>99.24%</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1704AC99">
      <w:pPr>
        <w:spacing w:line="560" w:lineRule="exact"/>
        <w:ind w:firstLine="643"/>
        <w:rPr>
          <w:sz w:val="32"/>
          <w:szCs w:val="24"/>
        </w:rPr>
      </w:pPr>
      <w:r>
        <w:rPr>
          <w:rFonts w:hint="eastAsia" w:hAnsi="宋体"/>
          <w:b/>
          <w:bCs/>
          <w:sz w:val="32"/>
          <w:szCs w:val="32"/>
          <w:highlight w:val="none"/>
        </w:rPr>
        <w:t>结转结余变动率：</w:t>
      </w:r>
      <w:r>
        <w:rPr>
          <w:rFonts w:hint="eastAsia" w:hAnsi="宋体"/>
          <w:sz w:val="32"/>
          <w:szCs w:val="32"/>
          <w:highlight w:val="none"/>
        </w:rPr>
        <w:t>我院一般公共预算财政拨款收入202</w:t>
      </w:r>
      <w:r>
        <w:rPr>
          <w:rFonts w:hint="eastAsia" w:hAnsi="宋体"/>
          <w:sz w:val="32"/>
          <w:szCs w:val="32"/>
          <w:highlight w:val="none"/>
          <w:lang w:val="en-US" w:eastAsia="zh-CN"/>
        </w:rPr>
        <w:t>3</w:t>
      </w:r>
      <w:r>
        <w:rPr>
          <w:rFonts w:hint="eastAsia" w:hAnsi="宋体"/>
          <w:sz w:val="32"/>
          <w:szCs w:val="32"/>
          <w:highlight w:val="none"/>
        </w:rPr>
        <w:t>年度结转结余资金165</w:t>
      </w:r>
      <w:r>
        <w:rPr>
          <w:rFonts w:hint="eastAsia" w:hAnsi="宋体"/>
          <w:sz w:val="32"/>
          <w:szCs w:val="32"/>
          <w:highlight w:val="none"/>
          <w:lang w:val="en-US" w:eastAsia="zh-CN"/>
        </w:rPr>
        <w:t>.</w:t>
      </w:r>
      <w:r>
        <w:rPr>
          <w:rFonts w:hint="eastAsia" w:hAnsi="宋体"/>
          <w:sz w:val="32"/>
          <w:szCs w:val="32"/>
          <w:highlight w:val="none"/>
        </w:rPr>
        <w:t>10万元，</w:t>
      </w:r>
      <w:r>
        <w:rPr>
          <w:rFonts w:hint="eastAsia" w:hAnsi="宋体"/>
          <w:sz w:val="32"/>
          <w:szCs w:val="32"/>
          <w:highlight w:val="none"/>
          <w:lang w:eastAsia="zh-CN"/>
        </w:rPr>
        <w:t>2024</w:t>
      </w:r>
      <w:r>
        <w:rPr>
          <w:rFonts w:hint="eastAsia" w:hAnsi="宋体"/>
          <w:sz w:val="32"/>
          <w:szCs w:val="32"/>
          <w:highlight w:val="none"/>
        </w:rPr>
        <w:t>年度结转结余资金837</w:t>
      </w:r>
      <w:r>
        <w:rPr>
          <w:rFonts w:hint="eastAsia" w:hAnsi="宋体"/>
          <w:sz w:val="32"/>
          <w:szCs w:val="32"/>
          <w:highlight w:val="none"/>
          <w:lang w:val="en-US" w:eastAsia="zh-CN"/>
        </w:rPr>
        <w:t>.</w:t>
      </w:r>
      <w:r>
        <w:rPr>
          <w:rFonts w:hint="eastAsia" w:hAnsi="宋体"/>
          <w:sz w:val="32"/>
          <w:szCs w:val="32"/>
          <w:highlight w:val="none"/>
        </w:rPr>
        <w:t>07万元，本年全省法院“两庭建设”资金结转增加</w:t>
      </w:r>
      <w:r>
        <w:rPr>
          <w:rFonts w:hint="eastAsia" w:hAnsi="宋体"/>
          <w:sz w:val="32"/>
          <w:szCs w:val="32"/>
          <w:highlight w:val="none"/>
          <w:lang w:eastAsia="zh-CN"/>
        </w:rPr>
        <w:t>，</w:t>
      </w:r>
      <w:r>
        <w:rPr>
          <w:rFonts w:hint="eastAsia" w:hAnsi="宋体"/>
          <w:sz w:val="32"/>
          <w:szCs w:val="32"/>
          <w:highlight w:val="none"/>
        </w:rPr>
        <w:t>结转结余资金变动率为</w:t>
      </w:r>
      <w:r>
        <w:rPr>
          <w:rFonts w:hint="eastAsia" w:hAnsi="宋体"/>
          <w:sz w:val="32"/>
          <w:szCs w:val="32"/>
          <w:highlight w:val="none"/>
          <w:lang w:val="en-US" w:eastAsia="zh-CN"/>
        </w:rPr>
        <w:t>406.99</w:t>
      </w:r>
      <w:r>
        <w:rPr>
          <w:rFonts w:hint="eastAsia" w:hAnsi="宋体"/>
          <w:sz w:val="32"/>
          <w:szCs w:val="32"/>
          <w:highlight w:val="none"/>
        </w:rPr>
        <w:t>%，该指标分值2分，自评得分为</w:t>
      </w:r>
      <w:r>
        <w:rPr>
          <w:rFonts w:hint="eastAsia" w:hAnsi="宋体"/>
          <w:sz w:val="32"/>
          <w:szCs w:val="32"/>
          <w:lang w:val="en-US" w:eastAsia="zh-CN"/>
        </w:rPr>
        <w:t>0</w:t>
      </w:r>
      <w:r>
        <w:rPr>
          <w:rFonts w:hint="eastAsia" w:hAnsi="宋体"/>
          <w:sz w:val="32"/>
          <w:szCs w:val="32"/>
        </w:rPr>
        <w:t>分，得分率为</w:t>
      </w:r>
      <w:r>
        <w:rPr>
          <w:rFonts w:hint="eastAsia" w:hAnsi="宋体"/>
          <w:sz w:val="32"/>
          <w:szCs w:val="32"/>
          <w:lang w:val="en-US" w:eastAsia="zh-CN"/>
        </w:rPr>
        <w:t>0</w:t>
      </w:r>
      <w:r>
        <w:rPr>
          <w:rFonts w:hint="eastAsia" w:hAnsi="宋体"/>
          <w:sz w:val="32"/>
          <w:szCs w:val="32"/>
        </w:rPr>
        <w:t>%。</w:t>
      </w:r>
    </w:p>
    <w:p w14:paraId="02FE3944">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highlight w:val="none"/>
        </w:rPr>
      </w:pPr>
      <w:r>
        <w:rPr>
          <w:rFonts w:hint="eastAsia" w:hAnsi="宋体"/>
          <w:b/>
          <w:bCs/>
          <w:sz w:val="32"/>
          <w:szCs w:val="32"/>
        </w:rPr>
        <w:t>财务管理制度健全性：</w:t>
      </w:r>
      <w:r>
        <w:rPr>
          <w:rFonts w:hint="eastAsia" w:hAnsi="宋体"/>
          <w:sz w:val="32"/>
          <w:szCs w:val="32"/>
          <w:lang w:eastAsia="zh-CN"/>
        </w:rPr>
        <w:t>我院</w:t>
      </w:r>
      <w:r>
        <w:rPr>
          <w:rFonts w:hint="eastAsia" w:hAnsi="宋体"/>
          <w:sz w:val="32"/>
          <w:szCs w:val="32"/>
          <w:lang w:val="en-US" w:eastAsia="zh-CN"/>
        </w:rPr>
        <w:t>根据制定了的相关财务制度，</w:t>
      </w:r>
      <w:r>
        <w:rPr>
          <w:rFonts w:hint="eastAsia" w:hAnsi="宋体"/>
          <w:sz w:val="32"/>
          <w:szCs w:val="32"/>
        </w:rPr>
        <w:t>经费收支管理</w:t>
      </w:r>
      <w:r>
        <w:rPr>
          <w:rFonts w:hint="eastAsia" w:hAnsi="宋体"/>
          <w:sz w:val="32"/>
          <w:szCs w:val="32"/>
          <w:lang w:eastAsia="zh-CN"/>
        </w:rPr>
        <w:t>以及</w:t>
      </w:r>
      <w:r>
        <w:rPr>
          <w:rFonts w:hint="eastAsia" w:hAnsi="宋体"/>
          <w:sz w:val="32"/>
          <w:szCs w:val="32"/>
        </w:rPr>
        <w:t>票据管理</w:t>
      </w:r>
      <w:r>
        <w:rPr>
          <w:rFonts w:hint="eastAsia" w:hAnsi="宋体"/>
          <w:sz w:val="32"/>
          <w:szCs w:val="32"/>
          <w:lang w:eastAsia="zh-CN"/>
        </w:rPr>
        <w:t>等事项</w:t>
      </w:r>
      <w:r>
        <w:rPr>
          <w:rFonts w:hint="eastAsia" w:hAnsi="宋体"/>
          <w:sz w:val="32"/>
          <w:szCs w:val="32"/>
          <w:lang w:val="en-US" w:eastAsia="zh-CN"/>
        </w:rPr>
        <w:t>有完备的审批流程和管控手续，</w:t>
      </w:r>
      <w:r>
        <w:rPr>
          <w:rFonts w:hint="eastAsia" w:hAnsi="宋体"/>
          <w:sz w:val="32"/>
          <w:szCs w:val="32"/>
        </w:rPr>
        <w:t>在预算执行、事项支出、会计核算以及重大事项支出程序等方面不存在不规范现象，财务管理制度内容完备，具备可操作性。该指标分值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highlight w:val="none"/>
        </w:rPr>
        <w:t>分，得分率为</w:t>
      </w:r>
      <w:r>
        <w:rPr>
          <w:rFonts w:hint="eastAsia" w:hAnsi="宋体"/>
          <w:sz w:val="32"/>
          <w:szCs w:val="32"/>
          <w:highlight w:val="none"/>
          <w:lang w:val="en-US" w:eastAsia="zh-CN"/>
        </w:rPr>
        <w:t>90</w:t>
      </w:r>
      <w:r>
        <w:rPr>
          <w:rFonts w:hint="eastAsia" w:hAnsi="宋体"/>
          <w:sz w:val="32"/>
          <w:szCs w:val="32"/>
          <w:highlight w:val="none"/>
        </w:rPr>
        <w:t>%。</w:t>
      </w:r>
    </w:p>
    <w:p w14:paraId="3393C95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rPr>
      </w:pPr>
      <w:r>
        <w:rPr>
          <w:rFonts w:hint="eastAsia" w:hAnsi="宋体"/>
          <w:b/>
          <w:bCs/>
          <w:sz w:val="32"/>
          <w:szCs w:val="32"/>
          <w:highlight w:val="none"/>
        </w:rPr>
        <w:t>资金使用规范性：</w:t>
      </w:r>
      <w:r>
        <w:rPr>
          <w:rFonts w:hint="eastAsia" w:hAnsi="宋体"/>
          <w:sz w:val="32"/>
          <w:szCs w:val="32"/>
          <w:highlight w:val="none"/>
        </w:rPr>
        <w:t>我院资金支出总体上审批程序合规、手续齐全，支出内容</w:t>
      </w:r>
      <w:r>
        <w:rPr>
          <w:rFonts w:hint="eastAsia" w:hAnsi="宋体"/>
          <w:sz w:val="32"/>
          <w:szCs w:val="32"/>
        </w:rPr>
        <w:t>符合省财政预算批复规定的用途，严格使用公务卡报销，有效提高了财务资金使用的合理性和规范性,防止了国有资金流失</w:t>
      </w:r>
      <w:r>
        <w:rPr>
          <w:rFonts w:hint="eastAsia" w:hAnsi="宋体"/>
          <w:sz w:val="32"/>
          <w:szCs w:val="32"/>
          <w:lang w:eastAsia="zh-CN"/>
        </w:rPr>
        <w:t>。</w:t>
      </w:r>
      <w:r>
        <w:rPr>
          <w:rFonts w:hint="eastAsia" w:hAnsi="宋体"/>
          <w:sz w:val="32"/>
          <w:szCs w:val="32"/>
        </w:rPr>
        <w:t>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633A0030">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04D85CDA">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rPr>
      </w:pPr>
      <w:r>
        <w:rPr>
          <w:rFonts w:hint="eastAsia" w:hAnsi="宋体"/>
          <w:b/>
          <w:bCs/>
          <w:sz w:val="32"/>
          <w:szCs w:val="32"/>
        </w:rPr>
        <w:t>在职人员控制率：</w:t>
      </w:r>
      <w:r>
        <w:rPr>
          <w:rFonts w:hint="eastAsia" w:hAnsi="宋体"/>
          <w:sz w:val="32"/>
          <w:szCs w:val="32"/>
        </w:rPr>
        <w:t>我院人员管理规范，</w:t>
      </w:r>
      <w:r>
        <w:rPr>
          <w:rFonts w:hint="eastAsia" w:hAnsi="宋体"/>
          <w:sz w:val="32"/>
          <w:szCs w:val="32"/>
          <w:lang w:eastAsia="zh-CN"/>
        </w:rPr>
        <w:t>部门</w:t>
      </w:r>
      <w:r>
        <w:rPr>
          <w:rFonts w:hint="eastAsia" w:hAnsi="宋体"/>
          <w:sz w:val="32"/>
          <w:szCs w:val="32"/>
        </w:rPr>
        <w:t>整体的财政供养人员规模得到有效控制</w:t>
      </w:r>
      <w:r>
        <w:rPr>
          <w:rFonts w:hint="eastAsia" w:hAnsi="宋体"/>
          <w:sz w:val="32"/>
          <w:szCs w:val="32"/>
          <w:lang w:eastAsia="zh-CN"/>
        </w:rPr>
        <w:t>，在职人员</w:t>
      </w:r>
      <w:r>
        <w:rPr>
          <w:rFonts w:hint="eastAsia" w:hAnsi="宋体"/>
          <w:sz w:val="32"/>
          <w:szCs w:val="32"/>
          <w:lang w:val="en-US" w:eastAsia="zh-CN"/>
        </w:rPr>
        <w:t>控制率83.60%。</w:t>
      </w:r>
      <w:r>
        <w:rPr>
          <w:rFonts w:hint="eastAsia" w:hAnsi="宋体"/>
          <w:sz w:val="32"/>
          <w:szCs w:val="32"/>
        </w:rPr>
        <w:t>该指标分值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115BAED1">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079A5DC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rPr>
      </w:pPr>
      <w:r>
        <w:rPr>
          <w:rFonts w:hint="eastAsia" w:hAnsi="宋体"/>
          <w:b/>
          <w:bCs/>
          <w:sz w:val="32"/>
          <w:szCs w:val="32"/>
        </w:rPr>
        <w:t>资产管理规范性：</w:t>
      </w:r>
      <w:r>
        <w:rPr>
          <w:rFonts w:hint="eastAsia" w:hAnsi="宋体"/>
          <w:sz w:val="32"/>
          <w:szCs w:val="32"/>
          <w:lang w:eastAsia="zh-CN"/>
        </w:rPr>
        <w:t>2024年</w:t>
      </w:r>
      <w:r>
        <w:rPr>
          <w:rFonts w:hint="eastAsia" w:hAnsi="宋体"/>
          <w:sz w:val="32"/>
          <w:szCs w:val="32"/>
        </w:rPr>
        <w:t>我院账务和资产卡片数据相符，资产卡片与实物相符，各类资产保存完整、使用合规、配置合理、处置规范，资产处置收入能够及时足额上缴财政</w:t>
      </w:r>
      <w:r>
        <w:rPr>
          <w:rFonts w:hint="eastAsia" w:hAnsi="宋体"/>
          <w:sz w:val="32"/>
          <w:szCs w:val="32"/>
          <w:lang w:eastAsia="zh-CN"/>
        </w:rPr>
        <w:t>，</w:t>
      </w:r>
      <w:r>
        <w:rPr>
          <w:rFonts w:hint="eastAsia" w:hAnsi="宋体"/>
          <w:sz w:val="32"/>
          <w:szCs w:val="32"/>
        </w:rPr>
        <w:t>资产管理符合相关要求。该指标分值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14:paraId="3C7C387F">
      <w:pPr>
        <w:pStyle w:val="4"/>
        <w:spacing w:line="560" w:lineRule="exact"/>
        <w:ind w:firstLine="643"/>
        <w:rPr>
          <w:sz w:val="32"/>
          <w:szCs w:val="36"/>
        </w:rPr>
      </w:pPr>
      <w:bookmarkStart w:id="48" w:name="_Toc40046032"/>
      <w:r>
        <w:rPr>
          <w:rFonts w:hint="eastAsia"/>
          <w:sz w:val="32"/>
          <w:szCs w:val="36"/>
        </w:rPr>
        <w:t>3.履职效果</w:t>
      </w:r>
      <w:bookmarkEnd w:id="48"/>
      <w:r>
        <w:rPr>
          <w:rFonts w:hint="eastAsia"/>
          <w:sz w:val="32"/>
          <w:szCs w:val="36"/>
        </w:rPr>
        <w:t>目标完成情况分析</w:t>
      </w:r>
    </w:p>
    <w:p w14:paraId="54ED48C7">
      <w:pPr>
        <w:spacing w:line="560" w:lineRule="exact"/>
        <w:ind w:firstLine="640"/>
        <w:rPr>
          <w:rFonts w:hint="eastAsia"/>
          <w:sz w:val="32"/>
          <w:szCs w:val="24"/>
        </w:rPr>
      </w:pPr>
      <w:r>
        <w:rPr>
          <w:rFonts w:hint="eastAsia"/>
          <w:sz w:val="32"/>
          <w:szCs w:val="24"/>
        </w:rPr>
        <w:t>履职效果指标包括部门履职目标、部门效果、服务对象满意度及社会影响4个二级指标，下设</w:t>
      </w:r>
      <w:r>
        <w:rPr>
          <w:rFonts w:hint="eastAsia"/>
          <w:sz w:val="32"/>
          <w:szCs w:val="24"/>
          <w:lang w:val="en-US" w:eastAsia="zh-CN"/>
        </w:rPr>
        <w:t>8</w:t>
      </w:r>
      <w:r>
        <w:rPr>
          <w:rFonts w:hint="eastAsia"/>
          <w:sz w:val="32"/>
          <w:szCs w:val="24"/>
        </w:rPr>
        <w:t>个三级指标。履职效果指标分值60分，自评</w:t>
      </w:r>
      <w:r>
        <w:rPr>
          <w:sz w:val="32"/>
          <w:szCs w:val="24"/>
        </w:rPr>
        <w:t>得</w:t>
      </w:r>
      <w:r>
        <w:rPr>
          <w:rFonts w:hint="eastAsia"/>
          <w:sz w:val="32"/>
          <w:szCs w:val="24"/>
        </w:rPr>
        <w:t>分</w:t>
      </w:r>
      <w:r>
        <w:rPr>
          <w:rFonts w:hint="eastAsia"/>
          <w:sz w:val="32"/>
          <w:szCs w:val="24"/>
          <w:lang w:eastAsia="zh-CN"/>
        </w:rPr>
        <w:t>57.68</w:t>
      </w:r>
      <w:r>
        <w:rPr>
          <w:rFonts w:hint="eastAsia"/>
          <w:sz w:val="32"/>
          <w:szCs w:val="24"/>
        </w:rPr>
        <w:t>分，得分率为</w:t>
      </w:r>
      <w:r>
        <w:rPr>
          <w:rFonts w:hint="eastAsia"/>
          <w:sz w:val="32"/>
          <w:szCs w:val="24"/>
          <w:lang w:eastAsia="zh-CN"/>
        </w:rPr>
        <w:t>96.13</w:t>
      </w:r>
      <w:r>
        <w:rPr>
          <w:sz w:val="32"/>
          <w:szCs w:val="24"/>
        </w:rPr>
        <w:t>%</w:t>
      </w:r>
      <w:r>
        <w:rPr>
          <w:rFonts w:hint="eastAsia"/>
          <w:sz w:val="32"/>
          <w:szCs w:val="24"/>
        </w:rPr>
        <w:t>。</w:t>
      </w:r>
    </w:p>
    <w:tbl>
      <w:tblPr>
        <w:tblStyle w:val="22"/>
        <w:tblpPr w:vertAnchor="text" w:tblpXSpec="left" w:tblpY="1"/>
        <w:tblOverlap w:val="never"/>
        <w:tblW w:w="4995"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0" w:type="dxa"/>
          <w:bottom w:w="0" w:type="dxa"/>
          <w:right w:w="0" w:type="dxa"/>
        </w:tblCellMar>
      </w:tblPr>
      <w:tblGrid>
        <w:gridCol w:w="1503"/>
        <w:gridCol w:w="1890"/>
        <w:gridCol w:w="1295"/>
        <w:gridCol w:w="1247"/>
        <w:gridCol w:w="749"/>
        <w:gridCol w:w="704"/>
        <w:gridCol w:w="910"/>
      </w:tblGrid>
      <w:tr w14:paraId="517BF3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shd w:val="clear" w:color="auto" w:fill="BDD6EE"/>
            <w:vAlign w:val="center"/>
          </w:tcPr>
          <w:p w14:paraId="1592763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39" w:type="pct"/>
            <w:shd w:val="clear" w:color="auto" w:fill="BDD6EE"/>
            <w:vAlign w:val="center"/>
          </w:tcPr>
          <w:p w14:paraId="4F3142B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80" w:type="pct"/>
            <w:shd w:val="clear" w:color="auto" w:fill="BDD6EE"/>
            <w:vAlign w:val="center"/>
          </w:tcPr>
          <w:p w14:paraId="52B286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48" w:type="pct"/>
            <w:shd w:val="clear" w:color="auto" w:fill="BDD6EE"/>
            <w:vAlign w:val="center"/>
          </w:tcPr>
          <w:p w14:paraId="2B93065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451" w:type="pct"/>
            <w:shd w:val="clear" w:color="auto" w:fill="BDD6EE"/>
            <w:vAlign w:val="center"/>
          </w:tcPr>
          <w:p w14:paraId="434D8F5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24" w:type="pct"/>
            <w:shd w:val="clear" w:color="auto" w:fill="BDD6EE"/>
            <w:vAlign w:val="center"/>
          </w:tcPr>
          <w:p w14:paraId="61C4657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48" w:type="pct"/>
            <w:shd w:val="clear" w:color="auto" w:fill="BDD6EE"/>
            <w:vAlign w:val="center"/>
          </w:tcPr>
          <w:p w14:paraId="4ADDDD8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01146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vMerge w:val="restart"/>
            <w:shd w:val="clear" w:color="auto" w:fill="auto"/>
            <w:vAlign w:val="center"/>
          </w:tcPr>
          <w:p w14:paraId="48CD6D4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部门履职目标</w:t>
            </w:r>
          </w:p>
        </w:tc>
        <w:tc>
          <w:tcPr>
            <w:tcW w:w="1139" w:type="pct"/>
            <w:shd w:val="clear" w:color="auto" w:fill="auto"/>
            <w:vAlign w:val="center"/>
          </w:tcPr>
          <w:p w14:paraId="01F17C2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民商事案件结案率</w:t>
            </w:r>
          </w:p>
        </w:tc>
        <w:tc>
          <w:tcPr>
            <w:tcW w:w="780" w:type="pct"/>
            <w:shd w:val="clear" w:color="auto" w:fill="auto"/>
            <w:vAlign w:val="center"/>
          </w:tcPr>
          <w:p w14:paraId="2AF1D9A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48" w:type="pct"/>
            <w:shd w:val="clear" w:color="auto" w:fill="auto"/>
            <w:vAlign w:val="center"/>
          </w:tcPr>
          <w:p w14:paraId="78E0133F">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95.91</w:t>
            </w:r>
          </w:p>
        </w:tc>
        <w:tc>
          <w:tcPr>
            <w:tcW w:w="451" w:type="pct"/>
            <w:shd w:val="clear" w:color="auto" w:fill="auto"/>
            <w:vAlign w:val="center"/>
          </w:tcPr>
          <w:p w14:paraId="2689B3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424" w:type="pct"/>
            <w:shd w:val="clear" w:color="auto" w:fill="auto"/>
            <w:vAlign w:val="center"/>
          </w:tcPr>
          <w:p w14:paraId="33F45B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548" w:type="pct"/>
            <w:shd w:val="clear" w:color="auto" w:fill="auto"/>
            <w:vAlign w:val="center"/>
          </w:tcPr>
          <w:p w14:paraId="67C29D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B8784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vMerge w:val="continue"/>
            <w:shd w:val="clear" w:color="auto" w:fill="auto"/>
            <w:vAlign w:val="center"/>
          </w:tcPr>
          <w:p w14:paraId="2B2EFBD8">
            <w:pPr>
              <w:jc w:val="center"/>
              <w:rPr>
                <w:rFonts w:hint="eastAsia" w:ascii="宋体" w:hAnsi="宋体" w:eastAsia="宋体" w:cs="宋体"/>
                <w:b/>
                <w:bCs/>
                <w:i w:val="0"/>
                <w:iCs w:val="0"/>
                <w:color w:val="000000"/>
                <w:kern w:val="0"/>
                <w:sz w:val="20"/>
                <w:szCs w:val="20"/>
                <w:u w:val="none"/>
                <w:lang w:val="en-US" w:eastAsia="zh-CN" w:bidi="ar"/>
              </w:rPr>
            </w:pPr>
          </w:p>
        </w:tc>
        <w:tc>
          <w:tcPr>
            <w:tcW w:w="1139" w:type="pct"/>
            <w:shd w:val="clear" w:color="auto" w:fill="auto"/>
            <w:vAlign w:val="center"/>
          </w:tcPr>
          <w:p w14:paraId="3282C37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全年收案数</w:t>
            </w:r>
          </w:p>
        </w:tc>
        <w:tc>
          <w:tcPr>
            <w:tcW w:w="780" w:type="pct"/>
            <w:shd w:val="clear" w:color="auto" w:fill="auto"/>
            <w:vAlign w:val="center"/>
          </w:tcPr>
          <w:p w14:paraId="15B0420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&gt;=3000件</w:t>
            </w:r>
          </w:p>
        </w:tc>
        <w:tc>
          <w:tcPr>
            <w:tcW w:w="748" w:type="pct"/>
            <w:shd w:val="clear" w:color="auto" w:fill="auto"/>
            <w:vAlign w:val="center"/>
          </w:tcPr>
          <w:p w14:paraId="572C8BEE">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4570</w:t>
            </w:r>
          </w:p>
        </w:tc>
        <w:tc>
          <w:tcPr>
            <w:tcW w:w="451" w:type="pct"/>
            <w:shd w:val="clear" w:color="auto" w:fill="auto"/>
            <w:vAlign w:val="center"/>
          </w:tcPr>
          <w:p w14:paraId="143E508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424" w:type="pct"/>
            <w:shd w:val="clear" w:color="auto" w:fill="auto"/>
            <w:vAlign w:val="center"/>
          </w:tcPr>
          <w:p w14:paraId="68612EC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5.53</w:t>
            </w:r>
          </w:p>
        </w:tc>
        <w:tc>
          <w:tcPr>
            <w:tcW w:w="548" w:type="pct"/>
            <w:shd w:val="clear" w:color="auto" w:fill="auto"/>
            <w:vAlign w:val="center"/>
          </w:tcPr>
          <w:p w14:paraId="7117F69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77.45%</w:t>
            </w:r>
          </w:p>
        </w:tc>
      </w:tr>
      <w:tr w14:paraId="50FCE8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vMerge w:val="continue"/>
            <w:shd w:val="clear" w:color="auto" w:fill="auto"/>
            <w:vAlign w:val="center"/>
          </w:tcPr>
          <w:p w14:paraId="5EAC19B1">
            <w:pPr>
              <w:jc w:val="center"/>
              <w:rPr>
                <w:rFonts w:hint="eastAsia" w:ascii="宋体" w:hAnsi="宋体" w:eastAsia="宋体" w:cs="宋体"/>
                <w:b/>
                <w:bCs/>
                <w:i w:val="0"/>
                <w:iCs w:val="0"/>
                <w:color w:val="000000"/>
                <w:kern w:val="0"/>
                <w:sz w:val="20"/>
                <w:szCs w:val="20"/>
                <w:u w:val="none"/>
                <w:lang w:val="en-US" w:eastAsia="zh-CN" w:bidi="ar"/>
              </w:rPr>
            </w:pPr>
          </w:p>
        </w:tc>
        <w:tc>
          <w:tcPr>
            <w:tcW w:w="1139" w:type="pct"/>
            <w:shd w:val="clear" w:color="auto" w:fill="auto"/>
            <w:vAlign w:val="center"/>
          </w:tcPr>
          <w:p w14:paraId="6F7815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刑事案件结案率</w:t>
            </w:r>
          </w:p>
        </w:tc>
        <w:tc>
          <w:tcPr>
            <w:tcW w:w="780" w:type="pct"/>
            <w:shd w:val="clear" w:color="auto" w:fill="auto"/>
            <w:vAlign w:val="center"/>
          </w:tcPr>
          <w:p w14:paraId="68EA6C6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48" w:type="pct"/>
            <w:shd w:val="clear" w:color="auto" w:fill="auto"/>
            <w:vAlign w:val="center"/>
          </w:tcPr>
          <w:p w14:paraId="62A793A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98.61</w:t>
            </w:r>
          </w:p>
        </w:tc>
        <w:tc>
          <w:tcPr>
            <w:tcW w:w="451" w:type="pct"/>
            <w:shd w:val="clear" w:color="auto" w:fill="auto"/>
            <w:vAlign w:val="center"/>
          </w:tcPr>
          <w:p w14:paraId="7894BC0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424" w:type="pct"/>
            <w:shd w:val="clear" w:color="auto" w:fill="auto"/>
            <w:vAlign w:val="center"/>
          </w:tcPr>
          <w:p w14:paraId="063414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548" w:type="pct"/>
            <w:shd w:val="clear" w:color="auto" w:fill="auto"/>
            <w:vAlign w:val="center"/>
          </w:tcPr>
          <w:p w14:paraId="66EB88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48E2C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vMerge w:val="continue"/>
            <w:shd w:val="clear" w:color="auto" w:fill="auto"/>
            <w:vAlign w:val="center"/>
          </w:tcPr>
          <w:p w14:paraId="7D09DEA0">
            <w:pPr>
              <w:jc w:val="center"/>
              <w:rPr>
                <w:rFonts w:hint="eastAsia" w:ascii="宋体" w:hAnsi="宋体" w:eastAsia="宋体" w:cs="宋体"/>
                <w:b/>
                <w:bCs/>
                <w:i w:val="0"/>
                <w:iCs w:val="0"/>
                <w:color w:val="000000"/>
                <w:kern w:val="0"/>
                <w:sz w:val="20"/>
                <w:szCs w:val="20"/>
                <w:u w:val="none"/>
                <w:lang w:val="en-US" w:eastAsia="zh-CN" w:bidi="ar"/>
              </w:rPr>
            </w:pPr>
          </w:p>
        </w:tc>
        <w:tc>
          <w:tcPr>
            <w:tcW w:w="1139" w:type="pct"/>
            <w:shd w:val="clear" w:color="auto" w:fill="auto"/>
            <w:vAlign w:val="center"/>
          </w:tcPr>
          <w:p w14:paraId="7FCC097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行政案件结案率</w:t>
            </w:r>
          </w:p>
        </w:tc>
        <w:tc>
          <w:tcPr>
            <w:tcW w:w="780" w:type="pct"/>
            <w:shd w:val="clear" w:color="auto" w:fill="auto"/>
            <w:vAlign w:val="center"/>
          </w:tcPr>
          <w:p w14:paraId="1E8DE84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48" w:type="pct"/>
            <w:shd w:val="clear" w:color="auto" w:fill="auto"/>
            <w:vAlign w:val="center"/>
          </w:tcPr>
          <w:p w14:paraId="0BD848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95.06</w:t>
            </w:r>
          </w:p>
        </w:tc>
        <w:tc>
          <w:tcPr>
            <w:tcW w:w="451" w:type="pct"/>
            <w:shd w:val="clear" w:color="auto" w:fill="auto"/>
            <w:vAlign w:val="center"/>
          </w:tcPr>
          <w:p w14:paraId="4E8A43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424" w:type="pct"/>
            <w:shd w:val="clear" w:color="auto" w:fill="auto"/>
            <w:vAlign w:val="center"/>
          </w:tcPr>
          <w:p w14:paraId="680A67B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548" w:type="pct"/>
            <w:shd w:val="clear" w:color="auto" w:fill="auto"/>
            <w:vAlign w:val="center"/>
          </w:tcPr>
          <w:p w14:paraId="1051BF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8056B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vMerge w:val="restart"/>
            <w:shd w:val="clear" w:color="auto" w:fill="auto"/>
            <w:vAlign w:val="center"/>
          </w:tcPr>
          <w:p w14:paraId="5B35662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部门效果目标</w:t>
            </w:r>
          </w:p>
        </w:tc>
        <w:tc>
          <w:tcPr>
            <w:tcW w:w="1139" w:type="pct"/>
            <w:shd w:val="clear" w:color="auto" w:fill="auto"/>
            <w:vAlign w:val="center"/>
          </w:tcPr>
          <w:p w14:paraId="37C5C6D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执行标的到位率</w:t>
            </w:r>
          </w:p>
        </w:tc>
        <w:tc>
          <w:tcPr>
            <w:tcW w:w="780" w:type="pct"/>
            <w:shd w:val="clear" w:color="auto" w:fill="auto"/>
            <w:vAlign w:val="center"/>
          </w:tcPr>
          <w:p w14:paraId="44EE9F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w:t>
            </w:r>
          </w:p>
        </w:tc>
        <w:tc>
          <w:tcPr>
            <w:tcW w:w="748" w:type="pct"/>
            <w:shd w:val="clear" w:color="auto" w:fill="auto"/>
            <w:vAlign w:val="center"/>
          </w:tcPr>
          <w:p w14:paraId="788A93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51" w:type="pct"/>
            <w:shd w:val="clear" w:color="auto" w:fill="auto"/>
            <w:vAlign w:val="center"/>
          </w:tcPr>
          <w:p w14:paraId="4E3F107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424" w:type="pct"/>
            <w:shd w:val="clear" w:color="auto" w:fill="auto"/>
            <w:vAlign w:val="center"/>
          </w:tcPr>
          <w:p w14:paraId="62D69A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548" w:type="pct"/>
            <w:shd w:val="clear" w:color="auto" w:fill="auto"/>
            <w:vAlign w:val="center"/>
          </w:tcPr>
          <w:p w14:paraId="191BAF4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8967E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vMerge w:val="continue"/>
            <w:shd w:val="clear" w:color="auto" w:fill="auto"/>
            <w:vAlign w:val="center"/>
          </w:tcPr>
          <w:p w14:paraId="49FAB534">
            <w:pPr>
              <w:jc w:val="center"/>
              <w:rPr>
                <w:rFonts w:hint="eastAsia" w:ascii="宋体" w:hAnsi="宋体" w:eastAsia="宋体" w:cs="宋体"/>
                <w:b/>
                <w:bCs/>
                <w:i w:val="0"/>
                <w:iCs w:val="0"/>
                <w:color w:val="000000"/>
                <w:kern w:val="0"/>
                <w:sz w:val="20"/>
                <w:szCs w:val="20"/>
                <w:u w:val="none"/>
                <w:lang w:val="en-US" w:eastAsia="zh-CN" w:bidi="ar"/>
              </w:rPr>
            </w:pPr>
          </w:p>
        </w:tc>
        <w:tc>
          <w:tcPr>
            <w:tcW w:w="1139" w:type="pct"/>
            <w:shd w:val="clear" w:color="auto" w:fill="auto"/>
            <w:vAlign w:val="center"/>
          </w:tcPr>
          <w:p w14:paraId="4D372C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法制宣传内容知晓度</w:t>
            </w:r>
          </w:p>
        </w:tc>
        <w:tc>
          <w:tcPr>
            <w:tcW w:w="780" w:type="pct"/>
            <w:shd w:val="clear" w:color="auto" w:fill="auto"/>
            <w:vAlign w:val="center"/>
          </w:tcPr>
          <w:p w14:paraId="4EF8785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知悉</w:t>
            </w:r>
          </w:p>
        </w:tc>
        <w:tc>
          <w:tcPr>
            <w:tcW w:w="748" w:type="pct"/>
            <w:shd w:val="clear" w:color="auto" w:fill="auto"/>
            <w:vAlign w:val="center"/>
          </w:tcPr>
          <w:p w14:paraId="1ED1B76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51" w:type="pct"/>
            <w:shd w:val="clear" w:color="auto" w:fill="auto"/>
            <w:vAlign w:val="center"/>
          </w:tcPr>
          <w:p w14:paraId="3C8B9B4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w:t>
            </w:r>
          </w:p>
        </w:tc>
        <w:tc>
          <w:tcPr>
            <w:tcW w:w="424" w:type="pct"/>
            <w:shd w:val="clear" w:color="auto" w:fill="auto"/>
            <w:vAlign w:val="center"/>
          </w:tcPr>
          <w:p w14:paraId="1000D43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6.43</w:t>
            </w:r>
          </w:p>
        </w:tc>
        <w:tc>
          <w:tcPr>
            <w:tcW w:w="548" w:type="pct"/>
            <w:shd w:val="clear" w:color="auto" w:fill="auto"/>
            <w:vAlign w:val="center"/>
          </w:tcPr>
          <w:p w14:paraId="577171F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90.06%</w:t>
            </w:r>
          </w:p>
        </w:tc>
      </w:tr>
      <w:tr w14:paraId="7723C7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shd w:val="clear" w:color="auto" w:fill="auto"/>
            <w:vAlign w:val="center"/>
          </w:tcPr>
          <w:p w14:paraId="150E8BB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社会影响</w:t>
            </w:r>
          </w:p>
        </w:tc>
        <w:tc>
          <w:tcPr>
            <w:tcW w:w="1139" w:type="pct"/>
            <w:shd w:val="clear" w:color="auto" w:fill="auto"/>
            <w:vAlign w:val="center"/>
          </w:tcPr>
          <w:p w14:paraId="619CC0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单位获奖情况</w:t>
            </w:r>
          </w:p>
        </w:tc>
        <w:tc>
          <w:tcPr>
            <w:tcW w:w="780" w:type="pct"/>
            <w:shd w:val="clear" w:color="auto" w:fill="auto"/>
            <w:vAlign w:val="center"/>
          </w:tcPr>
          <w:p w14:paraId="45826BD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&gt;=1项</w:t>
            </w:r>
          </w:p>
        </w:tc>
        <w:tc>
          <w:tcPr>
            <w:tcW w:w="748" w:type="pct"/>
            <w:shd w:val="clear" w:color="auto" w:fill="auto"/>
            <w:vAlign w:val="center"/>
          </w:tcPr>
          <w:p w14:paraId="19A6FC3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51" w:type="pct"/>
            <w:shd w:val="clear" w:color="auto" w:fill="auto"/>
            <w:vAlign w:val="center"/>
          </w:tcPr>
          <w:p w14:paraId="29D35E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7.16</w:t>
            </w:r>
          </w:p>
        </w:tc>
        <w:tc>
          <w:tcPr>
            <w:tcW w:w="424" w:type="pct"/>
            <w:shd w:val="clear" w:color="auto" w:fill="auto"/>
            <w:vAlign w:val="center"/>
          </w:tcPr>
          <w:p w14:paraId="7F3007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7.16</w:t>
            </w:r>
          </w:p>
        </w:tc>
        <w:tc>
          <w:tcPr>
            <w:tcW w:w="548" w:type="pct"/>
            <w:shd w:val="clear" w:color="auto" w:fill="auto"/>
            <w:vAlign w:val="center"/>
          </w:tcPr>
          <w:p w14:paraId="381B193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CA37E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906" w:type="pct"/>
            <w:shd w:val="clear" w:color="auto" w:fill="auto"/>
            <w:vAlign w:val="center"/>
          </w:tcPr>
          <w:p w14:paraId="429E35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w:t>
            </w:r>
          </w:p>
        </w:tc>
        <w:tc>
          <w:tcPr>
            <w:tcW w:w="1139" w:type="pct"/>
            <w:shd w:val="clear" w:color="auto" w:fill="auto"/>
            <w:vAlign w:val="center"/>
          </w:tcPr>
          <w:p w14:paraId="0DD0EC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当事人满意度</w:t>
            </w:r>
          </w:p>
        </w:tc>
        <w:tc>
          <w:tcPr>
            <w:tcW w:w="780" w:type="pct"/>
            <w:shd w:val="clear" w:color="auto" w:fill="auto"/>
            <w:vAlign w:val="center"/>
          </w:tcPr>
          <w:p w14:paraId="0DB1B92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48" w:type="pct"/>
            <w:shd w:val="clear" w:color="auto" w:fill="auto"/>
            <w:vAlign w:val="center"/>
          </w:tcPr>
          <w:p w14:paraId="5E964CD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451" w:type="pct"/>
            <w:shd w:val="clear" w:color="auto" w:fill="auto"/>
            <w:vAlign w:val="center"/>
          </w:tcPr>
          <w:p w14:paraId="1214089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24" w:type="pct"/>
            <w:shd w:val="clear" w:color="auto" w:fill="auto"/>
            <w:vAlign w:val="center"/>
          </w:tcPr>
          <w:p w14:paraId="10484A1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48" w:type="pct"/>
            <w:shd w:val="clear" w:color="auto" w:fill="auto"/>
            <w:vAlign w:val="center"/>
          </w:tcPr>
          <w:p w14:paraId="6F73AAF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DFDB3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3576" w:type="pct"/>
            <w:gridSpan w:val="4"/>
            <w:shd w:val="clear" w:color="auto" w:fill="BDD6EE"/>
            <w:vAlign w:val="center"/>
          </w:tcPr>
          <w:p w14:paraId="1770AE3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451" w:type="pct"/>
            <w:shd w:val="clear" w:color="auto" w:fill="BDD6EE"/>
            <w:vAlign w:val="center"/>
          </w:tcPr>
          <w:p w14:paraId="045492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60</w:t>
            </w:r>
          </w:p>
        </w:tc>
        <w:tc>
          <w:tcPr>
            <w:tcW w:w="424" w:type="pct"/>
            <w:shd w:val="clear" w:color="auto" w:fill="BDD6EE"/>
            <w:vAlign w:val="center"/>
          </w:tcPr>
          <w:p w14:paraId="436171F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57.68</w:t>
            </w:r>
          </w:p>
        </w:tc>
        <w:tc>
          <w:tcPr>
            <w:tcW w:w="548" w:type="pct"/>
            <w:shd w:val="clear" w:color="auto" w:fill="BDD6EE"/>
            <w:vAlign w:val="center"/>
          </w:tcPr>
          <w:p w14:paraId="6BFA10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96.13%</w:t>
            </w:r>
          </w:p>
        </w:tc>
      </w:tr>
    </w:tbl>
    <w:p w14:paraId="30A61D1D">
      <w:pPr>
        <w:spacing w:line="560" w:lineRule="exact"/>
        <w:ind w:firstLine="643"/>
        <w:rPr>
          <w:rFonts w:hint="eastAsia"/>
          <w:b w:val="0"/>
          <w:bCs w:val="0"/>
          <w:sz w:val="32"/>
          <w:szCs w:val="24"/>
        </w:rPr>
      </w:pPr>
      <w:r>
        <w:rPr>
          <w:rFonts w:hint="eastAsia"/>
          <w:b/>
          <w:bCs/>
          <w:sz w:val="32"/>
          <w:szCs w:val="24"/>
        </w:rPr>
        <w:t>民商事案件结案率：</w:t>
      </w:r>
      <w:r>
        <w:rPr>
          <w:rFonts w:hint="eastAsia"/>
          <w:b w:val="0"/>
          <w:bCs w:val="0"/>
          <w:sz w:val="32"/>
          <w:szCs w:val="24"/>
        </w:rPr>
        <w:t>年度指标</w:t>
      </w:r>
      <w:r>
        <w:rPr>
          <w:rFonts w:hint="eastAsia"/>
          <w:b w:val="0"/>
          <w:bCs w:val="0"/>
          <w:sz w:val="32"/>
          <w:szCs w:val="24"/>
          <w:lang w:eastAsia="zh-CN"/>
        </w:rPr>
        <w:t>大于等于</w:t>
      </w:r>
      <w:r>
        <w:rPr>
          <w:rFonts w:hint="eastAsia"/>
          <w:b w:val="0"/>
          <w:bCs w:val="0"/>
          <w:sz w:val="32"/>
          <w:szCs w:val="24"/>
        </w:rPr>
        <w:t>9</w:t>
      </w:r>
      <w:r>
        <w:rPr>
          <w:rFonts w:hint="eastAsia"/>
          <w:b w:val="0"/>
          <w:bCs w:val="0"/>
          <w:sz w:val="32"/>
          <w:szCs w:val="24"/>
          <w:lang w:val="en-US" w:eastAsia="zh-CN"/>
        </w:rPr>
        <w:t>0</w:t>
      </w:r>
      <w:r>
        <w:rPr>
          <w:rFonts w:hint="eastAsia"/>
          <w:b w:val="0"/>
          <w:bCs w:val="0"/>
          <w:sz w:val="32"/>
          <w:szCs w:val="24"/>
        </w:rPr>
        <w:t>%，实际完成值9</w:t>
      </w:r>
      <w:r>
        <w:rPr>
          <w:rFonts w:hint="eastAsia"/>
          <w:b w:val="0"/>
          <w:bCs w:val="0"/>
          <w:sz w:val="32"/>
          <w:szCs w:val="24"/>
          <w:lang w:val="en-US" w:eastAsia="zh-CN"/>
        </w:rPr>
        <w:t>5.91</w:t>
      </w:r>
      <w:r>
        <w:rPr>
          <w:rFonts w:hint="eastAsia"/>
          <w:b w:val="0"/>
          <w:bCs w:val="0"/>
          <w:sz w:val="32"/>
          <w:szCs w:val="24"/>
        </w:rPr>
        <w:t>%，分值</w:t>
      </w:r>
      <w:r>
        <w:rPr>
          <w:rFonts w:hint="eastAsia"/>
          <w:b w:val="0"/>
          <w:bCs w:val="0"/>
          <w:sz w:val="32"/>
          <w:szCs w:val="24"/>
          <w:lang w:val="en-US" w:eastAsia="zh-CN"/>
        </w:rPr>
        <w:t>7.14</w:t>
      </w:r>
      <w:r>
        <w:rPr>
          <w:rFonts w:hint="eastAsia"/>
          <w:b w:val="0"/>
          <w:bCs w:val="0"/>
          <w:sz w:val="32"/>
          <w:szCs w:val="24"/>
        </w:rPr>
        <w:t>分，得分</w:t>
      </w:r>
      <w:r>
        <w:rPr>
          <w:rFonts w:hint="eastAsia"/>
          <w:b w:val="0"/>
          <w:bCs w:val="0"/>
          <w:sz w:val="32"/>
          <w:szCs w:val="24"/>
          <w:lang w:val="en-US" w:eastAsia="zh-CN"/>
        </w:rPr>
        <w:t>7.14</w:t>
      </w:r>
      <w:r>
        <w:rPr>
          <w:rFonts w:hint="eastAsia"/>
          <w:b w:val="0"/>
          <w:bCs w:val="0"/>
          <w:sz w:val="32"/>
          <w:szCs w:val="24"/>
        </w:rPr>
        <w:t>分，得分率100%。表明</w:t>
      </w:r>
      <w:r>
        <w:rPr>
          <w:rFonts w:hint="eastAsia"/>
          <w:b w:val="0"/>
          <w:bCs w:val="0"/>
          <w:sz w:val="32"/>
          <w:szCs w:val="24"/>
          <w:lang w:val="en-US" w:eastAsia="zh-CN"/>
        </w:rPr>
        <w:t>我</w:t>
      </w:r>
      <w:r>
        <w:rPr>
          <w:rFonts w:hint="eastAsia"/>
          <w:b w:val="0"/>
          <w:bCs w:val="0"/>
          <w:sz w:val="32"/>
          <w:szCs w:val="24"/>
        </w:rPr>
        <w:t>院在民商事案件审理上效率颇高，远超既定目标。</w:t>
      </w:r>
      <w:r>
        <w:rPr>
          <w:rFonts w:hint="eastAsia"/>
          <w:b w:val="0"/>
          <w:bCs w:val="0"/>
          <w:sz w:val="32"/>
          <w:szCs w:val="24"/>
          <w:lang w:val="en-US" w:eastAsia="zh-CN"/>
        </w:rPr>
        <w:t>我院</w:t>
      </w:r>
      <w:r>
        <w:rPr>
          <w:rFonts w:hint="eastAsia"/>
          <w:b w:val="0"/>
          <w:bCs w:val="0"/>
          <w:sz w:val="32"/>
          <w:szCs w:val="24"/>
        </w:rPr>
        <w:t>民商事审判团队业务能力强，审判流程管理科学，能及时有效化解民商事纠纷，保障当事人合法权益，促进经济社会秩序稳定。</w:t>
      </w:r>
    </w:p>
    <w:p w14:paraId="09529E97">
      <w:pPr>
        <w:spacing w:line="560" w:lineRule="exact"/>
        <w:ind w:firstLine="643"/>
        <w:rPr>
          <w:rFonts w:hint="eastAsia"/>
          <w:b w:val="0"/>
          <w:bCs w:val="0"/>
          <w:sz w:val="32"/>
          <w:szCs w:val="24"/>
        </w:rPr>
      </w:pPr>
      <w:r>
        <w:rPr>
          <w:rFonts w:hint="eastAsia"/>
          <w:b/>
          <w:bCs/>
          <w:sz w:val="32"/>
          <w:szCs w:val="24"/>
        </w:rPr>
        <w:t>全年收案数：</w:t>
      </w:r>
      <w:r>
        <w:rPr>
          <w:rFonts w:hint="eastAsia"/>
          <w:b w:val="0"/>
          <w:bCs w:val="0"/>
          <w:sz w:val="32"/>
          <w:szCs w:val="24"/>
        </w:rPr>
        <w:t>年度指标</w:t>
      </w:r>
      <w:r>
        <w:rPr>
          <w:rFonts w:hint="eastAsia"/>
          <w:b w:val="0"/>
          <w:bCs w:val="0"/>
          <w:sz w:val="32"/>
          <w:szCs w:val="24"/>
          <w:lang w:val="en-US" w:eastAsia="zh-CN"/>
        </w:rPr>
        <w:t>3000件</w:t>
      </w:r>
      <w:r>
        <w:rPr>
          <w:rFonts w:hint="eastAsia"/>
          <w:b w:val="0"/>
          <w:bCs w:val="0"/>
          <w:sz w:val="32"/>
          <w:szCs w:val="24"/>
        </w:rPr>
        <w:t>，实际完成值</w:t>
      </w:r>
      <w:r>
        <w:rPr>
          <w:rFonts w:hint="eastAsia"/>
          <w:b w:val="0"/>
          <w:bCs w:val="0"/>
          <w:sz w:val="32"/>
          <w:szCs w:val="24"/>
          <w:lang w:val="en-US" w:eastAsia="zh-CN"/>
        </w:rPr>
        <w:t>4570件</w:t>
      </w:r>
      <w:r>
        <w:rPr>
          <w:rFonts w:hint="eastAsia"/>
          <w:b w:val="0"/>
          <w:bCs w:val="0"/>
          <w:sz w:val="32"/>
          <w:szCs w:val="24"/>
        </w:rPr>
        <w:t>，分值</w:t>
      </w:r>
      <w:r>
        <w:rPr>
          <w:rFonts w:hint="eastAsia"/>
          <w:b w:val="0"/>
          <w:bCs w:val="0"/>
          <w:sz w:val="32"/>
          <w:szCs w:val="24"/>
          <w:lang w:val="en-US" w:eastAsia="zh-CN"/>
        </w:rPr>
        <w:t>7.14</w:t>
      </w:r>
      <w:r>
        <w:rPr>
          <w:rFonts w:hint="eastAsia"/>
          <w:b w:val="0"/>
          <w:bCs w:val="0"/>
          <w:sz w:val="32"/>
          <w:szCs w:val="24"/>
        </w:rPr>
        <w:t>分，得分</w:t>
      </w:r>
      <w:r>
        <w:rPr>
          <w:rFonts w:hint="eastAsia"/>
          <w:b w:val="0"/>
          <w:bCs w:val="0"/>
          <w:sz w:val="32"/>
          <w:szCs w:val="24"/>
          <w:lang w:val="en-US" w:eastAsia="zh-CN"/>
        </w:rPr>
        <w:t>5.53</w:t>
      </w:r>
      <w:r>
        <w:rPr>
          <w:rFonts w:hint="eastAsia"/>
          <w:b w:val="0"/>
          <w:bCs w:val="0"/>
          <w:sz w:val="32"/>
          <w:szCs w:val="24"/>
        </w:rPr>
        <w:t>，得分率</w:t>
      </w:r>
      <w:r>
        <w:rPr>
          <w:rFonts w:hint="eastAsia"/>
          <w:b w:val="0"/>
          <w:bCs w:val="0"/>
          <w:sz w:val="32"/>
          <w:szCs w:val="24"/>
          <w:lang w:val="en-US" w:eastAsia="zh-CN"/>
        </w:rPr>
        <w:t>77.45</w:t>
      </w:r>
      <w:r>
        <w:rPr>
          <w:rFonts w:hint="eastAsia"/>
          <w:b w:val="0"/>
          <w:bCs w:val="0"/>
          <w:sz w:val="32"/>
          <w:szCs w:val="24"/>
        </w:rPr>
        <w:t>%。体现</w:t>
      </w:r>
      <w:r>
        <w:rPr>
          <w:rFonts w:hint="eastAsia"/>
          <w:b w:val="0"/>
          <w:bCs w:val="0"/>
          <w:sz w:val="32"/>
          <w:szCs w:val="24"/>
          <w:lang w:val="en-US" w:eastAsia="zh-CN"/>
        </w:rPr>
        <w:t>我</w:t>
      </w:r>
      <w:r>
        <w:rPr>
          <w:rFonts w:hint="eastAsia"/>
          <w:b w:val="0"/>
          <w:bCs w:val="0"/>
          <w:sz w:val="32"/>
          <w:szCs w:val="24"/>
        </w:rPr>
        <w:t>院</w:t>
      </w:r>
      <w:r>
        <w:rPr>
          <w:rFonts w:hint="eastAsia"/>
          <w:b w:val="0"/>
          <w:bCs w:val="0"/>
          <w:sz w:val="32"/>
          <w:szCs w:val="24"/>
          <w:lang w:val="en-US" w:eastAsia="zh-CN"/>
        </w:rPr>
        <w:t>全年收案数量达标，未得满分原因在于年度指标值和实际完成值相差较大</w:t>
      </w:r>
      <w:r>
        <w:rPr>
          <w:rFonts w:hint="eastAsia"/>
          <w:b w:val="0"/>
          <w:bCs w:val="0"/>
          <w:sz w:val="32"/>
          <w:szCs w:val="24"/>
        </w:rPr>
        <w:t>。</w:t>
      </w:r>
    </w:p>
    <w:p w14:paraId="20A603FC">
      <w:pPr>
        <w:spacing w:line="560" w:lineRule="exact"/>
        <w:ind w:firstLine="643"/>
        <w:rPr>
          <w:rFonts w:hint="eastAsia"/>
          <w:b w:val="0"/>
          <w:bCs w:val="0"/>
          <w:sz w:val="32"/>
          <w:szCs w:val="24"/>
        </w:rPr>
      </w:pPr>
      <w:r>
        <w:rPr>
          <w:rFonts w:hint="eastAsia"/>
          <w:b/>
          <w:bCs/>
          <w:sz w:val="32"/>
          <w:szCs w:val="24"/>
        </w:rPr>
        <w:t>刑事案件结案率：</w:t>
      </w:r>
      <w:r>
        <w:rPr>
          <w:rFonts w:hint="eastAsia"/>
          <w:b w:val="0"/>
          <w:bCs w:val="0"/>
          <w:sz w:val="32"/>
          <w:szCs w:val="24"/>
        </w:rPr>
        <w:t>年度指标</w:t>
      </w:r>
      <w:r>
        <w:rPr>
          <w:rFonts w:hint="eastAsia"/>
          <w:b w:val="0"/>
          <w:bCs w:val="0"/>
          <w:sz w:val="32"/>
          <w:szCs w:val="24"/>
          <w:lang w:eastAsia="zh-CN"/>
        </w:rPr>
        <w:t>大于等于</w:t>
      </w:r>
      <w:r>
        <w:rPr>
          <w:rFonts w:hint="eastAsia"/>
          <w:b w:val="0"/>
          <w:bCs w:val="0"/>
          <w:sz w:val="32"/>
          <w:szCs w:val="24"/>
          <w:lang w:val="en-US" w:eastAsia="zh-CN"/>
        </w:rPr>
        <w:t>90</w:t>
      </w:r>
      <w:r>
        <w:rPr>
          <w:rFonts w:hint="eastAsia"/>
          <w:b w:val="0"/>
          <w:bCs w:val="0"/>
          <w:sz w:val="32"/>
          <w:szCs w:val="24"/>
        </w:rPr>
        <w:t>%，实际完成值98.</w:t>
      </w:r>
      <w:r>
        <w:rPr>
          <w:rFonts w:hint="eastAsia"/>
          <w:b w:val="0"/>
          <w:bCs w:val="0"/>
          <w:sz w:val="32"/>
          <w:szCs w:val="24"/>
          <w:lang w:val="en-US" w:eastAsia="zh-CN"/>
        </w:rPr>
        <w:t>61</w:t>
      </w:r>
      <w:r>
        <w:rPr>
          <w:rFonts w:hint="eastAsia"/>
          <w:b w:val="0"/>
          <w:bCs w:val="0"/>
          <w:sz w:val="32"/>
          <w:szCs w:val="24"/>
        </w:rPr>
        <w:t>%，分值</w:t>
      </w:r>
      <w:r>
        <w:rPr>
          <w:rFonts w:hint="eastAsia"/>
          <w:b w:val="0"/>
          <w:bCs w:val="0"/>
          <w:sz w:val="32"/>
          <w:szCs w:val="24"/>
          <w:lang w:val="en-US" w:eastAsia="zh-CN"/>
        </w:rPr>
        <w:t>7.14</w:t>
      </w:r>
      <w:r>
        <w:rPr>
          <w:rFonts w:hint="eastAsia"/>
          <w:b w:val="0"/>
          <w:bCs w:val="0"/>
          <w:sz w:val="32"/>
          <w:szCs w:val="24"/>
        </w:rPr>
        <w:t>分，得分</w:t>
      </w:r>
      <w:r>
        <w:rPr>
          <w:rFonts w:hint="eastAsia"/>
          <w:b w:val="0"/>
          <w:bCs w:val="0"/>
          <w:sz w:val="32"/>
          <w:szCs w:val="24"/>
          <w:lang w:val="en-US" w:eastAsia="zh-CN"/>
        </w:rPr>
        <w:t>7.14</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w:t>
      </w:r>
      <w:r>
        <w:rPr>
          <w:rFonts w:hint="eastAsia"/>
          <w:b w:val="0"/>
          <w:bCs w:val="0"/>
          <w:sz w:val="32"/>
          <w:szCs w:val="24"/>
          <w:lang w:eastAsia="zh-CN"/>
        </w:rPr>
        <w:t>显示我</w:t>
      </w:r>
      <w:r>
        <w:rPr>
          <w:rFonts w:hint="eastAsia"/>
          <w:b w:val="0"/>
          <w:bCs w:val="0"/>
          <w:sz w:val="32"/>
          <w:szCs w:val="24"/>
        </w:rPr>
        <w:t>院在刑事案件审判方面效率较高，能及时审结案件，有效惩治犯罪行为。</w:t>
      </w:r>
    </w:p>
    <w:p w14:paraId="6845D974">
      <w:pPr>
        <w:spacing w:line="560" w:lineRule="exact"/>
        <w:ind w:firstLine="643"/>
        <w:rPr>
          <w:rFonts w:hint="eastAsia"/>
          <w:b/>
          <w:bCs/>
          <w:sz w:val="32"/>
          <w:szCs w:val="24"/>
        </w:rPr>
      </w:pPr>
      <w:r>
        <w:rPr>
          <w:rFonts w:hint="eastAsia"/>
          <w:b/>
          <w:bCs/>
          <w:sz w:val="32"/>
          <w:szCs w:val="24"/>
        </w:rPr>
        <w:t>行政案件结案率：</w:t>
      </w:r>
      <w:r>
        <w:rPr>
          <w:rFonts w:hint="eastAsia"/>
          <w:b w:val="0"/>
          <w:bCs w:val="0"/>
          <w:sz w:val="32"/>
          <w:szCs w:val="24"/>
        </w:rPr>
        <w:t>年度指标</w:t>
      </w:r>
      <w:r>
        <w:rPr>
          <w:rFonts w:hint="eastAsia"/>
          <w:b w:val="0"/>
          <w:bCs w:val="0"/>
          <w:sz w:val="32"/>
          <w:szCs w:val="24"/>
          <w:lang w:eastAsia="zh-CN"/>
        </w:rPr>
        <w:t>大于等于</w:t>
      </w:r>
      <w:r>
        <w:rPr>
          <w:rFonts w:hint="eastAsia"/>
          <w:b w:val="0"/>
          <w:bCs w:val="0"/>
          <w:sz w:val="32"/>
          <w:szCs w:val="24"/>
        </w:rPr>
        <w:t>95%，实际完成值95.06%，分值</w:t>
      </w:r>
      <w:r>
        <w:rPr>
          <w:rFonts w:hint="eastAsia"/>
          <w:b w:val="0"/>
          <w:bCs w:val="0"/>
          <w:sz w:val="32"/>
          <w:szCs w:val="24"/>
          <w:lang w:val="en-US" w:eastAsia="zh-CN"/>
        </w:rPr>
        <w:t>7.14</w:t>
      </w:r>
      <w:r>
        <w:rPr>
          <w:rFonts w:hint="eastAsia"/>
          <w:b w:val="0"/>
          <w:bCs w:val="0"/>
          <w:sz w:val="32"/>
          <w:szCs w:val="24"/>
        </w:rPr>
        <w:t>分，得分</w:t>
      </w:r>
      <w:r>
        <w:rPr>
          <w:rFonts w:hint="eastAsia"/>
          <w:b w:val="0"/>
          <w:bCs w:val="0"/>
          <w:sz w:val="32"/>
          <w:szCs w:val="24"/>
          <w:lang w:val="en-US" w:eastAsia="zh-CN"/>
        </w:rPr>
        <w:t>7.14</w:t>
      </w:r>
      <w:r>
        <w:rPr>
          <w:rFonts w:hint="eastAsia"/>
          <w:b w:val="0"/>
          <w:bCs w:val="0"/>
          <w:sz w:val="32"/>
          <w:szCs w:val="24"/>
        </w:rPr>
        <w:t>分，得分率100%。</w:t>
      </w:r>
      <w:r>
        <w:rPr>
          <w:rFonts w:hint="eastAsia"/>
          <w:b w:val="0"/>
          <w:bCs w:val="0"/>
          <w:sz w:val="32"/>
          <w:szCs w:val="24"/>
          <w:lang w:eastAsia="zh-CN"/>
        </w:rPr>
        <w:t>说明我</w:t>
      </w:r>
      <w:r>
        <w:rPr>
          <w:rFonts w:hint="eastAsia"/>
          <w:b w:val="0"/>
          <w:bCs w:val="0"/>
          <w:sz w:val="32"/>
          <w:szCs w:val="24"/>
        </w:rPr>
        <w:t>院在行政案件审理上基本达到目标要求</w:t>
      </w:r>
      <w:r>
        <w:rPr>
          <w:rFonts w:hint="eastAsia"/>
          <w:b w:val="0"/>
          <w:bCs w:val="0"/>
          <w:sz w:val="32"/>
          <w:szCs w:val="24"/>
          <w:lang w:eastAsia="zh-CN"/>
        </w:rPr>
        <w:t>，体现我</w:t>
      </w:r>
      <w:r>
        <w:rPr>
          <w:rFonts w:hint="eastAsia"/>
          <w:b w:val="0"/>
          <w:bCs w:val="0"/>
          <w:sz w:val="32"/>
          <w:szCs w:val="24"/>
        </w:rPr>
        <w:t>院在处理行政纠纷时，能够依法依规推进审判工作，助力法治政府建设和行政争议化解。</w:t>
      </w:r>
    </w:p>
    <w:p w14:paraId="1284C814">
      <w:pPr>
        <w:spacing w:line="560" w:lineRule="exact"/>
        <w:ind w:firstLine="643"/>
        <w:rPr>
          <w:rFonts w:hint="eastAsia"/>
          <w:b w:val="0"/>
          <w:bCs w:val="0"/>
          <w:sz w:val="32"/>
          <w:szCs w:val="24"/>
        </w:rPr>
      </w:pPr>
      <w:r>
        <w:rPr>
          <w:rFonts w:hint="eastAsia"/>
          <w:b/>
          <w:bCs/>
          <w:sz w:val="32"/>
          <w:szCs w:val="24"/>
        </w:rPr>
        <w:t>执行标的到位率：</w:t>
      </w:r>
      <w:r>
        <w:rPr>
          <w:rFonts w:hint="eastAsia"/>
          <w:b w:val="0"/>
          <w:bCs w:val="0"/>
          <w:sz w:val="32"/>
          <w:szCs w:val="24"/>
        </w:rPr>
        <w:t>年度指标</w:t>
      </w:r>
      <w:r>
        <w:rPr>
          <w:rFonts w:hint="eastAsia"/>
          <w:b w:val="0"/>
          <w:bCs w:val="0"/>
          <w:sz w:val="32"/>
          <w:szCs w:val="24"/>
          <w:lang w:val="en-US" w:eastAsia="zh-CN"/>
        </w:rPr>
        <w:t>大于等于1</w:t>
      </w:r>
      <w:r>
        <w:rPr>
          <w:rFonts w:hint="eastAsia"/>
          <w:b w:val="0"/>
          <w:bCs w:val="0"/>
          <w:sz w:val="32"/>
          <w:szCs w:val="24"/>
        </w:rPr>
        <w:t>0%，实际完成值</w:t>
      </w:r>
      <w:r>
        <w:rPr>
          <w:rFonts w:hint="eastAsia"/>
          <w:b w:val="0"/>
          <w:bCs w:val="0"/>
          <w:sz w:val="32"/>
          <w:szCs w:val="24"/>
          <w:lang w:val="en-US" w:eastAsia="zh-CN"/>
        </w:rPr>
        <w:t>10</w:t>
      </w:r>
      <w:r>
        <w:rPr>
          <w:rFonts w:hint="eastAsia"/>
          <w:b w:val="0"/>
          <w:bCs w:val="0"/>
          <w:sz w:val="32"/>
          <w:szCs w:val="24"/>
        </w:rPr>
        <w:t>%，分值</w:t>
      </w:r>
      <w:r>
        <w:rPr>
          <w:rFonts w:hint="eastAsia"/>
          <w:b w:val="0"/>
          <w:bCs w:val="0"/>
          <w:sz w:val="32"/>
          <w:szCs w:val="24"/>
          <w:lang w:val="en-US" w:eastAsia="zh-CN"/>
        </w:rPr>
        <w:t>7.14</w:t>
      </w:r>
      <w:r>
        <w:rPr>
          <w:rFonts w:hint="eastAsia"/>
          <w:b w:val="0"/>
          <w:bCs w:val="0"/>
          <w:sz w:val="32"/>
          <w:szCs w:val="24"/>
        </w:rPr>
        <w:t>分，得分</w:t>
      </w:r>
      <w:r>
        <w:rPr>
          <w:rFonts w:hint="eastAsia"/>
          <w:b w:val="0"/>
          <w:bCs w:val="0"/>
          <w:sz w:val="32"/>
          <w:szCs w:val="24"/>
          <w:lang w:val="en-US" w:eastAsia="zh-CN"/>
        </w:rPr>
        <w:t>7.14</w:t>
      </w:r>
      <w:r>
        <w:rPr>
          <w:rFonts w:hint="eastAsia"/>
          <w:b w:val="0"/>
          <w:bCs w:val="0"/>
          <w:sz w:val="32"/>
          <w:szCs w:val="24"/>
        </w:rPr>
        <w:t>分，得分率100%。表明法院在执行标的落实上达到目标要求，执行工作在保障当事人权益方面有一定成效。</w:t>
      </w:r>
    </w:p>
    <w:p w14:paraId="040DB5D8">
      <w:pPr>
        <w:spacing w:line="560" w:lineRule="exact"/>
        <w:ind w:firstLine="643"/>
        <w:rPr>
          <w:rFonts w:hint="eastAsia"/>
          <w:b w:val="0"/>
          <w:bCs w:val="0"/>
          <w:sz w:val="32"/>
          <w:szCs w:val="24"/>
        </w:rPr>
      </w:pPr>
      <w:r>
        <w:rPr>
          <w:rFonts w:hint="eastAsia"/>
          <w:b/>
          <w:bCs/>
          <w:sz w:val="32"/>
          <w:szCs w:val="24"/>
        </w:rPr>
        <w:t>法制宣传内容知晓度：</w:t>
      </w:r>
      <w:r>
        <w:rPr>
          <w:rFonts w:hint="eastAsia"/>
          <w:b w:val="0"/>
          <w:bCs w:val="0"/>
          <w:sz w:val="32"/>
          <w:szCs w:val="24"/>
        </w:rPr>
        <w:t>年度指标</w:t>
      </w:r>
      <w:r>
        <w:rPr>
          <w:rFonts w:hint="eastAsia"/>
          <w:b w:val="0"/>
          <w:bCs w:val="0"/>
          <w:sz w:val="32"/>
          <w:szCs w:val="24"/>
          <w:lang w:eastAsia="zh-CN"/>
        </w:rPr>
        <w:t>知悉</w:t>
      </w:r>
      <w:r>
        <w:rPr>
          <w:rFonts w:hint="eastAsia"/>
          <w:b w:val="0"/>
          <w:bCs w:val="0"/>
          <w:sz w:val="32"/>
          <w:szCs w:val="24"/>
        </w:rPr>
        <w:t>，实际完成值</w:t>
      </w:r>
      <w:r>
        <w:rPr>
          <w:rFonts w:hint="eastAsia"/>
          <w:b w:val="0"/>
          <w:bCs w:val="0"/>
          <w:sz w:val="32"/>
          <w:szCs w:val="24"/>
          <w:lang w:val="en-US" w:eastAsia="zh-CN"/>
        </w:rPr>
        <w:t>100</w:t>
      </w:r>
      <w:r>
        <w:rPr>
          <w:rFonts w:hint="eastAsia"/>
          <w:b w:val="0"/>
          <w:bCs w:val="0"/>
          <w:sz w:val="32"/>
          <w:szCs w:val="24"/>
        </w:rPr>
        <w:t>%，分值</w:t>
      </w:r>
      <w:r>
        <w:rPr>
          <w:rFonts w:hint="eastAsia"/>
          <w:b w:val="0"/>
          <w:bCs w:val="0"/>
          <w:sz w:val="32"/>
          <w:szCs w:val="24"/>
          <w:lang w:val="en-US" w:eastAsia="zh-CN"/>
        </w:rPr>
        <w:t>7.14</w:t>
      </w:r>
      <w:r>
        <w:rPr>
          <w:rFonts w:hint="eastAsia"/>
          <w:b w:val="0"/>
          <w:bCs w:val="0"/>
          <w:sz w:val="32"/>
          <w:szCs w:val="24"/>
        </w:rPr>
        <w:t>分，得分6.43分，得分率</w:t>
      </w:r>
      <w:r>
        <w:rPr>
          <w:rFonts w:hint="eastAsia"/>
          <w:b w:val="0"/>
          <w:bCs w:val="0"/>
          <w:sz w:val="32"/>
          <w:szCs w:val="24"/>
          <w:lang w:val="en-US" w:eastAsia="zh-CN"/>
        </w:rPr>
        <w:t>90.06</w:t>
      </w:r>
      <w:r>
        <w:rPr>
          <w:rFonts w:hint="eastAsia"/>
          <w:b w:val="0"/>
          <w:bCs w:val="0"/>
          <w:sz w:val="32"/>
          <w:szCs w:val="24"/>
        </w:rPr>
        <w:t>%。说明</w:t>
      </w:r>
      <w:r>
        <w:rPr>
          <w:rFonts w:hint="eastAsia"/>
          <w:b w:val="0"/>
          <w:bCs w:val="0"/>
          <w:sz w:val="32"/>
          <w:szCs w:val="24"/>
          <w:lang w:val="en-US" w:eastAsia="zh-CN"/>
        </w:rPr>
        <w:t>我</w:t>
      </w:r>
      <w:r>
        <w:rPr>
          <w:rFonts w:hint="eastAsia"/>
          <w:b w:val="0"/>
          <w:bCs w:val="0"/>
          <w:sz w:val="32"/>
          <w:szCs w:val="24"/>
        </w:rPr>
        <w:t>院法制宣传内容知晓度</w:t>
      </w:r>
      <w:r>
        <w:rPr>
          <w:rFonts w:hint="eastAsia"/>
          <w:b w:val="0"/>
          <w:bCs w:val="0"/>
          <w:sz w:val="32"/>
          <w:szCs w:val="24"/>
          <w:lang w:val="en-US" w:eastAsia="zh-CN"/>
        </w:rPr>
        <w:t>高，有助于积极改进工作</w:t>
      </w:r>
      <w:r>
        <w:rPr>
          <w:rFonts w:hint="eastAsia"/>
          <w:b w:val="0"/>
          <w:bCs w:val="0"/>
          <w:sz w:val="32"/>
          <w:szCs w:val="24"/>
        </w:rPr>
        <w:t>。</w:t>
      </w:r>
    </w:p>
    <w:p w14:paraId="1246846F">
      <w:pPr>
        <w:spacing w:line="560" w:lineRule="exact"/>
        <w:ind w:firstLine="643"/>
        <w:rPr>
          <w:rFonts w:hint="eastAsia"/>
          <w:b w:val="0"/>
          <w:bCs w:val="0"/>
          <w:sz w:val="32"/>
          <w:szCs w:val="24"/>
        </w:rPr>
      </w:pPr>
      <w:r>
        <w:rPr>
          <w:rFonts w:hint="eastAsia"/>
          <w:b/>
          <w:bCs/>
          <w:sz w:val="32"/>
          <w:szCs w:val="24"/>
        </w:rPr>
        <w:t>单位获奖情况</w:t>
      </w:r>
      <w:r>
        <w:rPr>
          <w:rFonts w:hint="eastAsia"/>
          <w:b/>
          <w:bCs/>
          <w:sz w:val="32"/>
          <w:szCs w:val="24"/>
          <w:lang w:eastAsia="zh-CN"/>
        </w:rPr>
        <w:t>：</w:t>
      </w:r>
      <w:r>
        <w:rPr>
          <w:rFonts w:hint="eastAsia"/>
          <w:b w:val="0"/>
          <w:bCs w:val="0"/>
          <w:sz w:val="32"/>
          <w:szCs w:val="24"/>
        </w:rPr>
        <w:t>年度指标为</w:t>
      </w:r>
      <w:r>
        <w:rPr>
          <w:rFonts w:hint="eastAsia"/>
          <w:b w:val="0"/>
          <w:bCs w:val="0"/>
          <w:sz w:val="32"/>
          <w:szCs w:val="24"/>
          <w:lang w:val="en-US" w:eastAsia="zh-CN"/>
        </w:rPr>
        <w:t>大于等于1项</w:t>
      </w:r>
      <w:r>
        <w:rPr>
          <w:rFonts w:hint="eastAsia"/>
          <w:b w:val="0"/>
          <w:bCs w:val="0"/>
          <w:sz w:val="32"/>
          <w:szCs w:val="24"/>
        </w:rPr>
        <w:t>，实际完成值</w:t>
      </w:r>
      <w:r>
        <w:rPr>
          <w:rFonts w:hint="eastAsia"/>
          <w:b w:val="0"/>
          <w:bCs w:val="0"/>
          <w:sz w:val="32"/>
          <w:szCs w:val="24"/>
          <w:lang w:val="en-US" w:eastAsia="zh-CN"/>
        </w:rPr>
        <w:t>1项</w:t>
      </w:r>
      <w:r>
        <w:rPr>
          <w:rFonts w:hint="eastAsia"/>
          <w:b w:val="0"/>
          <w:bCs w:val="0"/>
          <w:sz w:val="32"/>
          <w:szCs w:val="24"/>
        </w:rPr>
        <w:t>，分值7.16分，得分7.16分，得分率</w:t>
      </w:r>
      <w:r>
        <w:rPr>
          <w:rFonts w:hint="eastAsia"/>
          <w:b w:val="0"/>
          <w:bCs w:val="0"/>
          <w:sz w:val="32"/>
          <w:szCs w:val="24"/>
          <w:lang w:val="en-US" w:eastAsia="zh-CN"/>
        </w:rPr>
        <w:t>10</w:t>
      </w:r>
      <w:r>
        <w:rPr>
          <w:rFonts w:hint="eastAsia"/>
          <w:b w:val="0"/>
          <w:bCs w:val="0"/>
          <w:sz w:val="32"/>
          <w:szCs w:val="24"/>
        </w:rPr>
        <w:t>0%。</w:t>
      </w:r>
      <w:r>
        <w:rPr>
          <w:rFonts w:hint="eastAsia"/>
          <w:b w:val="0"/>
          <w:bCs w:val="0"/>
          <w:sz w:val="32"/>
          <w:szCs w:val="24"/>
          <w:lang w:eastAsia="zh-CN"/>
        </w:rPr>
        <w:t>说明我</w:t>
      </w:r>
      <w:r>
        <w:rPr>
          <w:rFonts w:hint="eastAsia"/>
          <w:b w:val="0"/>
          <w:bCs w:val="0"/>
          <w:sz w:val="32"/>
          <w:szCs w:val="24"/>
        </w:rPr>
        <w:t>院在工作中获得一定荣誉，这既体现了法院工作得到一定认可，也提示法院可进一步提升工作水平，争取更多荣誉，扩大影响力。</w:t>
      </w:r>
    </w:p>
    <w:p w14:paraId="2BF5DDD0">
      <w:pPr>
        <w:spacing w:line="560" w:lineRule="exact"/>
        <w:ind w:firstLine="643"/>
        <w:rPr>
          <w:rFonts w:hint="eastAsia"/>
          <w:b/>
          <w:bCs/>
          <w:sz w:val="32"/>
          <w:szCs w:val="24"/>
        </w:rPr>
      </w:pPr>
      <w:r>
        <w:rPr>
          <w:rFonts w:hint="eastAsia"/>
          <w:b/>
          <w:bCs/>
          <w:sz w:val="32"/>
          <w:szCs w:val="24"/>
        </w:rPr>
        <w:t>当事人满意度：</w:t>
      </w:r>
      <w:r>
        <w:rPr>
          <w:rFonts w:hint="eastAsia"/>
          <w:b w:val="0"/>
          <w:bCs w:val="0"/>
          <w:sz w:val="32"/>
          <w:szCs w:val="24"/>
        </w:rPr>
        <w:t>年度指标</w:t>
      </w:r>
      <w:r>
        <w:rPr>
          <w:rFonts w:hint="eastAsia"/>
          <w:b w:val="0"/>
          <w:bCs w:val="0"/>
          <w:sz w:val="32"/>
          <w:szCs w:val="24"/>
          <w:lang w:eastAsia="zh-CN"/>
        </w:rPr>
        <w:t>大于等于</w:t>
      </w:r>
      <w:r>
        <w:rPr>
          <w:rFonts w:hint="eastAsia"/>
          <w:b w:val="0"/>
          <w:bCs w:val="0"/>
          <w:sz w:val="32"/>
          <w:szCs w:val="24"/>
        </w:rPr>
        <w:t>90%，实际完成值9</w:t>
      </w:r>
      <w:r>
        <w:rPr>
          <w:rFonts w:hint="eastAsia"/>
          <w:b w:val="0"/>
          <w:bCs w:val="0"/>
          <w:sz w:val="32"/>
          <w:szCs w:val="24"/>
          <w:lang w:val="en-US" w:eastAsia="zh-CN"/>
        </w:rPr>
        <w:t>6</w:t>
      </w:r>
      <w:r>
        <w:rPr>
          <w:rFonts w:hint="eastAsia"/>
          <w:b w:val="0"/>
          <w:bCs w:val="0"/>
          <w:sz w:val="32"/>
          <w:szCs w:val="24"/>
        </w:rPr>
        <w:t>%，分值10分，得分10分，得分率100%。</w:t>
      </w:r>
      <w:r>
        <w:rPr>
          <w:rFonts w:hint="eastAsia"/>
          <w:b w:val="0"/>
          <w:bCs w:val="0"/>
          <w:sz w:val="32"/>
          <w:szCs w:val="24"/>
          <w:lang w:eastAsia="zh-CN"/>
        </w:rPr>
        <w:t>体现我</w:t>
      </w:r>
      <w:r>
        <w:rPr>
          <w:rFonts w:hint="eastAsia"/>
          <w:b w:val="0"/>
          <w:bCs w:val="0"/>
          <w:sz w:val="32"/>
          <w:szCs w:val="24"/>
        </w:rPr>
        <w:t>院工作得到人民群众较高认可，</w:t>
      </w:r>
      <w:r>
        <w:rPr>
          <w:rFonts w:hint="eastAsia"/>
          <w:b w:val="0"/>
          <w:bCs w:val="0"/>
          <w:sz w:val="32"/>
          <w:szCs w:val="24"/>
          <w:lang w:eastAsia="zh-CN"/>
        </w:rPr>
        <w:t>说明我</w:t>
      </w:r>
      <w:r>
        <w:rPr>
          <w:rFonts w:hint="eastAsia"/>
          <w:b w:val="0"/>
          <w:bCs w:val="0"/>
          <w:sz w:val="32"/>
          <w:szCs w:val="24"/>
        </w:rPr>
        <w:t>院在审判执行、司法服务等方面举措得力，能切实满足群众司法需求，树立了良好司法形象，有效提升了司法公信力。</w:t>
      </w:r>
    </w:p>
    <w:p w14:paraId="5C2A3FCF">
      <w:pPr>
        <w:pStyle w:val="4"/>
        <w:spacing w:line="560" w:lineRule="exact"/>
        <w:ind w:firstLine="643"/>
        <w:rPr>
          <w:sz w:val="32"/>
          <w:szCs w:val="36"/>
        </w:rPr>
      </w:pPr>
      <w:bookmarkStart w:id="49" w:name="_Toc40046033"/>
      <w:r>
        <w:rPr>
          <w:rFonts w:hint="eastAsia"/>
          <w:sz w:val="32"/>
          <w:szCs w:val="36"/>
        </w:rPr>
        <w:t>4.能力建设</w:t>
      </w:r>
      <w:bookmarkEnd w:id="49"/>
    </w:p>
    <w:p w14:paraId="3B5ABD10">
      <w:pPr>
        <w:spacing w:line="560" w:lineRule="exact"/>
        <w:ind w:firstLine="640"/>
        <w:rPr>
          <w:rFonts w:hint="eastAsia"/>
          <w:sz w:val="32"/>
          <w:szCs w:val="24"/>
        </w:rPr>
      </w:pPr>
      <w:r>
        <w:rPr>
          <w:rFonts w:hint="eastAsia" w:hAnsi="宋体"/>
          <w:sz w:val="32"/>
          <w:szCs w:val="32"/>
        </w:rPr>
        <w:t>能力建设指标</w:t>
      </w:r>
      <w:r>
        <w:rPr>
          <w:rFonts w:hint="eastAsia"/>
          <w:sz w:val="32"/>
          <w:szCs w:val="24"/>
        </w:rPr>
        <w:t>包括长效管理、人力资源建设及档案管理3个二级指标，下设</w:t>
      </w:r>
      <w:r>
        <w:rPr>
          <w:rFonts w:hint="eastAsia"/>
          <w:sz w:val="32"/>
          <w:szCs w:val="24"/>
          <w:lang w:val="en-US" w:eastAsia="zh-CN"/>
        </w:rPr>
        <w:t>3</w:t>
      </w:r>
      <w:r>
        <w:rPr>
          <w:rFonts w:hint="eastAsia"/>
          <w:sz w:val="32"/>
          <w:szCs w:val="24"/>
        </w:rPr>
        <w:t>个三级指标。履职效果指标分值10分，自评</w:t>
      </w:r>
      <w:r>
        <w:rPr>
          <w:sz w:val="32"/>
          <w:szCs w:val="24"/>
        </w:rPr>
        <w:t>得</w:t>
      </w:r>
      <w:r>
        <w:rPr>
          <w:rFonts w:hint="eastAsia"/>
          <w:sz w:val="32"/>
          <w:szCs w:val="24"/>
        </w:rPr>
        <w:t>分</w:t>
      </w:r>
      <w:r>
        <w:rPr>
          <w:rFonts w:hint="eastAsia"/>
          <w:sz w:val="32"/>
          <w:szCs w:val="24"/>
          <w:lang w:val="en-US" w:eastAsia="zh-CN"/>
        </w:rPr>
        <w:t>9.01</w:t>
      </w:r>
      <w:r>
        <w:rPr>
          <w:rFonts w:hint="eastAsia"/>
          <w:sz w:val="32"/>
          <w:szCs w:val="24"/>
        </w:rPr>
        <w:t>分，得分率为</w:t>
      </w:r>
      <w:r>
        <w:rPr>
          <w:rFonts w:hint="eastAsia"/>
          <w:sz w:val="32"/>
          <w:szCs w:val="24"/>
          <w:lang w:val="en-US" w:eastAsia="zh-CN"/>
        </w:rPr>
        <w:t>90.10</w:t>
      </w:r>
      <w:r>
        <w:rPr>
          <w:sz w:val="32"/>
          <w:szCs w:val="24"/>
        </w:rPr>
        <w:t>%</w:t>
      </w:r>
      <w:r>
        <w:rPr>
          <w:rFonts w:hint="eastAsia"/>
          <w:sz w:val="32"/>
          <w:szCs w:val="24"/>
        </w:rPr>
        <w:t>。</w:t>
      </w:r>
    </w:p>
    <w:tbl>
      <w:tblPr>
        <w:tblStyle w:val="22"/>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62"/>
        <w:gridCol w:w="2265"/>
        <w:gridCol w:w="1246"/>
        <w:gridCol w:w="1455"/>
        <w:gridCol w:w="619"/>
        <w:gridCol w:w="642"/>
        <w:gridCol w:w="830"/>
      </w:tblGrid>
      <w:tr w14:paraId="4C4CCC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58" w:type="pct"/>
            <w:shd w:val="clear" w:color="auto" w:fill="BDD6EE"/>
            <w:vAlign w:val="center"/>
          </w:tcPr>
          <w:p w14:paraId="57B62C6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二级指标</w:t>
            </w:r>
          </w:p>
        </w:tc>
        <w:tc>
          <w:tcPr>
            <w:tcW w:w="1329" w:type="pct"/>
            <w:shd w:val="clear" w:color="auto" w:fill="BDD6EE"/>
            <w:vAlign w:val="center"/>
          </w:tcPr>
          <w:p w14:paraId="692C20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三级指标</w:t>
            </w:r>
          </w:p>
        </w:tc>
        <w:tc>
          <w:tcPr>
            <w:tcW w:w="731" w:type="pct"/>
            <w:shd w:val="clear" w:color="auto" w:fill="BDD6EE"/>
            <w:vAlign w:val="center"/>
          </w:tcPr>
          <w:p w14:paraId="5AE9AD5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年度指标值</w:t>
            </w:r>
          </w:p>
        </w:tc>
        <w:tc>
          <w:tcPr>
            <w:tcW w:w="853" w:type="pct"/>
            <w:shd w:val="clear" w:color="auto" w:fill="BDD6EE"/>
            <w:vAlign w:val="center"/>
          </w:tcPr>
          <w:p w14:paraId="23944FC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实际完成值</w:t>
            </w:r>
          </w:p>
        </w:tc>
        <w:tc>
          <w:tcPr>
            <w:tcW w:w="363" w:type="pct"/>
            <w:shd w:val="clear" w:color="auto" w:fill="BDD6EE"/>
            <w:vAlign w:val="center"/>
          </w:tcPr>
          <w:p w14:paraId="48B503E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分值</w:t>
            </w:r>
          </w:p>
        </w:tc>
        <w:tc>
          <w:tcPr>
            <w:tcW w:w="376" w:type="pct"/>
            <w:shd w:val="clear" w:color="auto" w:fill="BDD6EE"/>
            <w:vAlign w:val="center"/>
          </w:tcPr>
          <w:p w14:paraId="02BDF5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得分</w:t>
            </w:r>
          </w:p>
        </w:tc>
        <w:tc>
          <w:tcPr>
            <w:tcW w:w="487" w:type="pct"/>
            <w:shd w:val="clear" w:color="auto" w:fill="BDD6EE"/>
            <w:vAlign w:val="center"/>
          </w:tcPr>
          <w:p w14:paraId="68D8E7C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得分率</w:t>
            </w:r>
          </w:p>
        </w:tc>
      </w:tr>
      <w:tr w14:paraId="2F08C9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58" w:type="pct"/>
            <w:vAlign w:val="center"/>
          </w:tcPr>
          <w:p w14:paraId="4F0BBF81">
            <w:pPr>
              <w:ind w:left="0" w:leftChars="0" w:firstLine="0" w:firstLineChars="0"/>
              <w:jc w:val="both"/>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长效管理</w:t>
            </w:r>
          </w:p>
        </w:tc>
        <w:tc>
          <w:tcPr>
            <w:tcW w:w="1329" w:type="pct"/>
            <w:vAlign w:val="center"/>
          </w:tcPr>
          <w:p w14:paraId="2084E0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党建工作开展规律性</w:t>
            </w:r>
          </w:p>
        </w:tc>
        <w:tc>
          <w:tcPr>
            <w:tcW w:w="731" w:type="pct"/>
            <w:vAlign w:val="center"/>
          </w:tcPr>
          <w:p w14:paraId="7BAC25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规律</w:t>
            </w:r>
          </w:p>
        </w:tc>
        <w:tc>
          <w:tcPr>
            <w:tcW w:w="853" w:type="pct"/>
            <w:vAlign w:val="center"/>
          </w:tcPr>
          <w:p w14:paraId="40F9E1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57DE609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376" w:type="pct"/>
            <w:vAlign w:val="center"/>
          </w:tcPr>
          <w:p w14:paraId="3C1A3F2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87" w:type="pct"/>
            <w:vAlign w:val="center"/>
          </w:tcPr>
          <w:p w14:paraId="7CF77F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6084CA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58" w:type="pct"/>
            <w:vAlign w:val="center"/>
          </w:tcPr>
          <w:p w14:paraId="070A84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人力资源建设</w:t>
            </w:r>
          </w:p>
        </w:tc>
        <w:tc>
          <w:tcPr>
            <w:tcW w:w="1329" w:type="pct"/>
            <w:vAlign w:val="center"/>
          </w:tcPr>
          <w:p w14:paraId="6ACF09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人员培训机制完备性</w:t>
            </w:r>
          </w:p>
        </w:tc>
        <w:tc>
          <w:tcPr>
            <w:tcW w:w="731" w:type="pct"/>
            <w:vAlign w:val="center"/>
          </w:tcPr>
          <w:p w14:paraId="220FB5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853" w:type="pct"/>
            <w:vAlign w:val="center"/>
          </w:tcPr>
          <w:p w14:paraId="084530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181D7D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376" w:type="pct"/>
            <w:vAlign w:val="center"/>
          </w:tcPr>
          <w:p w14:paraId="2A47D2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87" w:type="pct"/>
            <w:vAlign w:val="center"/>
          </w:tcPr>
          <w:p w14:paraId="56D981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43BEF2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58" w:type="pct"/>
            <w:vAlign w:val="center"/>
          </w:tcPr>
          <w:p w14:paraId="4206A9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w:t>
            </w:r>
          </w:p>
        </w:tc>
        <w:tc>
          <w:tcPr>
            <w:tcW w:w="1329" w:type="pct"/>
            <w:vAlign w:val="center"/>
          </w:tcPr>
          <w:p w14:paraId="53DB74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档案管理完备性</w:t>
            </w:r>
          </w:p>
        </w:tc>
        <w:tc>
          <w:tcPr>
            <w:tcW w:w="731" w:type="pct"/>
            <w:vAlign w:val="center"/>
          </w:tcPr>
          <w:p w14:paraId="575573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853" w:type="pct"/>
            <w:vAlign w:val="center"/>
          </w:tcPr>
          <w:p w14:paraId="701A91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63" w:type="pct"/>
            <w:vAlign w:val="center"/>
          </w:tcPr>
          <w:p w14:paraId="030E8D8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3.34</w:t>
            </w:r>
          </w:p>
        </w:tc>
        <w:tc>
          <w:tcPr>
            <w:tcW w:w="376" w:type="pct"/>
            <w:vAlign w:val="center"/>
          </w:tcPr>
          <w:p w14:paraId="2C92680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487" w:type="pct"/>
            <w:vAlign w:val="center"/>
          </w:tcPr>
          <w:p w14:paraId="3A2397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90.12%</w:t>
            </w:r>
          </w:p>
        </w:tc>
      </w:tr>
      <w:tr w14:paraId="630FE1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772" w:type="pct"/>
            <w:gridSpan w:val="4"/>
            <w:shd w:val="clear" w:color="auto" w:fill="BDD6EE"/>
            <w:vAlign w:val="center"/>
          </w:tcPr>
          <w:p w14:paraId="46FED1B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363" w:type="pct"/>
            <w:shd w:val="clear" w:color="auto" w:fill="BDD6EE"/>
            <w:vAlign w:val="center"/>
          </w:tcPr>
          <w:p w14:paraId="506C5322">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10</w:t>
            </w:r>
          </w:p>
        </w:tc>
        <w:tc>
          <w:tcPr>
            <w:tcW w:w="376" w:type="pct"/>
            <w:shd w:val="clear" w:color="auto" w:fill="BDD6EE"/>
            <w:vAlign w:val="center"/>
          </w:tcPr>
          <w:p w14:paraId="117EC76B">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9.01</w:t>
            </w:r>
          </w:p>
        </w:tc>
        <w:tc>
          <w:tcPr>
            <w:tcW w:w="487" w:type="pct"/>
            <w:shd w:val="clear" w:color="auto" w:fill="BDD6EE"/>
            <w:vAlign w:val="center"/>
          </w:tcPr>
          <w:p w14:paraId="3A63C19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90.10%</w:t>
            </w:r>
          </w:p>
        </w:tc>
      </w:tr>
    </w:tbl>
    <w:p w14:paraId="563C3D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theme="minorBidi"/>
          <w:b/>
          <w:bCs/>
          <w:color w:val="auto"/>
          <w:kern w:val="2"/>
          <w:sz w:val="32"/>
          <w:szCs w:val="32"/>
          <w:lang w:val="en-US" w:eastAsia="zh-CN" w:bidi="ar-SA"/>
        </w:rPr>
      </w:pPr>
      <w:r>
        <w:rPr>
          <w:rFonts w:hint="eastAsia" w:ascii="仿宋_GB2312" w:hAnsi="宋体" w:eastAsia="仿宋_GB2312" w:cstheme="minorBidi"/>
          <w:b/>
          <w:bCs/>
          <w:color w:val="auto"/>
          <w:kern w:val="2"/>
          <w:sz w:val="32"/>
          <w:szCs w:val="32"/>
          <w:lang w:val="en-US" w:eastAsia="zh-CN" w:bidi="ar-SA"/>
        </w:rPr>
        <w:t>党建工作开展规律性</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年度指标要求党建工作开展规律，实际完成值处于100%-80%（含），分值</w:t>
      </w:r>
      <w:r>
        <w:rPr>
          <w:rFonts w:hint="eastAsia" w:hAnsi="宋体" w:cstheme="minorBidi"/>
          <w:b w:val="0"/>
          <w:bCs w:val="0"/>
          <w:color w:val="auto"/>
          <w:kern w:val="2"/>
          <w:sz w:val="32"/>
          <w:szCs w:val="32"/>
          <w:lang w:val="en-US" w:eastAsia="zh-CN" w:bidi="ar-SA"/>
        </w:rPr>
        <w:t>3.33</w:t>
      </w:r>
      <w:r>
        <w:rPr>
          <w:rFonts w:hint="eastAsia" w:ascii="仿宋_GB2312" w:hAnsi="宋体" w:eastAsia="仿宋_GB2312" w:cstheme="minorBidi"/>
          <w:b w:val="0"/>
          <w:bCs w:val="0"/>
          <w:color w:val="auto"/>
          <w:kern w:val="2"/>
          <w:sz w:val="32"/>
          <w:szCs w:val="32"/>
          <w:lang w:val="en-US" w:eastAsia="zh-CN" w:bidi="ar-SA"/>
        </w:rPr>
        <w:t>分，得分</w:t>
      </w:r>
      <w:r>
        <w:rPr>
          <w:rFonts w:hint="eastAsia" w:hAnsi="宋体" w:cstheme="minorBidi"/>
          <w:b w:val="0"/>
          <w:bCs w:val="0"/>
          <w:color w:val="auto"/>
          <w:kern w:val="2"/>
          <w:sz w:val="32"/>
          <w:szCs w:val="32"/>
          <w:lang w:val="en-US" w:eastAsia="zh-CN" w:bidi="ar-SA"/>
        </w:rPr>
        <w:t>3</w:t>
      </w:r>
      <w:r>
        <w:rPr>
          <w:rFonts w:hint="eastAsia" w:ascii="仿宋_GB2312" w:hAnsi="宋体" w:eastAsia="仿宋_GB2312" w:cstheme="minorBidi"/>
          <w:b w:val="0"/>
          <w:bCs w:val="0"/>
          <w:color w:val="auto"/>
          <w:kern w:val="2"/>
          <w:sz w:val="32"/>
          <w:szCs w:val="32"/>
          <w:lang w:val="en-US" w:eastAsia="zh-CN" w:bidi="ar-SA"/>
        </w:rPr>
        <w:t>分，得分率90.00%。这表明法院党建工作开展较为规范有序</w:t>
      </w:r>
      <w:r>
        <w:rPr>
          <w:rFonts w:hint="eastAsia" w:hAnsi="宋体" w:cstheme="minorBidi"/>
          <w:b w:val="0"/>
          <w:bCs w:val="0"/>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整体节奏稳定，保证了党建引领作用的有效发挥，后续可进一步优化提升。</w:t>
      </w:r>
    </w:p>
    <w:p w14:paraId="34FB5E0C">
      <w:pPr>
        <w:spacing w:line="560" w:lineRule="exact"/>
        <w:ind w:firstLine="643"/>
        <w:rPr>
          <w:rFonts w:hAnsi="宋体"/>
          <w:b/>
          <w:bCs/>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我院高度重视人员能力的培养，在人员培训方面，严格展开培训活动，为法院的长期发展储备优秀人才，不断完善人员培训机制，强化岗位练兵活动，积极加强干警业务能力水平的提升。</w:t>
      </w:r>
      <w:r>
        <w:rPr>
          <w:rFonts w:hint="eastAsia" w:hAnsi="宋体" w:cs="宋体"/>
          <w:kern w:val="0"/>
          <w:sz w:val="32"/>
          <w:szCs w:val="32"/>
        </w:rPr>
        <w:t>该指标</w:t>
      </w:r>
      <w:r>
        <w:rPr>
          <w:rFonts w:hint="eastAsia" w:ascii="仿宋_GB2312" w:hAnsi="宋体" w:eastAsia="仿宋_GB2312" w:cstheme="minorBidi"/>
          <w:b w:val="0"/>
          <w:bCs w:val="0"/>
          <w:color w:val="auto"/>
          <w:kern w:val="2"/>
          <w:sz w:val="32"/>
          <w:szCs w:val="32"/>
          <w:lang w:val="en-US" w:eastAsia="zh-CN" w:bidi="ar-SA"/>
        </w:rPr>
        <w:t>分值</w:t>
      </w:r>
      <w:r>
        <w:rPr>
          <w:rFonts w:hint="eastAsia" w:hAnsi="宋体" w:cstheme="minorBidi"/>
          <w:b w:val="0"/>
          <w:bCs w:val="0"/>
          <w:color w:val="auto"/>
          <w:kern w:val="2"/>
          <w:sz w:val="32"/>
          <w:szCs w:val="32"/>
          <w:lang w:val="en-US" w:eastAsia="zh-CN" w:bidi="ar-SA"/>
        </w:rPr>
        <w:t>3.33</w:t>
      </w:r>
      <w:r>
        <w:rPr>
          <w:rFonts w:hint="eastAsia" w:ascii="仿宋_GB2312" w:hAnsi="宋体" w:eastAsia="仿宋_GB2312" w:cstheme="minorBidi"/>
          <w:b w:val="0"/>
          <w:bCs w:val="0"/>
          <w:color w:val="auto"/>
          <w:kern w:val="2"/>
          <w:sz w:val="32"/>
          <w:szCs w:val="32"/>
          <w:lang w:val="en-US" w:eastAsia="zh-CN" w:bidi="ar-SA"/>
        </w:rPr>
        <w:t>分，得分</w:t>
      </w:r>
      <w:r>
        <w:rPr>
          <w:rFonts w:hint="eastAsia" w:hAnsi="宋体" w:cstheme="minorBidi"/>
          <w:b w:val="0"/>
          <w:bCs w:val="0"/>
          <w:color w:val="auto"/>
          <w:kern w:val="2"/>
          <w:sz w:val="32"/>
          <w:szCs w:val="32"/>
          <w:lang w:val="en-US" w:eastAsia="zh-CN" w:bidi="ar-SA"/>
        </w:rPr>
        <w:t>3</w:t>
      </w:r>
      <w:r>
        <w:rPr>
          <w:rFonts w:hint="eastAsia" w:ascii="仿宋_GB2312" w:hAnsi="宋体" w:eastAsia="仿宋_GB2312" w:cstheme="minorBidi"/>
          <w:b w:val="0"/>
          <w:bCs w:val="0"/>
          <w:color w:val="auto"/>
          <w:kern w:val="2"/>
          <w:sz w:val="32"/>
          <w:szCs w:val="32"/>
          <w:lang w:val="en-US" w:eastAsia="zh-CN" w:bidi="ar-SA"/>
        </w:rPr>
        <w:t>分，得分率</w:t>
      </w:r>
      <w:r>
        <w:rPr>
          <w:rFonts w:hint="eastAsia" w:hAnsi="宋体" w:cstheme="minorBidi"/>
          <w:b w:val="0"/>
          <w:bCs w:val="0"/>
          <w:color w:val="auto"/>
          <w:kern w:val="2"/>
          <w:sz w:val="32"/>
          <w:szCs w:val="32"/>
          <w:lang w:val="en-US" w:eastAsia="zh-CN" w:bidi="ar-SA"/>
        </w:rPr>
        <w:t>90.09</w:t>
      </w:r>
      <w:r>
        <w:rPr>
          <w:rFonts w:hint="eastAsia" w:ascii="仿宋_GB2312" w:hAnsi="宋体" w:eastAsia="仿宋_GB2312" w:cstheme="minorBidi"/>
          <w:b w:val="0"/>
          <w:bCs w:val="0"/>
          <w:color w:val="auto"/>
          <w:kern w:val="2"/>
          <w:sz w:val="32"/>
          <w:szCs w:val="32"/>
          <w:lang w:val="en-US" w:eastAsia="zh-CN" w:bidi="ar-SA"/>
        </w:rPr>
        <w:t>%</w:t>
      </w:r>
      <w:r>
        <w:rPr>
          <w:rFonts w:hint="eastAsia" w:hAnsi="宋体" w:cs="宋体"/>
          <w:kern w:val="0"/>
          <w:sz w:val="32"/>
          <w:szCs w:val="32"/>
        </w:rPr>
        <w:t>。</w:t>
      </w:r>
    </w:p>
    <w:p w14:paraId="34F7CE5E">
      <w:pPr>
        <w:spacing w:line="560" w:lineRule="exact"/>
        <w:ind w:firstLine="643"/>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24"/>
        </w:rPr>
        <w:t>。</w:t>
      </w:r>
      <w:r>
        <w:rPr>
          <w:rFonts w:hint="eastAsia" w:hAnsi="宋体" w:cs="宋体"/>
          <w:kern w:val="0"/>
          <w:sz w:val="32"/>
          <w:szCs w:val="32"/>
        </w:rPr>
        <w:t>该指标</w:t>
      </w:r>
      <w:r>
        <w:rPr>
          <w:rFonts w:hint="eastAsia" w:ascii="仿宋_GB2312" w:hAnsi="宋体" w:eastAsia="仿宋_GB2312" w:cstheme="minorBidi"/>
          <w:b w:val="0"/>
          <w:bCs w:val="0"/>
          <w:color w:val="auto"/>
          <w:kern w:val="2"/>
          <w:sz w:val="32"/>
          <w:szCs w:val="32"/>
          <w:lang w:val="en-US" w:eastAsia="zh-CN" w:bidi="ar-SA"/>
        </w:rPr>
        <w:t>分值</w:t>
      </w:r>
      <w:r>
        <w:rPr>
          <w:rFonts w:hint="eastAsia" w:hAnsi="宋体" w:cstheme="minorBidi"/>
          <w:b w:val="0"/>
          <w:bCs w:val="0"/>
          <w:color w:val="auto"/>
          <w:kern w:val="2"/>
          <w:sz w:val="32"/>
          <w:szCs w:val="32"/>
          <w:lang w:val="en-US" w:eastAsia="zh-CN" w:bidi="ar-SA"/>
        </w:rPr>
        <w:t>3.34</w:t>
      </w:r>
      <w:r>
        <w:rPr>
          <w:rFonts w:hint="eastAsia" w:ascii="仿宋_GB2312" w:hAnsi="宋体" w:eastAsia="仿宋_GB2312" w:cstheme="minorBidi"/>
          <w:b w:val="0"/>
          <w:bCs w:val="0"/>
          <w:color w:val="auto"/>
          <w:kern w:val="2"/>
          <w:sz w:val="32"/>
          <w:szCs w:val="32"/>
          <w:lang w:val="en-US" w:eastAsia="zh-CN" w:bidi="ar-SA"/>
        </w:rPr>
        <w:t>分，得分</w:t>
      </w:r>
      <w:r>
        <w:rPr>
          <w:rFonts w:hint="eastAsia" w:hAnsi="宋体" w:cstheme="minorBidi"/>
          <w:b w:val="0"/>
          <w:bCs w:val="0"/>
          <w:color w:val="auto"/>
          <w:kern w:val="2"/>
          <w:sz w:val="32"/>
          <w:szCs w:val="32"/>
          <w:lang w:val="en-US" w:eastAsia="zh-CN" w:bidi="ar-SA"/>
        </w:rPr>
        <w:t>3.01</w:t>
      </w:r>
      <w:r>
        <w:rPr>
          <w:rFonts w:hint="eastAsia" w:ascii="仿宋_GB2312" w:hAnsi="宋体" w:eastAsia="仿宋_GB2312" w:cstheme="minorBidi"/>
          <w:b w:val="0"/>
          <w:bCs w:val="0"/>
          <w:color w:val="auto"/>
          <w:kern w:val="2"/>
          <w:sz w:val="32"/>
          <w:szCs w:val="32"/>
          <w:lang w:val="en-US" w:eastAsia="zh-CN" w:bidi="ar-SA"/>
        </w:rPr>
        <w:t>分，得分率</w:t>
      </w:r>
      <w:r>
        <w:rPr>
          <w:rFonts w:hint="eastAsia" w:hAnsi="宋体" w:cstheme="minorBidi"/>
          <w:b w:val="0"/>
          <w:bCs w:val="0"/>
          <w:color w:val="auto"/>
          <w:kern w:val="2"/>
          <w:sz w:val="32"/>
          <w:szCs w:val="32"/>
          <w:lang w:val="en-US" w:eastAsia="zh-CN" w:bidi="ar-SA"/>
        </w:rPr>
        <w:t>90.12</w:t>
      </w:r>
      <w:r>
        <w:rPr>
          <w:rFonts w:hint="eastAsia" w:ascii="仿宋_GB2312" w:hAnsi="宋体" w:eastAsia="仿宋_GB2312" w:cstheme="minorBidi"/>
          <w:b w:val="0"/>
          <w:bCs w:val="0"/>
          <w:color w:val="auto"/>
          <w:kern w:val="2"/>
          <w:sz w:val="32"/>
          <w:szCs w:val="32"/>
          <w:lang w:val="en-US" w:eastAsia="zh-CN" w:bidi="ar-SA"/>
        </w:rPr>
        <w:t>%</w:t>
      </w:r>
      <w:r>
        <w:rPr>
          <w:rFonts w:hint="eastAsia" w:hAnsi="宋体"/>
          <w:sz w:val="32"/>
          <w:szCs w:val="32"/>
        </w:rPr>
        <w:t>。</w:t>
      </w:r>
      <w:bookmarkStart w:id="50" w:name="_Toc40046035"/>
      <w:bookmarkStart w:id="51" w:name="_Toc16731"/>
      <w:bookmarkStart w:id="52" w:name="_Toc12558"/>
      <w:bookmarkStart w:id="53" w:name="_Toc16525"/>
      <w:bookmarkStart w:id="54" w:name="_Toc3174"/>
    </w:p>
    <w:p w14:paraId="66943CEC">
      <w:pPr>
        <w:pStyle w:val="3"/>
        <w:spacing w:before="0" w:after="0" w:line="560" w:lineRule="exact"/>
        <w:ind w:firstLine="643"/>
      </w:pPr>
      <w:bookmarkStart w:id="55" w:name="_Toc21315"/>
      <w:r>
        <w:rPr>
          <w:rFonts w:hint="eastAsia"/>
        </w:rPr>
        <w:t>（四）偏离绩效目标的原因及下一步改进措施</w:t>
      </w:r>
      <w:bookmarkEnd w:id="50"/>
      <w:bookmarkEnd w:id="51"/>
      <w:bookmarkEnd w:id="52"/>
      <w:bookmarkEnd w:id="53"/>
      <w:bookmarkEnd w:id="54"/>
      <w:bookmarkEnd w:id="55"/>
    </w:p>
    <w:p w14:paraId="13A48C5A">
      <w:pPr>
        <w:ind w:firstLine="560"/>
        <w:rPr>
          <w:sz w:val="32"/>
          <w:szCs w:val="24"/>
        </w:rPr>
      </w:pPr>
      <w:bookmarkStart w:id="56" w:name="_Toc8740"/>
      <w:bookmarkStart w:id="57" w:name="_Toc2045"/>
      <w:bookmarkStart w:id="58" w:name="_Toc16890"/>
      <w:r>
        <w:rPr>
          <w:rFonts w:hint="eastAsia"/>
          <w:sz w:val="32"/>
          <w:szCs w:val="24"/>
          <w:highlight w:val="none"/>
          <w:lang w:val="en-US" w:eastAsia="zh-CN"/>
        </w:rPr>
        <w:t>无。</w:t>
      </w:r>
    </w:p>
    <w:p w14:paraId="7DFDBED8">
      <w:pPr>
        <w:pStyle w:val="2"/>
        <w:spacing w:before="0" w:after="0" w:line="560" w:lineRule="exact"/>
        <w:ind w:firstLine="643" w:firstLineChars="200"/>
      </w:pPr>
      <w:bookmarkStart w:id="59" w:name="_Toc22566"/>
      <w:r>
        <w:rPr>
          <w:rFonts w:hint="eastAsia"/>
        </w:rPr>
        <w:t>四、部门预算项目支出绩效自评情况分析</w:t>
      </w:r>
      <w:bookmarkEnd w:id="56"/>
      <w:bookmarkEnd w:id="57"/>
      <w:bookmarkEnd w:id="58"/>
      <w:bookmarkEnd w:id="59"/>
    </w:p>
    <w:p w14:paraId="51352936">
      <w:pPr>
        <w:spacing w:line="560" w:lineRule="exact"/>
        <w:ind w:firstLine="640"/>
        <w:rPr>
          <w:rFonts w:hAnsi="宋体"/>
          <w:sz w:val="32"/>
          <w:szCs w:val="32"/>
        </w:rPr>
      </w:pPr>
      <w:r>
        <w:rPr>
          <w:rFonts w:hint="eastAsia" w:hAnsi="宋体"/>
          <w:sz w:val="32"/>
          <w:szCs w:val="32"/>
          <w:lang w:eastAsia="zh-CN"/>
        </w:rPr>
        <w:t>2024</w:t>
      </w:r>
      <w:r>
        <w:rPr>
          <w:rFonts w:hint="eastAsia" w:hAnsi="宋体"/>
          <w:sz w:val="32"/>
          <w:szCs w:val="32"/>
        </w:rPr>
        <w:t>年我院预算支出项目为全省法院业务费，通过自评，项目结果为“优”。项目自评情况分析如下：</w:t>
      </w:r>
    </w:p>
    <w:p w14:paraId="4F4D188D">
      <w:pPr>
        <w:pStyle w:val="3"/>
        <w:spacing w:before="0" w:after="0" w:line="560" w:lineRule="exact"/>
        <w:ind w:firstLine="643"/>
      </w:pPr>
      <w:bookmarkStart w:id="60" w:name="_Toc32694"/>
      <w:r>
        <w:rPr>
          <w:rFonts w:hint="eastAsia"/>
        </w:rPr>
        <w:t>（一）</w:t>
      </w:r>
      <w:r>
        <w:rPr>
          <w:rFonts w:hint="eastAsia" w:hAnsi="宋体"/>
          <w:szCs w:val="28"/>
        </w:rPr>
        <w:t>全省法院</w:t>
      </w:r>
      <w:r>
        <w:rPr>
          <w:rFonts w:hint="eastAsia"/>
        </w:rPr>
        <w:t>业务费</w:t>
      </w:r>
      <w:bookmarkEnd w:id="60"/>
    </w:p>
    <w:p w14:paraId="4178F8CD">
      <w:pPr>
        <w:spacing w:line="560" w:lineRule="exact"/>
        <w:ind w:firstLine="640"/>
        <w:rPr>
          <w:rFonts w:hint="eastAsia" w:hAnsi="宋体"/>
          <w:sz w:val="32"/>
          <w:szCs w:val="32"/>
        </w:rPr>
      </w:pPr>
      <w:bookmarkStart w:id="61" w:name="_Toc22570"/>
      <w:bookmarkStart w:id="62" w:name="_Toc18806"/>
      <w:bookmarkStart w:id="63" w:name="_Toc40046064"/>
      <w:bookmarkStart w:id="64" w:name="_Toc3777"/>
      <w:bookmarkStart w:id="65" w:name="_Toc7144"/>
      <w:bookmarkStart w:id="66" w:name="_Toc40046065"/>
      <w:bookmarkStart w:id="67" w:name="_Toc1889"/>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年全省法院业务费项目支出绩效得分为</w:t>
      </w:r>
      <w:r>
        <w:rPr>
          <w:rFonts w:hint="eastAsia" w:hAnsi="宋体"/>
          <w:sz w:val="32"/>
          <w:szCs w:val="32"/>
          <w:lang w:val="en-US" w:eastAsia="zh-CN"/>
        </w:rPr>
        <w:t>92.62</w:t>
      </w:r>
      <w:r>
        <w:rPr>
          <w:rFonts w:hint="eastAsia" w:hAnsi="宋体"/>
          <w:sz w:val="32"/>
          <w:szCs w:val="32"/>
        </w:rPr>
        <w:t>分，绩效等级为“优”。项目支出绩效评价包括项目资金预算执行率、成本、产出、效益、满意度5个一级指标，下设8个二级指标和</w:t>
      </w:r>
      <w:r>
        <w:rPr>
          <w:rFonts w:hint="eastAsia" w:hAnsi="宋体"/>
          <w:sz w:val="32"/>
          <w:szCs w:val="32"/>
          <w:lang w:val="en-US" w:eastAsia="zh-CN"/>
        </w:rPr>
        <w:t>16</w:t>
      </w:r>
      <w:r>
        <w:rPr>
          <w:rFonts w:hint="eastAsia" w:hAnsi="宋体"/>
          <w:sz w:val="32"/>
          <w:szCs w:val="32"/>
        </w:rPr>
        <w:t>个三级指标。项目资金预算执行率100%，一级指标得分情况详见下表：</w:t>
      </w:r>
    </w:p>
    <w:p w14:paraId="325897EB">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w:t>
      </w:r>
      <w:r>
        <w:rPr>
          <w:rFonts w:hint="eastAsia" w:ascii="宋体" w:hAnsi="宋体" w:cs="宋体"/>
          <w:b/>
          <w:bCs/>
          <w:kern w:val="0"/>
          <w:sz w:val="24"/>
          <w:lang w:val="en-US" w:eastAsia="zh-CN"/>
        </w:rPr>
        <w:t>项目</w:t>
      </w:r>
      <w:r>
        <w:rPr>
          <w:rFonts w:hint="eastAsia" w:ascii="宋体" w:hAnsi="宋体" w:cs="宋体"/>
          <w:b/>
          <w:bCs/>
          <w:kern w:val="0"/>
          <w:sz w:val="24"/>
        </w:rPr>
        <w:t>支出</w:t>
      </w:r>
      <w:r>
        <w:rPr>
          <w:rFonts w:hint="eastAsia" w:ascii="宋体" w:hAnsi="宋体" w:cs="宋体"/>
          <w:b/>
          <w:bCs/>
          <w:kern w:val="0"/>
          <w:sz w:val="24"/>
          <w:lang w:eastAsia="zh-CN"/>
        </w:rPr>
        <w:t>绩效自评指标</w:t>
      </w:r>
      <w:r>
        <w:rPr>
          <w:rFonts w:hint="eastAsia" w:ascii="宋体" w:hAnsi="宋体" w:cs="宋体"/>
          <w:b/>
          <w:bCs/>
          <w:kern w:val="0"/>
          <w:sz w:val="24"/>
        </w:rPr>
        <w:t>得分情况</w:t>
      </w:r>
    </w:p>
    <w:tbl>
      <w:tblPr>
        <w:tblStyle w:val="22"/>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8"/>
        <w:gridCol w:w="1727"/>
        <w:gridCol w:w="1727"/>
        <w:gridCol w:w="1727"/>
      </w:tblGrid>
      <w:tr w14:paraId="11445B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9" w:type="pct"/>
            <w:shd w:val="clear" w:color="auto" w:fill="BDD6EE"/>
            <w:vAlign w:val="center"/>
          </w:tcPr>
          <w:p w14:paraId="603F1301">
            <w:pPr>
              <w:spacing w:line="560" w:lineRule="exact"/>
              <w:ind w:firstLine="640"/>
              <w:jc w:val="center"/>
              <w:rPr>
                <w:rFonts w:hint="eastAsia" w:ascii="宋体" w:hAnsi="宋体" w:eastAsia="宋体" w:cs="宋体"/>
                <w:b/>
                <w:bCs/>
                <w:sz w:val="20"/>
                <w:szCs w:val="20"/>
              </w:rPr>
            </w:pPr>
            <w:r>
              <w:rPr>
                <w:rFonts w:hint="eastAsia" w:ascii="宋体" w:hAnsi="宋体" w:eastAsia="宋体" w:cs="宋体"/>
                <w:b/>
                <w:bCs/>
                <w:sz w:val="20"/>
                <w:szCs w:val="20"/>
              </w:rPr>
              <w:t>一级指标</w:t>
            </w:r>
          </w:p>
        </w:tc>
        <w:tc>
          <w:tcPr>
            <w:tcW w:w="1013" w:type="pct"/>
            <w:shd w:val="clear" w:color="auto" w:fill="BDD6EE"/>
            <w:vAlign w:val="center"/>
          </w:tcPr>
          <w:p w14:paraId="53FF6ED2">
            <w:pPr>
              <w:spacing w:line="560" w:lineRule="exact"/>
              <w:ind w:firstLine="640"/>
              <w:jc w:val="center"/>
              <w:rPr>
                <w:rFonts w:hint="eastAsia" w:ascii="宋体" w:hAnsi="宋体" w:eastAsia="宋体" w:cs="宋体"/>
                <w:b/>
                <w:bCs/>
                <w:sz w:val="20"/>
                <w:szCs w:val="20"/>
              </w:rPr>
            </w:pPr>
            <w:r>
              <w:rPr>
                <w:rFonts w:hint="eastAsia" w:ascii="宋体" w:hAnsi="宋体" w:eastAsia="宋体" w:cs="宋体"/>
                <w:b/>
                <w:bCs/>
                <w:sz w:val="20"/>
                <w:szCs w:val="20"/>
              </w:rPr>
              <w:t>分值</w:t>
            </w:r>
          </w:p>
        </w:tc>
        <w:tc>
          <w:tcPr>
            <w:tcW w:w="1013" w:type="pct"/>
            <w:shd w:val="clear" w:color="auto" w:fill="BDD6EE"/>
            <w:vAlign w:val="center"/>
          </w:tcPr>
          <w:p w14:paraId="49C6BF66">
            <w:pPr>
              <w:spacing w:line="560" w:lineRule="exact"/>
              <w:ind w:left="0" w:leftChars="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自评得分</w:t>
            </w:r>
          </w:p>
        </w:tc>
        <w:tc>
          <w:tcPr>
            <w:tcW w:w="1013" w:type="pct"/>
            <w:shd w:val="clear" w:color="auto" w:fill="BDD6EE"/>
            <w:vAlign w:val="center"/>
          </w:tcPr>
          <w:p w14:paraId="6C40028E">
            <w:pPr>
              <w:spacing w:line="560" w:lineRule="exact"/>
              <w:ind w:left="0" w:leftChars="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得分率</w:t>
            </w:r>
          </w:p>
        </w:tc>
      </w:tr>
      <w:tr w14:paraId="20342A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59" w:type="pct"/>
            <w:vAlign w:val="center"/>
          </w:tcPr>
          <w:p w14:paraId="18EF754F">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013" w:type="pct"/>
            <w:vAlign w:val="center"/>
          </w:tcPr>
          <w:p w14:paraId="1D2D1673">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3" w:type="pct"/>
            <w:vAlign w:val="center"/>
          </w:tcPr>
          <w:p w14:paraId="42CD545E">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013" w:type="pct"/>
            <w:vAlign w:val="center"/>
          </w:tcPr>
          <w:p w14:paraId="0690BDF2">
            <w:pPr>
              <w:widowControl/>
              <w:ind w:left="0" w:leftChars="0"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87.7</w:t>
            </w:r>
            <w:r>
              <w:rPr>
                <w:rFonts w:hint="eastAsia" w:ascii="宋体" w:hAnsi="宋体" w:eastAsia="宋体" w:cs="宋体"/>
                <w:color w:val="000000"/>
                <w:kern w:val="0"/>
                <w:sz w:val="20"/>
                <w:szCs w:val="20"/>
              </w:rPr>
              <w:t>0%</w:t>
            </w:r>
          </w:p>
        </w:tc>
      </w:tr>
      <w:tr w14:paraId="1464D3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59" w:type="pct"/>
            <w:vAlign w:val="center"/>
          </w:tcPr>
          <w:p w14:paraId="65799EB0">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013" w:type="pct"/>
            <w:vAlign w:val="center"/>
          </w:tcPr>
          <w:p w14:paraId="674C28A0">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013" w:type="pct"/>
            <w:vAlign w:val="center"/>
          </w:tcPr>
          <w:p w14:paraId="55DE7D09">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013" w:type="pct"/>
            <w:vAlign w:val="center"/>
          </w:tcPr>
          <w:p w14:paraId="41BFE2B4">
            <w:pPr>
              <w:widowControl/>
              <w:ind w:left="0" w:leftChars="0"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0</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w:t>
            </w:r>
          </w:p>
        </w:tc>
      </w:tr>
      <w:tr w14:paraId="2F5F53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9" w:type="pct"/>
            <w:vAlign w:val="center"/>
          </w:tcPr>
          <w:p w14:paraId="1A184868">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013" w:type="pct"/>
            <w:vAlign w:val="center"/>
          </w:tcPr>
          <w:p w14:paraId="18A7ED47">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013" w:type="pct"/>
            <w:vAlign w:val="center"/>
          </w:tcPr>
          <w:p w14:paraId="48EE1BAC">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36.63</w:t>
            </w:r>
          </w:p>
        </w:tc>
        <w:tc>
          <w:tcPr>
            <w:tcW w:w="1013" w:type="pct"/>
            <w:vAlign w:val="center"/>
          </w:tcPr>
          <w:p w14:paraId="061CB24A">
            <w:pPr>
              <w:widowControl/>
              <w:ind w:left="0" w:leftChars="0"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91.58</w:t>
            </w:r>
            <w:r>
              <w:rPr>
                <w:rFonts w:hint="eastAsia" w:ascii="宋体" w:hAnsi="宋体" w:eastAsia="宋体" w:cs="宋体"/>
                <w:color w:val="000000"/>
                <w:kern w:val="0"/>
                <w:sz w:val="20"/>
                <w:szCs w:val="20"/>
              </w:rPr>
              <w:t>%</w:t>
            </w:r>
          </w:p>
        </w:tc>
      </w:tr>
      <w:tr w14:paraId="58BD35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9" w:type="pct"/>
            <w:vAlign w:val="center"/>
          </w:tcPr>
          <w:p w14:paraId="0DE2ACCF">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013" w:type="pct"/>
            <w:vAlign w:val="center"/>
          </w:tcPr>
          <w:p w14:paraId="611962A6">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013" w:type="pct"/>
            <w:vAlign w:val="center"/>
          </w:tcPr>
          <w:p w14:paraId="25C16632">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17.99</w:t>
            </w:r>
          </w:p>
        </w:tc>
        <w:tc>
          <w:tcPr>
            <w:tcW w:w="1013" w:type="pct"/>
            <w:vAlign w:val="center"/>
          </w:tcPr>
          <w:p w14:paraId="4E253987">
            <w:pPr>
              <w:widowControl/>
              <w:ind w:left="0" w:leftChars="0"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89.95</w:t>
            </w:r>
            <w:r>
              <w:rPr>
                <w:rFonts w:hint="eastAsia" w:ascii="宋体" w:hAnsi="宋体" w:eastAsia="宋体" w:cs="宋体"/>
                <w:color w:val="000000"/>
                <w:kern w:val="0"/>
                <w:sz w:val="20"/>
                <w:szCs w:val="20"/>
              </w:rPr>
              <w:t>%</w:t>
            </w:r>
          </w:p>
        </w:tc>
      </w:tr>
      <w:tr w14:paraId="11805E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9" w:type="pct"/>
            <w:vAlign w:val="center"/>
          </w:tcPr>
          <w:p w14:paraId="59184BE7">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013" w:type="pct"/>
            <w:vAlign w:val="center"/>
          </w:tcPr>
          <w:p w14:paraId="1D69D67D">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3" w:type="pct"/>
            <w:vAlign w:val="center"/>
          </w:tcPr>
          <w:p w14:paraId="0A6BE566">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13" w:type="pct"/>
            <w:vAlign w:val="center"/>
          </w:tcPr>
          <w:p w14:paraId="097EDDDD">
            <w:pPr>
              <w:widowControl/>
              <w:ind w:left="0" w:leftChars="0"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7B58CA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9" w:type="pct"/>
            <w:shd w:val="clear" w:color="auto" w:fill="BDD6EE"/>
            <w:vAlign w:val="center"/>
          </w:tcPr>
          <w:p w14:paraId="1B1AEB4F">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013" w:type="pct"/>
            <w:shd w:val="clear" w:color="auto" w:fill="BDD6EE"/>
            <w:vAlign w:val="center"/>
          </w:tcPr>
          <w:p w14:paraId="671E9DF7">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013" w:type="pct"/>
            <w:shd w:val="clear" w:color="auto" w:fill="BDD6EE"/>
            <w:vAlign w:val="center"/>
          </w:tcPr>
          <w:p w14:paraId="61C4B93D">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96.62</w:t>
            </w:r>
          </w:p>
        </w:tc>
        <w:tc>
          <w:tcPr>
            <w:tcW w:w="1013" w:type="pct"/>
            <w:shd w:val="clear" w:color="auto" w:fill="BDD6EE"/>
            <w:vAlign w:val="center"/>
          </w:tcPr>
          <w:p w14:paraId="0500371D">
            <w:pPr>
              <w:widowControl/>
              <w:ind w:left="0" w:leftChars="0"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96.62</w:t>
            </w:r>
            <w:r>
              <w:rPr>
                <w:rFonts w:hint="eastAsia" w:ascii="宋体" w:hAnsi="宋体" w:eastAsia="宋体" w:cs="宋体"/>
                <w:b/>
                <w:bCs/>
                <w:color w:val="000000"/>
                <w:kern w:val="0"/>
                <w:sz w:val="20"/>
                <w:szCs w:val="20"/>
              </w:rPr>
              <w:t>%</w:t>
            </w:r>
          </w:p>
        </w:tc>
      </w:tr>
    </w:tbl>
    <w:p w14:paraId="305E0F7F">
      <w:pPr>
        <w:pStyle w:val="4"/>
        <w:spacing w:line="560" w:lineRule="exact"/>
        <w:ind w:firstLine="643"/>
        <w:rPr>
          <w:sz w:val="32"/>
        </w:rPr>
      </w:pPr>
      <w:r>
        <w:rPr>
          <w:rFonts w:hint="eastAsia"/>
          <w:sz w:val="32"/>
        </w:rPr>
        <w:t>1.项目支出预算执行情况</w:t>
      </w:r>
    </w:p>
    <w:p w14:paraId="37FBE7CD">
      <w:pPr>
        <w:spacing w:line="560" w:lineRule="exact"/>
        <w:ind w:firstLine="640"/>
        <w:rPr>
          <w:rFonts w:hAnsi="宋体"/>
          <w:sz w:val="32"/>
          <w:szCs w:val="32"/>
        </w:rPr>
      </w:pPr>
      <w:r>
        <w:rPr>
          <w:rFonts w:hint="eastAsia" w:hAnsi="宋体"/>
          <w:sz w:val="32"/>
          <w:szCs w:val="32"/>
        </w:rPr>
        <w:t>业务费项目年初预算数为</w:t>
      </w:r>
      <w:r>
        <w:rPr>
          <w:rFonts w:hint="eastAsia" w:hAnsi="宋体"/>
          <w:sz w:val="32"/>
          <w:szCs w:val="32"/>
          <w:lang w:val="en-US" w:eastAsia="zh-CN"/>
        </w:rPr>
        <w:t>105.00</w:t>
      </w:r>
      <w:r>
        <w:rPr>
          <w:rFonts w:hint="eastAsia" w:hAnsi="宋体"/>
          <w:sz w:val="32"/>
          <w:szCs w:val="32"/>
        </w:rPr>
        <w:t>万元，全年预算数为</w:t>
      </w:r>
      <w:r>
        <w:rPr>
          <w:rFonts w:hint="eastAsia" w:hAnsi="宋体"/>
          <w:sz w:val="32"/>
          <w:szCs w:val="32"/>
          <w:lang w:val="en-US" w:eastAsia="zh-CN"/>
        </w:rPr>
        <w:t>120.00</w:t>
      </w:r>
      <w:r>
        <w:rPr>
          <w:rFonts w:hint="eastAsia" w:hAnsi="宋体"/>
          <w:sz w:val="32"/>
          <w:szCs w:val="32"/>
        </w:rPr>
        <w:t>万元，全年执行数</w:t>
      </w:r>
      <w:r>
        <w:rPr>
          <w:rFonts w:hint="eastAsia" w:hAnsi="宋体"/>
          <w:sz w:val="32"/>
          <w:szCs w:val="32"/>
          <w:lang w:val="en-US" w:eastAsia="zh-CN"/>
        </w:rPr>
        <w:t>为120.00万元，</w:t>
      </w:r>
      <w:r>
        <w:rPr>
          <w:rFonts w:hint="eastAsia" w:hAnsi="宋体"/>
          <w:sz w:val="32"/>
          <w:szCs w:val="32"/>
        </w:rPr>
        <w:t>预算执行率</w:t>
      </w:r>
      <w:r>
        <w:rPr>
          <w:rFonts w:hint="eastAsia" w:hAnsi="宋体"/>
          <w:sz w:val="32"/>
          <w:szCs w:val="32"/>
          <w:lang w:val="en-US" w:eastAsia="zh-CN"/>
        </w:rPr>
        <w:t>100</w:t>
      </w:r>
      <w:r>
        <w:rPr>
          <w:rFonts w:hint="eastAsia" w:hAnsi="宋体"/>
          <w:sz w:val="32"/>
          <w:szCs w:val="32"/>
        </w:rPr>
        <w:t>%，满分10分，得分</w:t>
      </w:r>
      <w:r>
        <w:rPr>
          <w:rFonts w:hint="eastAsia" w:hAnsi="宋体"/>
          <w:sz w:val="32"/>
          <w:szCs w:val="32"/>
          <w:lang w:val="en-US" w:eastAsia="zh-CN"/>
        </w:rPr>
        <w:t>10</w:t>
      </w:r>
      <w:r>
        <w:rPr>
          <w:rFonts w:hint="eastAsia" w:hAnsi="宋体"/>
          <w:sz w:val="32"/>
          <w:szCs w:val="32"/>
        </w:rPr>
        <w:t>分。</w:t>
      </w:r>
    </w:p>
    <w:p w14:paraId="466B2543">
      <w:pPr>
        <w:pStyle w:val="4"/>
        <w:spacing w:line="560" w:lineRule="exact"/>
        <w:ind w:firstLine="643"/>
        <w:rPr>
          <w:sz w:val="32"/>
        </w:rPr>
      </w:pPr>
      <w:r>
        <w:rPr>
          <w:rFonts w:hint="eastAsia"/>
          <w:sz w:val="32"/>
        </w:rPr>
        <w:t>2.总体绩效目标完成情况分析</w:t>
      </w:r>
    </w:p>
    <w:p w14:paraId="69506301">
      <w:pPr>
        <w:spacing w:line="560" w:lineRule="exact"/>
        <w:ind w:firstLine="640"/>
        <w:rPr>
          <w:sz w:val="32"/>
          <w:szCs w:val="32"/>
        </w:rPr>
      </w:pPr>
      <w:r>
        <w:rPr>
          <w:rFonts w:hint="eastAsia"/>
          <w:sz w:val="32"/>
          <w:szCs w:val="32"/>
        </w:rPr>
        <w:t>通过2024年度业务费的投入，保障单位正常审判执行工作顺利开展，提高办案效率，从而推动本院各项工作顺利开展；给工作人员提供安全、良好的司法工作环境，满足本院各项工作有效运行。</w:t>
      </w:r>
    </w:p>
    <w:p w14:paraId="1289AF11">
      <w:pPr>
        <w:pStyle w:val="4"/>
        <w:spacing w:line="560" w:lineRule="exact"/>
        <w:ind w:firstLine="643"/>
        <w:rPr>
          <w:sz w:val="32"/>
        </w:rPr>
      </w:pPr>
      <w:r>
        <w:rPr>
          <w:rFonts w:hint="eastAsia"/>
          <w:sz w:val="32"/>
        </w:rPr>
        <w:t>3.各项指标完成情况分析</w:t>
      </w:r>
    </w:p>
    <w:p w14:paraId="5A42F28B">
      <w:pPr>
        <w:spacing w:line="560" w:lineRule="exact"/>
        <w:ind w:firstLine="643"/>
        <w:rPr>
          <w:b/>
          <w:bCs/>
          <w:sz w:val="32"/>
          <w:szCs w:val="32"/>
        </w:rPr>
      </w:pPr>
      <w:r>
        <w:rPr>
          <w:rFonts w:hint="eastAsia"/>
          <w:b/>
          <w:bCs/>
          <w:sz w:val="32"/>
          <w:szCs w:val="32"/>
        </w:rPr>
        <w:t>（1）成本指标</w:t>
      </w:r>
    </w:p>
    <w:p w14:paraId="7609CF8E">
      <w:pPr>
        <w:spacing w:line="560" w:lineRule="exact"/>
        <w:ind w:firstLine="640"/>
        <w:rPr>
          <w:rFonts w:hint="eastAsia"/>
          <w:sz w:val="32"/>
          <w:szCs w:val="32"/>
        </w:rPr>
      </w:pPr>
      <w:r>
        <w:rPr>
          <w:rFonts w:hint="eastAsia"/>
          <w:sz w:val="32"/>
          <w:szCs w:val="32"/>
        </w:rPr>
        <w:t>成本指标下设经济成本指标1个三级指标，指标分值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18</w:t>
      </w:r>
      <w:r>
        <w:rPr>
          <w:rFonts w:hint="eastAsia"/>
          <w:sz w:val="32"/>
          <w:szCs w:val="32"/>
        </w:rPr>
        <w:t>分，得分率为</w:t>
      </w:r>
      <w:r>
        <w:rPr>
          <w:rFonts w:hint="eastAsia"/>
          <w:sz w:val="32"/>
          <w:szCs w:val="32"/>
          <w:lang w:val="en-US" w:eastAsia="zh-CN"/>
        </w:rPr>
        <w:t>9</w:t>
      </w:r>
      <w:r>
        <w:rPr>
          <w:rFonts w:hint="eastAsia"/>
          <w:sz w:val="32"/>
          <w:szCs w:val="32"/>
        </w:rPr>
        <w:t>0%。</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89"/>
        <w:gridCol w:w="1403"/>
        <w:gridCol w:w="1526"/>
        <w:gridCol w:w="1262"/>
        <w:gridCol w:w="667"/>
        <w:gridCol w:w="1151"/>
        <w:gridCol w:w="1019"/>
      </w:tblGrid>
      <w:tr w14:paraId="6C8136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4" w:type="pct"/>
            <w:shd w:val="clear" w:color="auto" w:fill="BDD6EE"/>
            <w:vAlign w:val="center"/>
          </w:tcPr>
          <w:p w14:paraId="2E733B4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23" w:type="pct"/>
            <w:shd w:val="clear" w:color="auto" w:fill="BDD6EE"/>
            <w:vAlign w:val="center"/>
          </w:tcPr>
          <w:p w14:paraId="7CC8E18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895" w:type="pct"/>
            <w:shd w:val="clear" w:color="auto" w:fill="BDD6EE"/>
            <w:vAlign w:val="center"/>
          </w:tcPr>
          <w:p w14:paraId="789F167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40" w:type="pct"/>
            <w:shd w:val="clear" w:color="auto" w:fill="BDD6EE"/>
            <w:vAlign w:val="center"/>
          </w:tcPr>
          <w:p w14:paraId="47E49F3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91" w:type="pct"/>
            <w:shd w:val="clear" w:color="auto" w:fill="BDD6EE"/>
            <w:vAlign w:val="center"/>
          </w:tcPr>
          <w:p w14:paraId="2C97D8C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75" w:type="pct"/>
            <w:shd w:val="clear" w:color="auto" w:fill="BDD6EE"/>
            <w:vAlign w:val="center"/>
          </w:tcPr>
          <w:p w14:paraId="085F400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598" w:type="pct"/>
            <w:shd w:val="clear" w:color="auto" w:fill="BDD6EE"/>
            <w:vAlign w:val="center"/>
          </w:tcPr>
          <w:p w14:paraId="5C511D7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7A95A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4" w:type="pct"/>
            <w:vAlign w:val="center"/>
          </w:tcPr>
          <w:p w14:paraId="01B7DEC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i w:val="0"/>
                <w:iCs w:val="0"/>
                <w:color w:val="333333"/>
                <w:kern w:val="0"/>
                <w:sz w:val="20"/>
                <w:szCs w:val="20"/>
                <w:u w:val="none"/>
                <w:lang w:val="en-US" w:eastAsia="zh-CN" w:bidi="ar"/>
              </w:rPr>
              <w:t>经济成本指标</w:t>
            </w:r>
          </w:p>
        </w:tc>
        <w:tc>
          <w:tcPr>
            <w:tcW w:w="823" w:type="pct"/>
            <w:vAlign w:val="center"/>
          </w:tcPr>
          <w:p w14:paraId="4080CC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成本控制率</w:t>
            </w:r>
          </w:p>
        </w:tc>
        <w:tc>
          <w:tcPr>
            <w:tcW w:w="895" w:type="pct"/>
            <w:vAlign w:val="center"/>
          </w:tcPr>
          <w:p w14:paraId="31CC2B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定额标准内</w:t>
            </w:r>
          </w:p>
        </w:tc>
        <w:tc>
          <w:tcPr>
            <w:tcW w:w="740" w:type="pct"/>
            <w:vAlign w:val="center"/>
          </w:tcPr>
          <w:p w14:paraId="152859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w:t>
            </w:r>
          </w:p>
        </w:tc>
        <w:tc>
          <w:tcPr>
            <w:tcW w:w="391" w:type="pct"/>
            <w:vAlign w:val="center"/>
          </w:tcPr>
          <w:p w14:paraId="1D976E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675" w:type="pct"/>
            <w:vAlign w:val="center"/>
          </w:tcPr>
          <w:p w14:paraId="413445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18</w:t>
            </w:r>
          </w:p>
        </w:tc>
        <w:tc>
          <w:tcPr>
            <w:tcW w:w="598" w:type="pct"/>
            <w:vAlign w:val="center"/>
          </w:tcPr>
          <w:p w14:paraId="6AE3E4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r>
      <w:tr w14:paraId="1A680E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334" w:type="pct"/>
            <w:gridSpan w:val="4"/>
            <w:shd w:val="clear" w:color="auto" w:fill="BDD6EE"/>
            <w:vAlign w:val="center"/>
          </w:tcPr>
          <w:p w14:paraId="4B3783F3">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91" w:type="pct"/>
            <w:shd w:val="clear" w:color="auto" w:fill="BDD6EE"/>
            <w:vAlign w:val="center"/>
          </w:tcPr>
          <w:p w14:paraId="2D4F2E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675" w:type="pct"/>
            <w:shd w:val="clear" w:color="auto" w:fill="BDD6EE"/>
            <w:vAlign w:val="center"/>
          </w:tcPr>
          <w:p w14:paraId="004CFA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598" w:type="pct"/>
            <w:shd w:val="clear" w:color="auto" w:fill="BDD6EE"/>
            <w:vAlign w:val="center"/>
          </w:tcPr>
          <w:p w14:paraId="6FDC7BC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w:t>
            </w:r>
          </w:p>
        </w:tc>
      </w:tr>
    </w:tbl>
    <w:p w14:paraId="059897C4">
      <w:pPr>
        <w:spacing w:line="560" w:lineRule="exact"/>
        <w:ind w:firstLine="643"/>
        <w:rPr>
          <w:rFonts w:hAnsi="宋体"/>
          <w:sz w:val="32"/>
          <w:szCs w:val="32"/>
        </w:rPr>
      </w:pPr>
      <w:r>
        <w:rPr>
          <w:rFonts w:hint="eastAsia" w:hAnsi="宋体"/>
          <w:b/>
          <w:bCs/>
          <w:sz w:val="32"/>
          <w:szCs w:val="32"/>
        </w:rPr>
        <w:t>成本控制情况：</w:t>
      </w:r>
      <w:r>
        <w:rPr>
          <w:rFonts w:hint="eastAsia" w:hAnsi="宋体"/>
          <w:sz w:val="32"/>
          <w:szCs w:val="32"/>
        </w:rPr>
        <w:t>我院全省法院业务费全年预算数为</w:t>
      </w:r>
      <w:r>
        <w:rPr>
          <w:rFonts w:hint="eastAsia" w:hAnsi="宋体"/>
          <w:sz w:val="32"/>
          <w:szCs w:val="32"/>
          <w:lang w:val="en-US" w:eastAsia="zh-CN"/>
        </w:rPr>
        <w:t>120.00</w:t>
      </w:r>
      <w:r>
        <w:rPr>
          <w:rFonts w:hint="eastAsia" w:hAnsi="宋体"/>
          <w:sz w:val="32"/>
          <w:szCs w:val="32"/>
        </w:rPr>
        <w:t>万元，全年执行数</w:t>
      </w:r>
      <w:r>
        <w:rPr>
          <w:rFonts w:hint="eastAsia" w:hAnsi="宋体"/>
          <w:sz w:val="32"/>
          <w:szCs w:val="32"/>
          <w:lang w:val="en-US" w:eastAsia="zh-CN"/>
        </w:rPr>
        <w:t>为120.00万元，</w:t>
      </w:r>
      <w:r>
        <w:rPr>
          <w:rFonts w:hint="eastAsia" w:hAnsi="宋体"/>
          <w:sz w:val="32"/>
          <w:szCs w:val="32"/>
        </w:rPr>
        <w:t>预算执行率</w:t>
      </w:r>
      <w:r>
        <w:rPr>
          <w:rFonts w:hint="eastAsia" w:hAnsi="宋体"/>
          <w:sz w:val="32"/>
          <w:szCs w:val="32"/>
          <w:lang w:val="en-US" w:eastAsia="zh-CN"/>
        </w:rPr>
        <w:t>100</w:t>
      </w:r>
      <w:r>
        <w:rPr>
          <w:rFonts w:hint="eastAsia" w:hAnsi="宋体"/>
          <w:sz w:val="32"/>
          <w:szCs w:val="32"/>
        </w:rPr>
        <w:t>%，</w:t>
      </w:r>
      <w:r>
        <w:rPr>
          <w:rFonts w:hint="eastAsia" w:hAnsi="宋体" w:cs="宋体"/>
          <w:kern w:val="0"/>
          <w:sz w:val="32"/>
          <w:szCs w:val="32"/>
        </w:rPr>
        <w:t>成本控制在全年预算范围以内，符合年度指标值的要求。</w:t>
      </w:r>
      <w:r>
        <w:rPr>
          <w:rFonts w:hint="eastAsia" w:hAnsi="宋体"/>
          <w:sz w:val="32"/>
          <w:szCs w:val="32"/>
        </w:rPr>
        <w:t>该指标分值</w:t>
      </w:r>
      <w:r>
        <w:rPr>
          <w:rFonts w:hint="eastAsia" w:hAnsi="宋体"/>
          <w:sz w:val="32"/>
          <w:szCs w:val="32"/>
          <w:lang w:val="en-US" w:eastAsia="zh-CN"/>
        </w:rPr>
        <w:t>20</w:t>
      </w:r>
      <w:r>
        <w:rPr>
          <w:rFonts w:hint="eastAsia" w:hAnsi="宋体"/>
          <w:sz w:val="32"/>
          <w:szCs w:val="32"/>
        </w:rPr>
        <w:t>分，</w:t>
      </w:r>
      <w:r>
        <w:rPr>
          <w:rFonts w:hAnsi="宋体"/>
          <w:sz w:val="32"/>
          <w:szCs w:val="32"/>
        </w:rPr>
        <w:t>按评价标准得</w:t>
      </w:r>
      <w:r>
        <w:rPr>
          <w:rFonts w:hint="eastAsia" w:hAnsi="宋体"/>
          <w:sz w:val="32"/>
          <w:szCs w:val="32"/>
          <w:lang w:val="en-US" w:eastAsia="zh-CN"/>
        </w:rPr>
        <w:t>18</w:t>
      </w:r>
      <w:r>
        <w:rPr>
          <w:rFonts w:hAnsi="宋体"/>
          <w:sz w:val="32"/>
          <w:szCs w:val="32"/>
        </w:rPr>
        <w:t>分，</w:t>
      </w:r>
      <w:r>
        <w:rPr>
          <w:rFonts w:hint="eastAsia" w:hAnsi="宋体"/>
          <w:sz w:val="32"/>
          <w:szCs w:val="32"/>
        </w:rPr>
        <w:t>得分率为</w:t>
      </w:r>
      <w:r>
        <w:rPr>
          <w:rFonts w:hint="eastAsia" w:hAnsi="宋体"/>
          <w:sz w:val="32"/>
          <w:szCs w:val="32"/>
          <w:lang w:val="en-US" w:eastAsia="zh-CN"/>
        </w:rPr>
        <w:t>9</w:t>
      </w:r>
      <w:r>
        <w:rPr>
          <w:rFonts w:hint="eastAsia" w:hAnsi="宋体"/>
          <w:sz w:val="32"/>
          <w:szCs w:val="32"/>
        </w:rPr>
        <w:t>0</w:t>
      </w:r>
      <w:r>
        <w:rPr>
          <w:rFonts w:hAnsi="宋体"/>
          <w:sz w:val="32"/>
          <w:szCs w:val="32"/>
        </w:rPr>
        <w:t>%。</w:t>
      </w:r>
    </w:p>
    <w:p w14:paraId="6A12B23D">
      <w:pPr>
        <w:spacing w:line="560" w:lineRule="exact"/>
        <w:ind w:firstLine="643"/>
        <w:rPr>
          <w:b/>
          <w:bCs/>
          <w:sz w:val="32"/>
          <w:szCs w:val="32"/>
        </w:rPr>
      </w:pPr>
      <w:r>
        <w:rPr>
          <w:rFonts w:hint="eastAsia"/>
          <w:b/>
          <w:bCs/>
          <w:sz w:val="32"/>
          <w:szCs w:val="32"/>
        </w:rPr>
        <w:t>（2）产出指标</w:t>
      </w:r>
    </w:p>
    <w:p w14:paraId="5A89497F">
      <w:pPr>
        <w:spacing w:line="560" w:lineRule="exact"/>
        <w:ind w:firstLine="640"/>
        <w:rPr>
          <w:rFonts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36.63</w:t>
      </w:r>
      <w:r>
        <w:rPr>
          <w:rFonts w:hint="eastAsia" w:cs="仿宋_GB2312"/>
          <w:sz w:val="32"/>
          <w:szCs w:val="32"/>
        </w:rPr>
        <w:t>分，得分率为</w:t>
      </w:r>
      <w:r>
        <w:rPr>
          <w:rFonts w:hint="eastAsia" w:cs="仿宋_GB2312"/>
          <w:sz w:val="32"/>
          <w:szCs w:val="32"/>
          <w:lang w:val="en-US" w:eastAsia="zh-CN"/>
        </w:rPr>
        <w:t>91.58</w:t>
      </w:r>
      <w:r>
        <w:rPr>
          <w:rFonts w:hint="eastAsia" w:cs="仿宋_GB2312"/>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99"/>
        <w:gridCol w:w="2328"/>
        <w:gridCol w:w="1258"/>
        <w:gridCol w:w="1419"/>
        <w:gridCol w:w="637"/>
        <w:gridCol w:w="720"/>
        <w:gridCol w:w="1056"/>
      </w:tblGrid>
      <w:tr w14:paraId="07888B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45" w:type="pct"/>
            <w:shd w:val="clear" w:color="auto" w:fill="BDD6EE"/>
            <w:vAlign w:val="center"/>
          </w:tcPr>
          <w:p w14:paraId="71AC46E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66" w:type="pct"/>
            <w:shd w:val="clear" w:color="auto" w:fill="BDD6EE"/>
            <w:vAlign w:val="center"/>
          </w:tcPr>
          <w:p w14:paraId="2109E2D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38" w:type="pct"/>
            <w:shd w:val="clear" w:color="auto" w:fill="BDD6EE"/>
            <w:vAlign w:val="center"/>
          </w:tcPr>
          <w:p w14:paraId="22C1C70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1" w:type="pct"/>
            <w:shd w:val="clear" w:color="auto" w:fill="BDD6EE"/>
            <w:vAlign w:val="center"/>
          </w:tcPr>
          <w:p w14:paraId="415F54B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4" w:type="pct"/>
            <w:shd w:val="clear" w:color="auto" w:fill="BDD6EE"/>
            <w:vAlign w:val="center"/>
          </w:tcPr>
          <w:p w14:paraId="7A86C8D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22" w:type="pct"/>
            <w:shd w:val="clear" w:color="auto" w:fill="BDD6EE"/>
            <w:vAlign w:val="center"/>
          </w:tcPr>
          <w:p w14:paraId="79451905">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620" w:type="pct"/>
            <w:shd w:val="clear" w:color="auto" w:fill="BDD6EE"/>
            <w:vAlign w:val="center"/>
          </w:tcPr>
          <w:p w14:paraId="3F0F30E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FA135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restart"/>
            <w:vAlign w:val="center"/>
          </w:tcPr>
          <w:p w14:paraId="7339E2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328" w:type="dxa"/>
            <w:vAlign w:val="center"/>
          </w:tcPr>
          <w:p w14:paraId="19BE0B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结案率</w:t>
            </w:r>
          </w:p>
        </w:tc>
        <w:tc>
          <w:tcPr>
            <w:tcW w:w="1258" w:type="dxa"/>
            <w:vAlign w:val="center"/>
          </w:tcPr>
          <w:p w14:paraId="47BF0D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419" w:type="dxa"/>
            <w:vAlign w:val="center"/>
          </w:tcPr>
          <w:p w14:paraId="39D3AA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96.54</w:t>
            </w:r>
          </w:p>
        </w:tc>
        <w:tc>
          <w:tcPr>
            <w:tcW w:w="637" w:type="dxa"/>
            <w:vAlign w:val="center"/>
          </w:tcPr>
          <w:p w14:paraId="793151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486AAA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w:t>
            </w:r>
          </w:p>
        </w:tc>
        <w:tc>
          <w:tcPr>
            <w:tcW w:w="1056" w:type="dxa"/>
            <w:vAlign w:val="center"/>
          </w:tcPr>
          <w:p w14:paraId="35B5FF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73.25%</w:t>
            </w:r>
          </w:p>
        </w:tc>
      </w:tr>
      <w:tr w14:paraId="2518FE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5DDCCC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1ED213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水电暖保障面积</w:t>
            </w:r>
          </w:p>
        </w:tc>
        <w:tc>
          <w:tcPr>
            <w:tcW w:w="1258" w:type="dxa"/>
            <w:vAlign w:val="center"/>
          </w:tcPr>
          <w:p w14:paraId="0CF066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=8292.72平方米</w:t>
            </w:r>
          </w:p>
        </w:tc>
        <w:tc>
          <w:tcPr>
            <w:tcW w:w="1419" w:type="dxa"/>
            <w:vAlign w:val="center"/>
          </w:tcPr>
          <w:p w14:paraId="5F924F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8292.72</w:t>
            </w:r>
          </w:p>
        </w:tc>
        <w:tc>
          <w:tcPr>
            <w:tcW w:w="637" w:type="dxa"/>
            <w:vAlign w:val="center"/>
          </w:tcPr>
          <w:p w14:paraId="37DB94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0A3DC5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6" w:type="dxa"/>
            <w:vAlign w:val="center"/>
          </w:tcPr>
          <w:p w14:paraId="4D3D69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EC1BC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02DA38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47061F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维修维护项目数</w:t>
            </w:r>
          </w:p>
        </w:tc>
        <w:tc>
          <w:tcPr>
            <w:tcW w:w="1258" w:type="dxa"/>
            <w:vAlign w:val="center"/>
          </w:tcPr>
          <w:p w14:paraId="2A64B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=5项</w:t>
            </w:r>
          </w:p>
        </w:tc>
        <w:tc>
          <w:tcPr>
            <w:tcW w:w="1419" w:type="dxa"/>
            <w:vAlign w:val="center"/>
          </w:tcPr>
          <w:p w14:paraId="470C46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7" w:type="dxa"/>
            <w:vAlign w:val="center"/>
          </w:tcPr>
          <w:p w14:paraId="06461B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5F07C8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6" w:type="dxa"/>
            <w:vAlign w:val="center"/>
          </w:tcPr>
          <w:p w14:paraId="00756F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26147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restart"/>
            <w:vAlign w:val="center"/>
          </w:tcPr>
          <w:p w14:paraId="6DE7C1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328" w:type="dxa"/>
            <w:vAlign w:val="center"/>
          </w:tcPr>
          <w:p w14:paraId="7C27CB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水电暖服务保障率</w:t>
            </w:r>
          </w:p>
        </w:tc>
        <w:tc>
          <w:tcPr>
            <w:tcW w:w="1258" w:type="dxa"/>
            <w:vAlign w:val="center"/>
          </w:tcPr>
          <w:p w14:paraId="363BA1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19" w:type="dxa"/>
            <w:vAlign w:val="center"/>
          </w:tcPr>
          <w:p w14:paraId="2C956B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7" w:type="dxa"/>
            <w:vAlign w:val="center"/>
          </w:tcPr>
          <w:p w14:paraId="1F0EFD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106EED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6" w:type="dxa"/>
            <w:vAlign w:val="center"/>
          </w:tcPr>
          <w:p w14:paraId="1BD841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A9AB0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0DEE5E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7B9C75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维修维护项目验收合格率</w:t>
            </w:r>
          </w:p>
        </w:tc>
        <w:tc>
          <w:tcPr>
            <w:tcW w:w="1258" w:type="dxa"/>
            <w:vAlign w:val="center"/>
          </w:tcPr>
          <w:p w14:paraId="0DCA4F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19" w:type="dxa"/>
            <w:vAlign w:val="center"/>
          </w:tcPr>
          <w:p w14:paraId="17AFAA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7" w:type="dxa"/>
            <w:vAlign w:val="center"/>
          </w:tcPr>
          <w:p w14:paraId="525143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11680B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6" w:type="dxa"/>
            <w:vAlign w:val="center"/>
          </w:tcPr>
          <w:p w14:paraId="4F212D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DD515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5E9537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4B0DD6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一审服判息诉率</w:t>
            </w:r>
          </w:p>
        </w:tc>
        <w:tc>
          <w:tcPr>
            <w:tcW w:w="1258" w:type="dxa"/>
            <w:vAlign w:val="center"/>
          </w:tcPr>
          <w:p w14:paraId="377C31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419" w:type="dxa"/>
            <w:vAlign w:val="center"/>
          </w:tcPr>
          <w:p w14:paraId="1789F5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82.21</w:t>
            </w:r>
          </w:p>
        </w:tc>
        <w:tc>
          <w:tcPr>
            <w:tcW w:w="637" w:type="dxa"/>
            <w:vAlign w:val="center"/>
          </w:tcPr>
          <w:p w14:paraId="7CB24D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25D5F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6" w:type="dxa"/>
            <w:vAlign w:val="center"/>
          </w:tcPr>
          <w:p w14:paraId="17C66A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41312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restart"/>
            <w:vAlign w:val="center"/>
          </w:tcPr>
          <w:p w14:paraId="4455AE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328" w:type="dxa"/>
            <w:vAlign w:val="center"/>
          </w:tcPr>
          <w:p w14:paraId="35C8D9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办案经费支付及时率</w:t>
            </w:r>
          </w:p>
        </w:tc>
        <w:tc>
          <w:tcPr>
            <w:tcW w:w="1258" w:type="dxa"/>
            <w:vAlign w:val="center"/>
          </w:tcPr>
          <w:p w14:paraId="6CEB7C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19" w:type="dxa"/>
            <w:vAlign w:val="center"/>
          </w:tcPr>
          <w:p w14:paraId="3928C0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7" w:type="dxa"/>
            <w:vAlign w:val="center"/>
          </w:tcPr>
          <w:p w14:paraId="07CF75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5594A5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56" w:type="dxa"/>
            <w:vAlign w:val="center"/>
          </w:tcPr>
          <w:p w14:paraId="032557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2EE7F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756D9A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6126C3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法定审限内结案率</w:t>
            </w:r>
          </w:p>
        </w:tc>
        <w:tc>
          <w:tcPr>
            <w:tcW w:w="1258" w:type="dxa"/>
            <w:vAlign w:val="center"/>
          </w:tcPr>
          <w:p w14:paraId="08612A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419" w:type="dxa"/>
            <w:vAlign w:val="center"/>
          </w:tcPr>
          <w:p w14:paraId="5656B9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99.97</w:t>
            </w:r>
          </w:p>
        </w:tc>
        <w:tc>
          <w:tcPr>
            <w:tcW w:w="637" w:type="dxa"/>
            <w:vAlign w:val="center"/>
          </w:tcPr>
          <w:p w14:paraId="124700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445BDE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56" w:type="dxa"/>
            <w:vAlign w:val="center"/>
          </w:tcPr>
          <w:p w14:paraId="4A27FE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62.50%</w:t>
            </w:r>
          </w:p>
        </w:tc>
      </w:tr>
      <w:tr w14:paraId="153CE5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376425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1F9B70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水电暖服务保障工作及时性</w:t>
            </w:r>
          </w:p>
        </w:tc>
        <w:tc>
          <w:tcPr>
            <w:tcW w:w="1258" w:type="dxa"/>
            <w:vAlign w:val="center"/>
          </w:tcPr>
          <w:p w14:paraId="38F3A3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19" w:type="dxa"/>
            <w:vAlign w:val="center"/>
          </w:tcPr>
          <w:p w14:paraId="50317D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7" w:type="dxa"/>
            <w:vAlign w:val="center"/>
          </w:tcPr>
          <w:p w14:paraId="5ED81F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4C053C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56" w:type="dxa"/>
            <w:vAlign w:val="center"/>
          </w:tcPr>
          <w:p w14:paraId="580278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473D8C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9" w:type="dxa"/>
            <w:vMerge w:val="continue"/>
            <w:vAlign w:val="center"/>
          </w:tcPr>
          <w:p w14:paraId="7E78C1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28" w:type="dxa"/>
            <w:vAlign w:val="center"/>
          </w:tcPr>
          <w:p w14:paraId="13D6A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维修维护及时性</w:t>
            </w:r>
          </w:p>
        </w:tc>
        <w:tc>
          <w:tcPr>
            <w:tcW w:w="1258" w:type="dxa"/>
            <w:vAlign w:val="center"/>
          </w:tcPr>
          <w:p w14:paraId="64E2D5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19" w:type="dxa"/>
            <w:vAlign w:val="center"/>
          </w:tcPr>
          <w:p w14:paraId="009696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7" w:type="dxa"/>
            <w:vAlign w:val="center"/>
          </w:tcPr>
          <w:p w14:paraId="2F9D96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20" w:type="dxa"/>
            <w:vAlign w:val="center"/>
          </w:tcPr>
          <w:p w14:paraId="092EB1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56" w:type="dxa"/>
            <w:vAlign w:val="center"/>
          </w:tcPr>
          <w:p w14:paraId="619E96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246D67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582" w:type="pct"/>
            <w:gridSpan w:val="4"/>
            <w:shd w:val="clear" w:color="auto" w:fill="BDD6EE"/>
            <w:vAlign w:val="center"/>
          </w:tcPr>
          <w:p w14:paraId="13026D2E">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4" w:type="pct"/>
            <w:shd w:val="clear" w:color="auto" w:fill="BDD6EE"/>
            <w:vAlign w:val="center"/>
          </w:tcPr>
          <w:p w14:paraId="071A0AF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422" w:type="pct"/>
            <w:shd w:val="clear" w:color="auto" w:fill="BDD6EE"/>
            <w:vAlign w:val="center"/>
          </w:tcPr>
          <w:p w14:paraId="3538D1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36.63</w:t>
            </w:r>
          </w:p>
        </w:tc>
        <w:tc>
          <w:tcPr>
            <w:tcW w:w="620" w:type="pct"/>
            <w:shd w:val="clear" w:color="auto" w:fill="BDD6EE"/>
            <w:vAlign w:val="center"/>
          </w:tcPr>
          <w:p w14:paraId="3EC3276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kern w:val="0"/>
                <w:sz w:val="20"/>
                <w:szCs w:val="20"/>
                <w:highlight w:val="none"/>
                <w:lang w:val="en-US" w:eastAsia="zh-CN" w:bidi="ar-SA"/>
              </w:rPr>
              <w:t>91.58%</w:t>
            </w:r>
          </w:p>
        </w:tc>
      </w:tr>
    </w:tbl>
    <w:p w14:paraId="5E0AD8C0">
      <w:pPr>
        <w:spacing w:line="560" w:lineRule="exact"/>
        <w:ind w:firstLine="640"/>
        <w:rPr>
          <w:rFonts w:hint="default" w:hAnsi="宋体"/>
          <w:sz w:val="32"/>
          <w:szCs w:val="32"/>
        </w:rPr>
      </w:pPr>
      <w:r>
        <w:rPr>
          <w:rFonts w:hint="default" w:hAnsi="宋体"/>
          <w:b/>
          <w:bCs/>
          <w:sz w:val="32"/>
          <w:szCs w:val="32"/>
        </w:rPr>
        <w:t>结案率</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80%，实际完成值96.54%，分值4分，得分2.93分，得分率73.25%。</w:t>
      </w:r>
      <w:r>
        <w:rPr>
          <w:rFonts w:hint="eastAsia" w:hAnsi="宋体"/>
          <w:sz w:val="32"/>
          <w:szCs w:val="32"/>
          <w:lang w:val="en-US" w:eastAsia="zh-CN"/>
        </w:rPr>
        <w:t>说明我</w:t>
      </w:r>
      <w:r>
        <w:rPr>
          <w:rFonts w:hint="default" w:hAnsi="宋体"/>
          <w:sz w:val="32"/>
          <w:szCs w:val="32"/>
          <w:lang w:val="en-US" w:eastAsia="zh-CN"/>
        </w:rPr>
        <w:t>院在案件审结效率上达到了基本要求，且实际结案率较高，需进一步优化案件审理流程。</w:t>
      </w:r>
    </w:p>
    <w:p w14:paraId="75AE6040">
      <w:pPr>
        <w:spacing w:line="560" w:lineRule="exact"/>
        <w:ind w:firstLine="640"/>
        <w:rPr>
          <w:rFonts w:hint="default" w:hAnsi="宋体"/>
          <w:sz w:val="32"/>
          <w:szCs w:val="32"/>
        </w:rPr>
      </w:pPr>
      <w:r>
        <w:rPr>
          <w:rFonts w:hint="default" w:hAnsi="宋体"/>
          <w:b/>
          <w:bCs/>
          <w:sz w:val="32"/>
          <w:szCs w:val="32"/>
        </w:rPr>
        <w:t>水电暖保障面积</w:t>
      </w:r>
      <w:r>
        <w:rPr>
          <w:rFonts w:hint="eastAsia" w:hAnsi="宋体"/>
          <w:b/>
          <w:bCs/>
          <w:sz w:val="32"/>
          <w:szCs w:val="32"/>
          <w:lang w:eastAsia="zh-CN"/>
        </w:rPr>
        <w:t>：</w:t>
      </w:r>
      <w:r>
        <w:rPr>
          <w:rFonts w:hint="default" w:hAnsi="宋体"/>
          <w:sz w:val="32"/>
          <w:szCs w:val="32"/>
          <w:lang w:val="en-US" w:eastAsia="zh-CN"/>
        </w:rPr>
        <w:t>年度指标为8292.72平方米，实际完成值8292.72平方米，分值4分，得分4分，得分率100.00%。意味着法院在水电暖保障面积方面精准达标，保障了办公场所等区域的水电暖正常供应，为法院工作的正常开展提供了良好的基础条件。</w:t>
      </w:r>
    </w:p>
    <w:p w14:paraId="1A761ABF">
      <w:pPr>
        <w:spacing w:line="560" w:lineRule="exact"/>
        <w:ind w:firstLine="640"/>
        <w:rPr>
          <w:rFonts w:hint="default" w:hAnsi="宋体"/>
          <w:sz w:val="32"/>
          <w:szCs w:val="32"/>
        </w:rPr>
      </w:pPr>
      <w:r>
        <w:rPr>
          <w:rFonts w:hint="default" w:hAnsi="宋体"/>
          <w:b/>
          <w:bCs/>
          <w:sz w:val="32"/>
          <w:szCs w:val="32"/>
        </w:rPr>
        <w:t>维修维护项目数</w:t>
      </w:r>
      <w:r>
        <w:rPr>
          <w:rFonts w:hint="eastAsia" w:hAnsi="宋体"/>
          <w:b/>
          <w:bCs/>
          <w:sz w:val="32"/>
          <w:szCs w:val="32"/>
          <w:lang w:eastAsia="zh-CN"/>
        </w:rPr>
        <w:t>：</w:t>
      </w:r>
      <w:r>
        <w:rPr>
          <w:rFonts w:hint="default" w:hAnsi="宋体"/>
          <w:sz w:val="32"/>
          <w:szCs w:val="32"/>
          <w:lang w:val="en-US" w:eastAsia="zh-CN"/>
        </w:rPr>
        <w:t>年度指标5项，实际完成值5项，分值4分，得分4分，得分率100.00%。</w:t>
      </w:r>
      <w:r>
        <w:rPr>
          <w:rFonts w:hint="eastAsia" w:hAnsi="宋体"/>
          <w:sz w:val="32"/>
          <w:szCs w:val="32"/>
          <w:lang w:val="en-US" w:eastAsia="zh-CN"/>
        </w:rPr>
        <w:t>体现我</w:t>
      </w:r>
      <w:r>
        <w:rPr>
          <w:rFonts w:hint="default" w:hAnsi="宋体"/>
          <w:sz w:val="32"/>
          <w:szCs w:val="32"/>
          <w:lang w:val="en-US" w:eastAsia="zh-CN"/>
        </w:rPr>
        <w:t>院按照计划完成了维修维护工作任务，确保了法院设施设备等的正常运行，在基础设施维护管理方面执行到位。</w:t>
      </w:r>
    </w:p>
    <w:p w14:paraId="62AA4554">
      <w:pPr>
        <w:spacing w:line="560" w:lineRule="exact"/>
        <w:ind w:firstLine="640"/>
        <w:rPr>
          <w:rFonts w:hint="default" w:hAnsi="宋体"/>
          <w:sz w:val="32"/>
          <w:szCs w:val="32"/>
        </w:rPr>
      </w:pPr>
      <w:r>
        <w:rPr>
          <w:rFonts w:hint="default" w:hAnsi="宋体"/>
          <w:b/>
          <w:bCs/>
          <w:sz w:val="32"/>
          <w:szCs w:val="32"/>
        </w:rPr>
        <w:t>水电暖服务保障率</w:t>
      </w:r>
      <w:r>
        <w:rPr>
          <w:rFonts w:hint="eastAsia" w:hAnsi="宋体"/>
          <w:b/>
          <w:bCs/>
          <w:sz w:val="32"/>
          <w:szCs w:val="32"/>
          <w:lang w:eastAsia="zh-CN"/>
        </w:rPr>
        <w:t>：</w:t>
      </w:r>
      <w:r>
        <w:rPr>
          <w:rFonts w:hint="default" w:hAnsi="宋体"/>
          <w:sz w:val="32"/>
          <w:szCs w:val="32"/>
          <w:lang w:val="en-US" w:eastAsia="zh-CN"/>
        </w:rPr>
        <w:t>年度指标100%，实际完成值100%，分值4分，得分4分，得分率100.00%。表明法院的水电暖服务保障工作做得很到位，能持续稳定地为法院各项工作提供水电暖支持，保障了工作环境的舒适性和工作的连续性。</w:t>
      </w:r>
    </w:p>
    <w:p w14:paraId="6423691A">
      <w:pPr>
        <w:spacing w:line="560" w:lineRule="exact"/>
        <w:ind w:firstLine="640"/>
        <w:rPr>
          <w:rFonts w:hint="default" w:hAnsi="宋体"/>
          <w:sz w:val="32"/>
          <w:szCs w:val="32"/>
        </w:rPr>
      </w:pPr>
      <w:r>
        <w:rPr>
          <w:rFonts w:hint="default" w:hAnsi="宋体"/>
          <w:b/>
          <w:bCs/>
          <w:sz w:val="32"/>
          <w:szCs w:val="32"/>
        </w:rPr>
        <w:t>维修维护项目验收合格率</w:t>
      </w:r>
      <w:r>
        <w:rPr>
          <w:rFonts w:hint="eastAsia" w:hAnsi="宋体"/>
          <w:b/>
          <w:bCs/>
          <w:sz w:val="32"/>
          <w:szCs w:val="32"/>
          <w:lang w:eastAsia="zh-CN"/>
        </w:rPr>
        <w:t>：</w:t>
      </w:r>
      <w:r>
        <w:rPr>
          <w:rFonts w:hint="default" w:hAnsi="宋体"/>
          <w:sz w:val="32"/>
          <w:szCs w:val="32"/>
          <w:lang w:val="en-US" w:eastAsia="zh-CN"/>
        </w:rPr>
        <w:t>年度指标100%，实际完成值100%，分值4分，得分4分，得分率100.00%。</w:t>
      </w:r>
      <w:r>
        <w:rPr>
          <w:rFonts w:hint="eastAsia" w:hAnsi="宋体"/>
          <w:sz w:val="32"/>
          <w:szCs w:val="32"/>
          <w:lang w:val="en-US" w:eastAsia="zh-CN"/>
        </w:rPr>
        <w:t>说明我</w:t>
      </w:r>
      <w:r>
        <w:rPr>
          <w:rFonts w:hint="default" w:hAnsi="宋体"/>
          <w:sz w:val="32"/>
          <w:szCs w:val="32"/>
          <w:lang w:val="en-US" w:eastAsia="zh-CN"/>
        </w:rPr>
        <w:t>院维修维护项目的质量过硬，验收全部合格，有效保障了设施设备的正常使用，在项目管理和质量把控上严格规范。</w:t>
      </w:r>
    </w:p>
    <w:p w14:paraId="27DD1D4C">
      <w:pPr>
        <w:spacing w:line="560" w:lineRule="exact"/>
        <w:ind w:firstLine="640"/>
        <w:rPr>
          <w:rFonts w:hint="default" w:hAnsi="宋体"/>
          <w:sz w:val="32"/>
          <w:szCs w:val="32"/>
        </w:rPr>
      </w:pPr>
      <w:r>
        <w:rPr>
          <w:rFonts w:hint="default" w:hAnsi="宋体"/>
          <w:b/>
          <w:bCs/>
          <w:sz w:val="32"/>
          <w:szCs w:val="32"/>
        </w:rPr>
        <w:t>一审服判息诉率</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80%，实际完成值82.21%，分值4分，得分4分，得分率100.00%。反映法院在一审案件处理中，能让多数当事人服判息诉，审判工作在定分止争方面取得一定成效，在提升一审案件审判质量和释法说理方面有积极表现。</w:t>
      </w:r>
    </w:p>
    <w:p w14:paraId="2027075F">
      <w:pPr>
        <w:spacing w:line="560" w:lineRule="exact"/>
        <w:ind w:firstLine="640"/>
        <w:rPr>
          <w:rFonts w:hint="default" w:hAnsi="宋体"/>
          <w:sz w:val="32"/>
          <w:szCs w:val="32"/>
        </w:rPr>
      </w:pPr>
      <w:r>
        <w:rPr>
          <w:rFonts w:hint="default" w:hAnsi="宋体"/>
          <w:b/>
          <w:bCs/>
          <w:sz w:val="32"/>
          <w:szCs w:val="32"/>
        </w:rPr>
        <w:t>办案经费支付及时率</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100%，实际完成值100%，分值4分，得分4分，得分率100.00%。</w:t>
      </w:r>
      <w:r>
        <w:rPr>
          <w:rFonts w:hint="eastAsia" w:hAnsi="宋体"/>
          <w:sz w:val="32"/>
          <w:szCs w:val="32"/>
          <w:lang w:val="en-US" w:eastAsia="zh-CN"/>
        </w:rPr>
        <w:t>体现我</w:t>
      </w:r>
      <w:r>
        <w:rPr>
          <w:rFonts w:hint="default" w:hAnsi="宋体"/>
          <w:sz w:val="32"/>
          <w:szCs w:val="32"/>
          <w:lang w:val="en-US" w:eastAsia="zh-CN"/>
        </w:rPr>
        <w:t>院在办案经费支付方面能够做到及时足额，有力保障了办案工作的顺利开展，避免因经费问题影响案件办理进度和质量。</w:t>
      </w:r>
    </w:p>
    <w:p w14:paraId="322E68A2">
      <w:pPr>
        <w:spacing w:line="560" w:lineRule="exact"/>
        <w:ind w:firstLine="640"/>
        <w:rPr>
          <w:rFonts w:hint="default" w:hAnsi="宋体"/>
          <w:sz w:val="32"/>
          <w:szCs w:val="32"/>
        </w:rPr>
      </w:pPr>
      <w:r>
        <w:rPr>
          <w:rFonts w:hint="default" w:hAnsi="宋体"/>
          <w:b/>
          <w:bCs/>
          <w:sz w:val="32"/>
          <w:szCs w:val="32"/>
        </w:rPr>
        <w:t>法定审限内结案率</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80%，实际完成值99.97%，分值4分，得分2.5分，得分率62.50%。虽然实际结案率远高于指标，得分较低计分异常原因在于年度指标值和实际完成值相差较大，绩效评分标准有待修正。</w:t>
      </w:r>
    </w:p>
    <w:p w14:paraId="6CB53ACC">
      <w:pPr>
        <w:spacing w:line="560" w:lineRule="exact"/>
        <w:ind w:firstLine="640"/>
        <w:rPr>
          <w:rFonts w:hint="default" w:hAnsi="宋体"/>
          <w:sz w:val="32"/>
          <w:szCs w:val="32"/>
        </w:rPr>
      </w:pPr>
      <w:r>
        <w:rPr>
          <w:rFonts w:hint="default" w:hAnsi="宋体"/>
          <w:b/>
          <w:bCs/>
          <w:sz w:val="32"/>
          <w:szCs w:val="32"/>
        </w:rPr>
        <w:t>水电暖服务保障工作及时性</w:t>
      </w:r>
      <w:r>
        <w:rPr>
          <w:rFonts w:hint="eastAsia" w:hAnsi="宋体"/>
          <w:b/>
          <w:bCs/>
          <w:sz w:val="32"/>
          <w:szCs w:val="32"/>
          <w:lang w:eastAsia="zh-CN"/>
        </w:rPr>
        <w:t>：</w:t>
      </w:r>
      <w:r>
        <w:rPr>
          <w:rFonts w:hint="default" w:hAnsi="宋体"/>
          <w:sz w:val="32"/>
          <w:szCs w:val="32"/>
          <w:lang w:val="en-US" w:eastAsia="zh-CN"/>
        </w:rPr>
        <w:t>年度指标为及时，</w:t>
      </w:r>
      <w:r>
        <w:rPr>
          <w:rFonts w:hint="eastAsia" w:hAnsi="宋体"/>
          <w:sz w:val="32"/>
          <w:szCs w:val="32"/>
          <w:lang w:val="en-US" w:eastAsia="zh-CN"/>
        </w:rPr>
        <w:t>实际完成值</w:t>
      </w:r>
      <w:r>
        <w:rPr>
          <w:rFonts w:hint="default" w:hAnsi="宋体"/>
          <w:sz w:val="32"/>
          <w:szCs w:val="32"/>
          <w:lang w:val="en-US" w:eastAsia="zh-CN"/>
        </w:rPr>
        <w:t>100%-80%</w:t>
      </w:r>
      <w:r>
        <w:rPr>
          <w:rFonts w:hint="eastAsia" w:hAnsi="宋体"/>
          <w:sz w:val="32"/>
          <w:szCs w:val="32"/>
          <w:lang w:val="en-US" w:eastAsia="zh-CN"/>
        </w:rPr>
        <w:t>（</w:t>
      </w:r>
      <w:r>
        <w:rPr>
          <w:rFonts w:hint="default" w:hAnsi="宋体"/>
          <w:sz w:val="32"/>
          <w:szCs w:val="32"/>
          <w:lang w:val="en-US" w:eastAsia="zh-CN"/>
        </w:rPr>
        <w:t>含），分值4分，得分3.6分，得分率90.00%。</w:t>
      </w:r>
      <w:r>
        <w:rPr>
          <w:rFonts w:hint="eastAsia" w:hAnsi="宋体"/>
          <w:sz w:val="32"/>
          <w:szCs w:val="32"/>
          <w:lang w:val="en-US" w:eastAsia="zh-CN"/>
        </w:rPr>
        <w:t>说明我</w:t>
      </w:r>
      <w:r>
        <w:rPr>
          <w:rFonts w:hint="default" w:hAnsi="宋体"/>
          <w:sz w:val="32"/>
          <w:szCs w:val="32"/>
          <w:lang w:val="en-US" w:eastAsia="zh-CN"/>
        </w:rPr>
        <w:t>院在水电暖服务保障的及时性方面基本达标，在故障响应</w:t>
      </w:r>
      <w:r>
        <w:rPr>
          <w:rFonts w:hint="eastAsia" w:hAnsi="宋体"/>
          <w:sz w:val="32"/>
          <w:szCs w:val="32"/>
          <w:lang w:val="en-US" w:eastAsia="zh-CN"/>
        </w:rPr>
        <w:t>及</w:t>
      </w:r>
      <w:r>
        <w:rPr>
          <w:rFonts w:hint="default" w:hAnsi="宋体"/>
          <w:sz w:val="32"/>
          <w:szCs w:val="32"/>
          <w:lang w:val="en-US" w:eastAsia="zh-CN"/>
        </w:rPr>
        <w:t>处理的时效性上还能进一步优化。</w:t>
      </w:r>
    </w:p>
    <w:p w14:paraId="3529E0E7">
      <w:pPr>
        <w:spacing w:line="560" w:lineRule="exact"/>
        <w:ind w:firstLine="640"/>
        <w:rPr>
          <w:rFonts w:hint="default" w:hAnsi="宋体"/>
          <w:sz w:val="32"/>
          <w:szCs w:val="32"/>
        </w:rPr>
      </w:pPr>
      <w:r>
        <w:rPr>
          <w:rFonts w:hint="default" w:hAnsi="宋体"/>
          <w:b/>
          <w:bCs/>
          <w:sz w:val="32"/>
          <w:szCs w:val="32"/>
        </w:rPr>
        <w:t>维修维护及时性</w:t>
      </w:r>
      <w:r>
        <w:rPr>
          <w:rFonts w:hint="eastAsia" w:hAnsi="宋体"/>
          <w:b/>
          <w:bCs/>
          <w:sz w:val="32"/>
          <w:szCs w:val="32"/>
          <w:lang w:eastAsia="zh-CN"/>
        </w:rPr>
        <w:t>：</w:t>
      </w:r>
      <w:r>
        <w:rPr>
          <w:rFonts w:hint="default" w:hAnsi="宋体"/>
          <w:sz w:val="32"/>
          <w:szCs w:val="32"/>
          <w:lang w:val="en-US" w:eastAsia="zh-CN"/>
        </w:rPr>
        <w:t>年度指标为及时，</w:t>
      </w:r>
      <w:r>
        <w:rPr>
          <w:rFonts w:hint="eastAsia" w:hAnsi="宋体"/>
          <w:sz w:val="32"/>
          <w:szCs w:val="32"/>
          <w:lang w:val="en-US" w:eastAsia="zh-CN"/>
        </w:rPr>
        <w:t>完成值</w:t>
      </w:r>
      <w:r>
        <w:rPr>
          <w:rFonts w:hint="default" w:hAnsi="宋体"/>
          <w:sz w:val="32"/>
          <w:szCs w:val="32"/>
          <w:lang w:val="en-US" w:eastAsia="zh-CN"/>
        </w:rPr>
        <w:t>100%-80%</w:t>
      </w:r>
      <w:r>
        <w:rPr>
          <w:rFonts w:hint="eastAsia" w:hAnsi="宋体"/>
          <w:sz w:val="32"/>
          <w:szCs w:val="32"/>
          <w:lang w:val="en-US" w:eastAsia="zh-CN"/>
        </w:rPr>
        <w:t>（</w:t>
      </w:r>
      <w:r>
        <w:rPr>
          <w:rFonts w:hint="default" w:hAnsi="宋体"/>
          <w:sz w:val="32"/>
          <w:szCs w:val="32"/>
          <w:lang w:val="en-US" w:eastAsia="zh-CN"/>
        </w:rPr>
        <w:t>含），分值4分，得分3.6分，得分率90.00%。表明法院在维修维护工作的及时性上符合要求，在维修维护任务的响应速度</w:t>
      </w:r>
      <w:r>
        <w:rPr>
          <w:rFonts w:hint="eastAsia" w:hAnsi="宋体"/>
          <w:sz w:val="32"/>
          <w:szCs w:val="32"/>
          <w:lang w:val="en-US" w:eastAsia="zh-CN"/>
        </w:rPr>
        <w:t>及</w:t>
      </w:r>
      <w:r>
        <w:rPr>
          <w:rFonts w:hint="default" w:hAnsi="宋体"/>
          <w:sz w:val="32"/>
          <w:szCs w:val="32"/>
          <w:lang w:val="en-US" w:eastAsia="zh-CN"/>
        </w:rPr>
        <w:t>完成时间上，需进一步提高工作效率。</w:t>
      </w:r>
    </w:p>
    <w:p w14:paraId="6E443B4C">
      <w:pPr>
        <w:spacing w:line="560" w:lineRule="exact"/>
        <w:ind w:firstLine="643"/>
        <w:rPr>
          <w:b/>
          <w:bCs/>
          <w:sz w:val="32"/>
          <w:szCs w:val="32"/>
        </w:rPr>
      </w:pPr>
      <w:r>
        <w:rPr>
          <w:rFonts w:hint="eastAsia"/>
          <w:b/>
          <w:bCs/>
          <w:sz w:val="32"/>
          <w:szCs w:val="32"/>
        </w:rPr>
        <w:t>（3）效益指标</w:t>
      </w:r>
    </w:p>
    <w:p w14:paraId="21F1ABFD">
      <w:pPr>
        <w:spacing w:line="560" w:lineRule="exact"/>
        <w:ind w:firstLine="640"/>
        <w:rPr>
          <w:rFonts w:hint="eastAsia"/>
          <w:sz w:val="32"/>
          <w:szCs w:val="32"/>
        </w:rPr>
      </w:pPr>
      <w:r>
        <w:rPr>
          <w:rFonts w:hint="eastAsia"/>
          <w:sz w:val="32"/>
          <w:szCs w:val="32"/>
        </w:rPr>
        <w:t>本项目效益指标主要考虑经济效益、社会效益、生态效益三部分。总分值20分，得分</w:t>
      </w:r>
      <w:r>
        <w:rPr>
          <w:rFonts w:hint="eastAsia"/>
          <w:sz w:val="32"/>
          <w:szCs w:val="32"/>
          <w:lang w:val="en-US" w:eastAsia="zh-CN"/>
        </w:rPr>
        <w:t>17.99</w:t>
      </w:r>
      <w:r>
        <w:rPr>
          <w:rFonts w:hint="eastAsia"/>
          <w:sz w:val="32"/>
          <w:szCs w:val="32"/>
        </w:rPr>
        <w:t>分，得分率为</w:t>
      </w:r>
      <w:r>
        <w:rPr>
          <w:rFonts w:hint="eastAsia"/>
          <w:sz w:val="32"/>
          <w:szCs w:val="32"/>
          <w:lang w:val="en-US" w:eastAsia="zh-CN"/>
        </w:rPr>
        <w:t>89.95</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443"/>
        <w:gridCol w:w="1893"/>
        <w:gridCol w:w="1235"/>
        <w:gridCol w:w="1419"/>
        <w:gridCol w:w="731"/>
        <w:gridCol w:w="777"/>
        <w:gridCol w:w="1019"/>
      </w:tblGrid>
      <w:tr w14:paraId="0B8FA5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7" w:type="pct"/>
            <w:shd w:val="clear" w:color="auto" w:fill="BDD6EE"/>
            <w:vAlign w:val="center"/>
          </w:tcPr>
          <w:p w14:paraId="5C2C0EE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11" w:type="pct"/>
            <w:shd w:val="clear" w:color="auto" w:fill="BDD6EE"/>
            <w:vAlign w:val="center"/>
          </w:tcPr>
          <w:p w14:paraId="79C1ACE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25" w:type="pct"/>
            <w:shd w:val="clear" w:color="auto" w:fill="BDD6EE"/>
            <w:vAlign w:val="center"/>
          </w:tcPr>
          <w:p w14:paraId="2BAD371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1" w:type="pct"/>
            <w:shd w:val="clear" w:color="auto" w:fill="BDD6EE"/>
            <w:vAlign w:val="center"/>
          </w:tcPr>
          <w:p w14:paraId="32FDE50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429" w:type="pct"/>
            <w:shd w:val="clear" w:color="auto" w:fill="BDD6EE"/>
            <w:vAlign w:val="center"/>
          </w:tcPr>
          <w:p w14:paraId="5D3B942B">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56" w:type="pct"/>
            <w:shd w:val="clear" w:color="auto" w:fill="BDD6EE"/>
            <w:vAlign w:val="center"/>
          </w:tcPr>
          <w:p w14:paraId="70F24200">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98" w:type="pct"/>
            <w:shd w:val="clear" w:color="auto" w:fill="BDD6EE"/>
            <w:vAlign w:val="center"/>
          </w:tcPr>
          <w:p w14:paraId="417AE51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2A93FE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7" w:type="pct"/>
            <w:vAlign w:val="center"/>
          </w:tcPr>
          <w:p w14:paraId="3602A0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111" w:type="pct"/>
            <w:vAlign w:val="center"/>
          </w:tcPr>
          <w:p w14:paraId="14883A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挽回经济损失效果</w:t>
            </w:r>
          </w:p>
        </w:tc>
        <w:tc>
          <w:tcPr>
            <w:tcW w:w="725" w:type="pct"/>
            <w:vAlign w:val="center"/>
          </w:tcPr>
          <w:p w14:paraId="287D89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显著</w:t>
            </w:r>
          </w:p>
        </w:tc>
        <w:tc>
          <w:tcPr>
            <w:tcW w:w="831" w:type="pct"/>
            <w:vAlign w:val="center"/>
          </w:tcPr>
          <w:p w14:paraId="425CF7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29" w:type="pct"/>
            <w:vAlign w:val="center"/>
          </w:tcPr>
          <w:p w14:paraId="08C3BF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456" w:type="pct"/>
            <w:vAlign w:val="center"/>
          </w:tcPr>
          <w:p w14:paraId="696C41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98" w:type="pct"/>
            <w:vAlign w:val="center"/>
          </w:tcPr>
          <w:p w14:paraId="49A276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5B7CD2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7" w:type="pct"/>
            <w:vAlign w:val="center"/>
          </w:tcPr>
          <w:p w14:paraId="1B4B00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111" w:type="pct"/>
            <w:vAlign w:val="center"/>
          </w:tcPr>
          <w:p w14:paraId="14C924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有效保障审判服务</w:t>
            </w:r>
          </w:p>
        </w:tc>
        <w:tc>
          <w:tcPr>
            <w:tcW w:w="725" w:type="pct"/>
            <w:vAlign w:val="center"/>
          </w:tcPr>
          <w:p w14:paraId="56402B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831" w:type="pct"/>
            <w:vAlign w:val="center"/>
          </w:tcPr>
          <w:p w14:paraId="0F5EE3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29" w:type="pct"/>
            <w:vAlign w:val="center"/>
          </w:tcPr>
          <w:p w14:paraId="174ADFE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456" w:type="pct"/>
            <w:vAlign w:val="center"/>
          </w:tcPr>
          <w:p w14:paraId="0666D7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98" w:type="pct"/>
            <w:vAlign w:val="center"/>
          </w:tcPr>
          <w:p w14:paraId="70D1CA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0C603F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7" w:type="pct"/>
            <w:vAlign w:val="center"/>
          </w:tcPr>
          <w:p w14:paraId="7440D7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1111" w:type="pct"/>
            <w:vAlign w:val="center"/>
          </w:tcPr>
          <w:p w14:paraId="67C95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打击生态犯罪，维护生态秩序</w:t>
            </w:r>
          </w:p>
        </w:tc>
        <w:tc>
          <w:tcPr>
            <w:tcW w:w="725" w:type="pct"/>
            <w:vAlign w:val="center"/>
          </w:tcPr>
          <w:p w14:paraId="0F93A1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有效维护</w:t>
            </w:r>
          </w:p>
        </w:tc>
        <w:tc>
          <w:tcPr>
            <w:tcW w:w="831" w:type="pct"/>
            <w:vAlign w:val="center"/>
          </w:tcPr>
          <w:p w14:paraId="327773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429" w:type="pct"/>
            <w:vAlign w:val="center"/>
          </w:tcPr>
          <w:p w14:paraId="6E784C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456" w:type="pct"/>
            <w:vAlign w:val="center"/>
          </w:tcPr>
          <w:p w14:paraId="43FCCF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598" w:type="pct"/>
            <w:vAlign w:val="center"/>
          </w:tcPr>
          <w:p w14:paraId="42A459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89.94%</w:t>
            </w:r>
          </w:p>
        </w:tc>
      </w:tr>
      <w:tr w14:paraId="776D73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516" w:type="pct"/>
            <w:gridSpan w:val="4"/>
            <w:shd w:val="clear" w:color="auto" w:fill="BDD6EE"/>
            <w:vAlign w:val="center"/>
          </w:tcPr>
          <w:p w14:paraId="3CB52962">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429" w:type="pct"/>
            <w:shd w:val="clear" w:color="auto" w:fill="BDD6EE"/>
            <w:vAlign w:val="center"/>
          </w:tcPr>
          <w:p w14:paraId="2A3A9E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56" w:type="pct"/>
            <w:shd w:val="clear" w:color="auto" w:fill="BDD6EE"/>
            <w:vAlign w:val="center"/>
          </w:tcPr>
          <w:p w14:paraId="6E2CE3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17.99</w:t>
            </w:r>
          </w:p>
        </w:tc>
        <w:tc>
          <w:tcPr>
            <w:tcW w:w="598" w:type="pct"/>
            <w:shd w:val="clear" w:color="auto" w:fill="BDD6EE"/>
            <w:vAlign w:val="center"/>
          </w:tcPr>
          <w:p w14:paraId="488AAC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89.95%</w:t>
            </w:r>
          </w:p>
        </w:tc>
      </w:tr>
    </w:tbl>
    <w:p w14:paraId="11D41527">
      <w:pPr>
        <w:spacing w:line="560" w:lineRule="exact"/>
        <w:ind w:firstLine="640"/>
        <w:rPr>
          <w:rFonts w:hint="default"/>
          <w:sz w:val="32"/>
          <w:szCs w:val="32"/>
        </w:rPr>
      </w:pPr>
      <w:r>
        <w:rPr>
          <w:rFonts w:hint="default"/>
          <w:b/>
          <w:bCs/>
          <w:sz w:val="32"/>
          <w:szCs w:val="32"/>
          <w:lang w:val="en-US" w:eastAsia="zh-CN"/>
        </w:rPr>
        <w:t>挽回经济损失效果</w:t>
      </w:r>
      <w:r>
        <w:rPr>
          <w:rFonts w:hint="eastAsia"/>
          <w:b/>
          <w:bCs/>
          <w:sz w:val="32"/>
          <w:szCs w:val="32"/>
          <w:lang w:val="en-US" w:eastAsia="zh-CN"/>
        </w:rPr>
        <w:t>：</w:t>
      </w:r>
      <w:r>
        <w:rPr>
          <w:rFonts w:hint="default"/>
          <w:sz w:val="32"/>
          <w:szCs w:val="32"/>
          <w:lang w:val="en-US" w:eastAsia="zh-CN"/>
        </w:rPr>
        <w:t>年度指标为显著，</w:t>
      </w:r>
      <w:r>
        <w:rPr>
          <w:rFonts w:hint="eastAsia"/>
          <w:sz w:val="32"/>
          <w:szCs w:val="32"/>
          <w:lang w:val="en-US" w:eastAsia="zh-CN"/>
        </w:rPr>
        <w:t>完成值</w:t>
      </w:r>
      <w:r>
        <w:rPr>
          <w:rFonts w:hint="default"/>
          <w:sz w:val="32"/>
          <w:szCs w:val="32"/>
          <w:lang w:val="en-US" w:eastAsia="zh-CN"/>
        </w:rPr>
        <w:t>100%-80%</w:t>
      </w:r>
      <w:r>
        <w:rPr>
          <w:rFonts w:hint="eastAsia"/>
          <w:sz w:val="32"/>
          <w:szCs w:val="32"/>
          <w:lang w:val="en-US" w:eastAsia="zh-CN"/>
        </w:rPr>
        <w:t>（</w:t>
      </w:r>
      <w:r>
        <w:rPr>
          <w:rFonts w:hint="default"/>
          <w:sz w:val="32"/>
          <w:szCs w:val="32"/>
          <w:lang w:val="en-US" w:eastAsia="zh-CN"/>
        </w:rPr>
        <w:t>含），分值6.67分，得分6分，得分率89.96%。</w:t>
      </w:r>
      <w:r>
        <w:rPr>
          <w:rFonts w:hint="eastAsia"/>
          <w:sz w:val="32"/>
          <w:szCs w:val="32"/>
          <w:lang w:val="en-US" w:eastAsia="zh-CN"/>
        </w:rPr>
        <w:t>说明我</w:t>
      </w:r>
      <w:r>
        <w:rPr>
          <w:rFonts w:hint="default"/>
          <w:sz w:val="32"/>
          <w:szCs w:val="32"/>
          <w:lang w:val="en-US" w:eastAsia="zh-CN"/>
        </w:rPr>
        <w:t>院在通过审判执行等工作挽回经济损失方面取得了较好成效，对维护当事人合法权益和社会经济秩序起到积极作用。</w:t>
      </w:r>
    </w:p>
    <w:p w14:paraId="1AA657F4">
      <w:pPr>
        <w:spacing w:line="560" w:lineRule="exact"/>
        <w:ind w:firstLine="640"/>
        <w:rPr>
          <w:rFonts w:hint="default"/>
          <w:sz w:val="32"/>
          <w:szCs w:val="32"/>
        </w:rPr>
      </w:pPr>
      <w:r>
        <w:rPr>
          <w:rFonts w:hint="default"/>
          <w:b/>
          <w:bCs/>
          <w:sz w:val="32"/>
          <w:szCs w:val="32"/>
        </w:rPr>
        <w:t>有效保障审判服务</w:t>
      </w:r>
      <w:r>
        <w:rPr>
          <w:rFonts w:hint="eastAsia"/>
          <w:b/>
          <w:bCs/>
          <w:sz w:val="32"/>
          <w:szCs w:val="32"/>
          <w:lang w:eastAsia="zh-CN"/>
        </w:rPr>
        <w:t>：</w:t>
      </w:r>
      <w:r>
        <w:rPr>
          <w:rFonts w:hint="default"/>
          <w:sz w:val="32"/>
          <w:szCs w:val="32"/>
          <w:lang w:val="en-US" w:eastAsia="zh-CN"/>
        </w:rPr>
        <w:t>年度指标为有效保障，</w:t>
      </w:r>
      <w:r>
        <w:rPr>
          <w:rFonts w:hint="eastAsia"/>
          <w:sz w:val="32"/>
          <w:szCs w:val="32"/>
          <w:lang w:val="en-US" w:eastAsia="zh-CN"/>
        </w:rPr>
        <w:t>完成值</w:t>
      </w:r>
      <w:r>
        <w:rPr>
          <w:rFonts w:hint="default"/>
          <w:sz w:val="32"/>
          <w:szCs w:val="32"/>
          <w:lang w:val="en-US" w:eastAsia="zh-CN"/>
        </w:rPr>
        <w:t>100%-80%</w:t>
      </w:r>
      <w:r>
        <w:rPr>
          <w:rFonts w:hint="eastAsia"/>
          <w:sz w:val="32"/>
          <w:szCs w:val="32"/>
          <w:lang w:val="en-US" w:eastAsia="zh-CN"/>
        </w:rPr>
        <w:t>（</w:t>
      </w:r>
      <w:r>
        <w:rPr>
          <w:rFonts w:hint="default"/>
          <w:sz w:val="32"/>
          <w:szCs w:val="32"/>
          <w:lang w:val="en-US" w:eastAsia="zh-CN"/>
        </w:rPr>
        <w:t>含），分值6.67分，得分6分，得分率89.96%。</w:t>
      </w:r>
      <w:r>
        <w:rPr>
          <w:rFonts w:hint="eastAsia"/>
          <w:sz w:val="32"/>
          <w:szCs w:val="32"/>
          <w:lang w:val="en-US" w:eastAsia="zh-CN"/>
        </w:rPr>
        <w:t>体现我</w:t>
      </w:r>
      <w:r>
        <w:rPr>
          <w:rFonts w:hint="default"/>
          <w:sz w:val="32"/>
          <w:szCs w:val="32"/>
          <w:lang w:val="en-US" w:eastAsia="zh-CN"/>
        </w:rPr>
        <w:t>院在利用业务费保障审判服务方面工作成效良好，为审判工作的顺利开展提供了有力支持。</w:t>
      </w:r>
    </w:p>
    <w:p w14:paraId="714A73C1">
      <w:pPr>
        <w:spacing w:line="560" w:lineRule="exact"/>
        <w:ind w:firstLine="640"/>
        <w:rPr>
          <w:rFonts w:hint="default"/>
          <w:sz w:val="32"/>
          <w:szCs w:val="32"/>
        </w:rPr>
      </w:pPr>
      <w:r>
        <w:rPr>
          <w:rFonts w:hint="default"/>
          <w:b/>
          <w:bCs/>
          <w:sz w:val="32"/>
          <w:szCs w:val="32"/>
        </w:rPr>
        <w:t>打击生态犯罪，维护生态秩序</w:t>
      </w:r>
      <w:r>
        <w:rPr>
          <w:rFonts w:hint="eastAsia"/>
          <w:b/>
          <w:bCs/>
          <w:sz w:val="32"/>
          <w:szCs w:val="32"/>
          <w:lang w:eastAsia="zh-CN"/>
        </w:rPr>
        <w:t>：</w:t>
      </w:r>
      <w:r>
        <w:rPr>
          <w:rFonts w:hint="default"/>
          <w:sz w:val="32"/>
          <w:szCs w:val="32"/>
          <w:lang w:val="en-US" w:eastAsia="zh-CN"/>
        </w:rPr>
        <w:t>年度指标为有效维护</w:t>
      </w:r>
      <w:r>
        <w:rPr>
          <w:rFonts w:hint="eastAsia"/>
          <w:sz w:val="32"/>
          <w:szCs w:val="32"/>
          <w:lang w:val="en-US" w:eastAsia="zh-CN"/>
        </w:rPr>
        <w:t>完成值</w:t>
      </w:r>
      <w:r>
        <w:rPr>
          <w:rFonts w:hint="default"/>
          <w:sz w:val="32"/>
          <w:szCs w:val="32"/>
          <w:lang w:val="en-US" w:eastAsia="zh-CN"/>
        </w:rPr>
        <w:t>100%-80%</w:t>
      </w:r>
      <w:r>
        <w:rPr>
          <w:rFonts w:hint="eastAsia"/>
          <w:sz w:val="32"/>
          <w:szCs w:val="32"/>
          <w:lang w:val="en-US" w:eastAsia="zh-CN"/>
        </w:rPr>
        <w:t>（</w:t>
      </w:r>
      <w:r>
        <w:rPr>
          <w:rFonts w:hint="default"/>
          <w:sz w:val="32"/>
          <w:szCs w:val="32"/>
          <w:lang w:val="en-US" w:eastAsia="zh-CN"/>
        </w:rPr>
        <w:t>含），分值6.66分，得分5.99分，得分率89.94%。</w:t>
      </w:r>
      <w:r>
        <w:rPr>
          <w:rFonts w:hint="eastAsia"/>
          <w:sz w:val="32"/>
          <w:szCs w:val="32"/>
          <w:lang w:val="en-US" w:eastAsia="zh-CN"/>
        </w:rPr>
        <w:t>说明我</w:t>
      </w:r>
      <w:r>
        <w:rPr>
          <w:rFonts w:hint="default"/>
          <w:sz w:val="32"/>
          <w:szCs w:val="32"/>
          <w:lang w:val="en-US" w:eastAsia="zh-CN"/>
        </w:rPr>
        <w:t>院在打击生态犯罪、维护生态秩序方面发挥了积极作用，通过司法审判有力惩治相关犯罪行为，在持续加强生态司法保护工作上仍需努力。</w:t>
      </w:r>
    </w:p>
    <w:p w14:paraId="6137436A">
      <w:pPr>
        <w:numPr>
          <w:ilvl w:val="255"/>
          <w:numId w:val="0"/>
        </w:numPr>
        <w:spacing w:line="560" w:lineRule="exact"/>
        <w:ind w:firstLine="643" w:firstLineChars="200"/>
        <w:rPr>
          <w:b/>
          <w:bCs/>
          <w:sz w:val="32"/>
          <w:szCs w:val="32"/>
        </w:rPr>
      </w:pPr>
      <w:r>
        <w:rPr>
          <w:rFonts w:hint="eastAsia"/>
          <w:b/>
          <w:bCs/>
          <w:sz w:val="32"/>
          <w:szCs w:val="32"/>
        </w:rPr>
        <w:t>（4）满意度指标</w:t>
      </w:r>
    </w:p>
    <w:p w14:paraId="1DD49DD3">
      <w:pPr>
        <w:spacing w:line="560" w:lineRule="exact"/>
        <w:ind w:firstLine="640"/>
        <w:rPr>
          <w:rFonts w:hAnsi="宋体"/>
          <w:sz w:val="32"/>
          <w:szCs w:val="32"/>
        </w:rPr>
      </w:pPr>
      <w:r>
        <w:rPr>
          <w:rFonts w:hint="eastAsia" w:hAnsi="宋体"/>
          <w:sz w:val="32"/>
          <w:szCs w:val="32"/>
        </w:rPr>
        <w:t>服务对象满意度主要为当事人满意程度和干警满意程度，该指标分值合计10分，自评得分10分，得分率为100%。</w:t>
      </w:r>
    </w:p>
    <w:tbl>
      <w:tblPr>
        <w:tblStyle w:val="22"/>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36"/>
        <w:gridCol w:w="1705"/>
        <w:gridCol w:w="1250"/>
        <w:gridCol w:w="1234"/>
        <w:gridCol w:w="698"/>
        <w:gridCol w:w="674"/>
        <w:gridCol w:w="922"/>
      </w:tblGrid>
      <w:tr w14:paraId="4B8A03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4" w:type="pct"/>
            <w:shd w:val="clear" w:color="auto" w:fill="BDD6EE"/>
            <w:vAlign w:val="center"/>
          </w:tcPr>
          <w:p w14:paraId="554C68F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00" w:type="pct"/>
            <w:shd w:val="clear" w:color="auto" w:fill="BDD6EE"/>
            <w:vAlign w:val="center"/>
          </w:tcPr>
          <w:p w14:paraId="7EC42BB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33" w:type="pct"/>
            <w:shd w:val="clear" w:color="auto" w:fill="BDD6EE"/>
            <w:vAlign w:val="center"/>
          </w:tcPr>
          <w:p w14:paraId="163D3B7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24" w:type="pct"/>
            <w:shd w:val="clear" w:color="auto" w:fill="BDD6EE"/>
            <w:vAlign w:val="center"/>
          </w:tcPr>
          <w:p w14:paraId="12DF4B4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409" w:type="pct"/>
            <w:shd w:val="clear" w:color="auto" w:fill="BDD6EE"/>
            <w:vAlign w:val="center"/>
          </w:tcPr>
          <w:p w14:paraId="4A820427">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395" w:type="pct"/>
            <w:shd w:val="clear" w:color="auto" w:fill="BDD6EE"/>
            <w:vAlign w:val="center"/>
          </w:tcPr>
          <w:p w14:paraId="577AE1B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41" w:type="pct"/>
            <w:shd w:val="clear" w:color="auto" w:fill="BDD6EE"/>
            <w:vAlign w:val="center"/>
          </w:tcPr>
          <w:p w14:paraId="45CDD39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53A3BC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4" w:type="pct"/>
            <w:vMerge w:val="restart"/>
            <w:vAlign w:val="center"/>
          </w:tcPr>
          <w:p w14:paraId="6BBB64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00" w:type="pct"/>
            <w:vAlign w:val="center"/>
          </w:tcPr>
          <w:p w14:paraId="129846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当事人满意程度</w:t>
            </w:r>
          </w:p>
        </w:tc>
        <w:tc>
          <w:tcPr>
            <w:tcW w:w="733" w:type="pct"/>
            <w:vAlign w:val="center"/>
          </w:tcPr>
          <w:p w14:paraId="0E7307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24" w:type="pct"/>
            <w:vAlign w:val="center"/>
          </w:tcPr>
          <w:p w14:paraId="1A5F87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409" w:type="pct"/>
            <w:vAlign w:val="center"/>
          </w:tcPr>
          <w:p w14:paraId="7EE1EF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95" w:type="pct"/>
            <w:vAlign w:val="center"/>
          </w:tcPr>
          <w:p w14:paraId="14932A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41" w:type="pct"/>
            <w:vAlign w:val="center"/>
          </w:tcPr>
          <w:p w14:paraId="68DDE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96C2E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4" w:type="pct"/>
            <w:vMerge w:val="continue"/>
            <w:vAlign w:val="center"/>
          </w:tcPr>
          <w:p w14:paraId="42A33D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00" w:type="pct"/>
            <w:vAlign w:val="center"/>
          </w:tcPr>
          <w:p w14:paraId="54C7EE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干警满意程度</w:t>
            </w:r>
          </w:p>
        </w:tc>
        <w:tc>
          <w:tcPr>
            <w:tcW w:w="733" w:type="pct"/>
            <w:vAlign w:val="center"/>
          </w:tcPr>
          <w:p w14:paraId="4D341C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24" w:type="pct"/>
            <w:vAlign w:val="center"/>
          </w:tcPr>
          <w:p w14:paraId="4D0D5C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409" w:type="pct"/>
            <w:vAlign w:val="center"/>
          </w:tcPr>
          <w:p w14:paraId="115AB3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95" w:type="pct"/>
            <w:vAlign w:val="center"/>
          </w:tcPr>
          <w:p w14:paraId="6054D4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41" w:type="pct"/>
            <w:vAlign w:val="center"/>
          </w:tcPr>
          <w:p w14:paraId="047752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A1003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53" w:type="pct"/>
            <w:gridSpan w:val="4"/>
            <w:shd w:val="clear" w:color="auto" w:fill="BDD6EE"/>
            <w:vAlign w:val="center"/>
          </w:tcPr>
          <w:p w14:paraId="17796143">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409" w:type="pct"/>
            <w:shd w:val="clear" w:color="auto" w:fill="BDD6EE"/>
            <w:vAlign w:val="center"/>
          </w:tcPr>
          <w:p w14:paraId="5C37B53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395" w:type="pct"/>
            <w:shd w:val="clear" w:color="auto" w:fill="BDD6EE"/>
            <w:vAlign w:val="center"/>
          </w:tcPr>
          <w:p w14:paraId="328FBFD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541" w:type="pct"/>
            <w:shd w:val="clear" w:color="auto" w:fill="BDD6EE"/>
            <w:vAlign w:val="center"/>
          </w:tcPr>
          <w:p w14:paraId="3A82E68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32579E3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sz w:val="32"/>
          <w:szCs w:val="24"/>
          <w:highlight w:val="none"/>
          <w:lang w:val="en-US" w:eastAsia="zh-CN"/>
        </w:rPr>
      </w:pPr>
      <w:r>
        <w:rPr>
          <w:rFonts w:hint="default"/>
          <w:b/>
          <w:bCs/>
          <w:sz w:val="32"/>
          <w:szCs w:val="24"/>
          <w:highlight w:val="none"/>
          <w:lang w:val="en-US" w:eastAsia="zh-CN"/>
        </w:rPr>
        <w:t>当事人满意程度</w:t>
      </w:r>
      <w:r>
        <w:rPr>
          <w:rFonts w:hint="eastAsia"/>
          <w:b/>
          <w:bCs/>
          <w:sz w:val="32"/>
          <w:szCs w:val="24"/>
          <w:highlight w:val="none"/>
          <w:lang w:val="en-US" w:eastAsia="zh-CN"/>
        </w:rPr>
        <w:t>：</w:t>
      </w:r>
      <w:r>
        <w:rPr>
          <w:rFonts w:hint="default"/>
          <w:sz w:val="32"/>
          <w:szCs w:val="24"/>
          <w:highlight w:val="none"/>
          <w:lang w:val="en-US" w:eastAsia="zh-CN"/>
        </w:rPr>
        <w:t>年度指标</w:t>
      </w:r>
      <w:r>
        <w:rPr>
          <w:rFonts w:hint="eastAsia"/>
          <w:sz w:val="32"/>
          <w:szCs w:val="24"/>
          <w:highlight w:val="none"/>
          <w:lang w:val="en-US" w:eastAsia="zh-CN"/>
        </w:rPr>
        <w:t>大于等于</w:t>
      </w:r>
      <w:r>
        <w:rPr>
          <w:rFonts w:hint="default"/>
          <w:sz w:val="32"/>
          <w:szCs w:val="24"/>
          <w:highlight w:val="none"/>
          <w:lang w:val="en-US" w:eastAsia="zh-CN"/>
        </w:rPr>
        <w:t>90%，实际完成值96%，分值5分，得分5分，得分率100.00%。表明法院在司法服务和案件处理上得到当事人较高认可，通过公正审判、高效执行等工作，保障了当事人合法权益，提升了司法公信力和群众满意度。</w:t>
      </w:r>
    </w:p>
    <w:p w14:paraId="4BA00428">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sz w:val="32"/>
          <w:szCs w:val="24"/>
          <w:highlight w:val="none"/>
          <w:lang w:val="en-US" w:eastAsia="zh-CN"/>
        </w:rPr>
      </w:pPr>
      <w:r>
        <w:rPr>
          <w:rFonts w:hint="default"/>
          <w:b/>
          <w:bCs/>
          <w:sz w:val="32"/>
          <w:szCs w:val="24"/>
          <w:highlight w:val="none"/>
          <w:lang w:val="en-US" w:eastAsia="zh-CN"/>
        </w:rPr>
        <w:t>干警满意程度</w:t>
      </w:r>
      <w:r>
        <w:rPr>
          <w:rFonts w:hint="eastAsia"/>
          <w:b/>
          <w:bCs/>
          <w:sz w:val="32"/>
          <w:szCs w:val="24"/>
          <w:highlight w:val="none"/>
          <w:lang w:val="en-US" w:eastAsia="zh-CN"/>
        </w:rPr>
        <w:t>：</w:t>
      </w:r>
      <w:r>
        <w:rPr>
          <w:rFonts w:hint="default"/>
          <w:sz w:val="32"/>
          <w:szCs w:val="24"/>
          <w:highlight w:val="none"/>
          <w:lang w:val="en-US" w:eastAsia="zh-CN"/>
        </w:rPr>
        <w:t>年度指标</w:t>
      </w:r>
      <w:r>
        <w:rPr>
          <w:rFonts w:hint="eastAsia"/>
          <w:sz w:val="32"/>
          <w:szCs w:val="24"/>
          <w:highlight w:val="none"/>
          <w:lang w:val="en-US" w:eastAsia="zh-CN"/>
        </w:rPr>
        <w:t>大于等于</w:t>
      </w:r>
      <w:r>
        <w:rPr>
          <w:rFonts w:hint="default"/>
          <w:sz w:val="32"/>
          <w:szCs w:val="24"/>
          <w:highlight w:val="none"/>
          <w:lang w:val="en-US" w:eastAsia="zh-CN"/>
        </w:rPr>
        <w:t>90%，实际完成值98%，分值5分，得分5分，得分率100.00%。</w:t>
      </w:r>
      <w:r>
        <w:rPr>
          <w:rFonts w:hint="eastAsia"/>
          <w:sz w:val="32"/>
          <w:szCs w:val="24"/>
          <w:highlight w:val="none"/>
          <w:lang w:val="en-US" w:eastAsia="zh-CN"/>
        </w:rPr>
        <w:t>说明我</w:t>
      </w:r>
      <w:r>
        <w:rPr>
          <w:rFonts w:hint="default"/>
          <w:sz w:val="32"/>
          <w:szCs w:val="24"/>
          <w:highlight w:val="none"/>
          <w:lang w:val="en-US" w:eastAsia="zh-CN"/>
        </w:rPr>
        <w:t>院在队伍建设和内部管理方面表现出色，通过合理使用业务费，在改善工作条件、提升福利待遇等方面成效显著，干警满意度高，有助于提升队伍的工作积极性和凝聚力。</w:t>
      </w:r>
    </w:p>
    <w:p w14:paraId="74B4D002">
      <w:pPr>
        <w:pStyle w:val="4"/>
        <w:spacing w:line="560" w:lineRule="exact"/>
        <w:ind w:firstLine="643"/>
        <w:rPr>
          <w:sz w:val="32"/>
        </w:rPr>
      </w:pPr>
      <w:r>
        <w:rPr>
          <w:rFonts w:hint="eastAsia"/>
          <w:sz w:val="32"/>
        </w:rPr>
        <w:t>4.偏离绩效目标的原因及下一步改进措施</w:t>
      </w:r>
    </w:p>
    <w:p w14:paraId="78492698">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24"/>
          <w:highlight w:val="none"/>
          <w:lang w:val="en-US" w:eastAsia="zh-CN"/>
        </w:rPr>
      </w:pPr>
      <w:r>
        <w:rPr>
          <w:rFonts w:hint="eastAsia"/>
          <w:sz w:val="32"/>
          <w:szCs w:val="24"/>
          <w:highlight w:val="none"/>
          <w:lang w:val="en-US" w:eastAsia="zh-CN"/>
        </w:rPr>
        <w:t>无。</w:t>
      </w:r>
    </w:p>
    <w:p w14:paraId="48F3AB0B">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8" w:name="_Toc23765"/>
      <w:bookmarkStart w:id="69" w:name="_Toc5325"/>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8"/>
      <w:bookmarkEnd w:id="69"/>
    </w:p>
    <w:p w14:paraId="3BFBE13B">
      <w:pPr>
        <w:pStyle w:val="8"/>
        <w:ind w:left="0" w:leftChars="0" w:firstLine="640" w:firstLineChars="200"/>
        <w:rPr>
          <w:rFonts w:hint="eastAsia"/>
          <w:color w:val="000000" w:themeColor="text1"/>
          <w:sz w:val="32"/>
          <w:szCs w:val="32"/>
        </w:rPr>
      </w:pPr>
      <w:r>
        <w:rPr>
          <w:rFonts w:hint="eastAsia"/>
          <w:color w:val="000000" w:themeColor="text1"/>
          <w:sz w:val="32"/>
          <w:szCs w:val="32"/>
        </w:rPr>
        <w:t>本次绩效自评综合评定</w:t>
      </w:r>
      <w:r>
        <w:rPr>
          <w:rFonts w:hint="eastAsia"/>
          <w:color w:val="000000" w:themeColor="text1"/>
          <w:sz w:val="32"/>
          <w:szCs w:val="32"/>
          <w:lang w:eastAsia="zh-CN"/>
        </w:rPr>
        <w:t>2024年</w:t>
      </w:r>
      <w:r>
        <w:rPr>
          <w:rFonts w:hint="eastAsia"/>
          <w:color w:val="000000" w:themeColor="text1"/>
          <w:sz w:val="32"/>
          <w:szCs w:val="32"/>
          <w:lang w:val="en-US" w:eastAsia="zh-CN"/>
        </w:rPr>
        <w:t>法庭运维费</w:t>
      </w:r>
      <w:r>
        <w:rPr>
          <w:rFonts w:hint="eastAsia"/>
          <w:color w:val="000000" w:themeColor="text1"/>
          <w:sz w:val="32"/>
          <w:szCs w:val="32"/>
        </w:rPr>
        <w:t>项目支出绩效得分为</w:t>
      </w:r>
      <w:r>
        <w:rPr>
          <w:rFonts w:hint="eastAsia"/>
          <w:color w:val="000000" w:themeColor="text1"/>
          <w:sz w:val="32"/>
          <w:szCs w:val="32"/>
          <w:lang w:val="en-US" w:eastAsia="zh-CN"/>
        </w:rPr>
        <w:t>93.27</w:t>
      </w:r>
      <w:r>
        <w:rPr>
          <w:rFonts w:hint="eastAsia"/>
          <w:color w:val="000000" w:themeColor="text1"/>
          <w:sz w:val="32"/>
          <w:szCs w:val="32"/>
        </w:rPr>
        <w:t>分，绩效等级为“</w:t>
      </w:r>
      <w:r>
        <w:rPr>
          <w:rFonts w:hint="eastAsia"/>
          <w:color w:val="000000" w:themeColor="text1"/>
          <w:sz w:val="32"/>
          <w:szCs w:val="32"/>
          <w:lang w:val="en-US" w:eastAsia="zh-CN"/>
        </w:rPr>
        <w:t>优</w:t>
      </w:r>
      <w:r>
        <w:rPr>
          <w:rFonts w:hint="eastAsia"/>
          <w:color w:val="000000" w:themeColor="text1"/>
          <w:sz w:val="32"/>
          <w:szCs w:val="32"/>
        </w:rPr>
        <w:t>”。项目支出绩效评价包括</w:t>
      </w:r>
      <w:r>
        <w:rPr>
          <w:rFonts w:hint="eastAsia" w:cs="仿宋_GB2312"/>
          <w:color w:val="000000" w:themeColor="text1"/>
          <w:sz w:val="32"/>
          <w:szCs w:val="32"/>
          <w:lang w:val="en-US" w:eastAsia="zh-CN"/>
        </w:rPr>
        <w:t>成本</w:t>
      </w:r>
      <w:r>
        <w:rPr>
          <w:rFonts w:hint="eastAsia" w:cs="仿宋_GB2312"/>
          <w:color w:val="000000" w:themeColor="text1"/>
          <w:sz w:val="32"/>
          <w:szCs w:val="32"/>
        </w:rPr>
        <w:t>、</w:t>
      </w:r>
      <w:r>
        <w:rPr>
          <w:rFonts w:hint="eastAsia"/>
          <w:color w:val="000000" w:themeColor="text1"/>
          <w:sz w:val="32"/>
          <w:szCs w:val="32"/>
        </w:rPr>
        <w:t>产出、效益、满意度四个一级指标，下设</w:t>
      </w:r>
      <w:r>
        <w:rPr>
          <w:rFonts w:hint="eastAsia"/>
          <w:color w:val="000000" w:themeColor="text1"/>
          <w:sz w:val="32"/>
          <w:szCs w:val="32"/>
          <w:lang w:val="en-US" w:eastAsia="zh-CN"/>
        </w:rPr>
        <w:t>8</w:t>
      </w:r>
      <w:r>
        <w:rPr>
          <w:rFonts w:hint="eastAsia"/>
          <w:color w:val="000000" w:themeColor="text1"/>
          <w:sz w:val="32"/>
          <w:szCs w:val="32"/>
        </w:rPr>
        <w:t>个二级指标和</w:t>
      </w:r>
      <w:r>
        <w:rPr>
          <w:rFonts w:hint="eastAsia"/>
          <w:color w:val="000000" w:themeColor="text1"/>
          <w:sz w:val="32"/>
          <w:szCs w:val="32"/>
          <w:lang w:val="en-US" w:eastAsia="zh-CN"/>
        </w:rPr>
        <w:t>15</w:t>
      </w:r>
      <w:r>
        <w:rPr>
          <w:rFonts w:hint="eastAsia"/>
          <w:color w:val="000000" w:themeColor="text1"/>
          <w:sz w:val="32"/>
          <w:szCs w:val="32"/>
        </w:rPr>
        <w:t>个三级指标。一级指标得分情况详见下表：</w:t>
      </w:r>
    </w:p>
    <w:p w14:paraId="6BA29933">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w:t>
      </w:r>
      <w:r>
        <w:rPr>
          <w:rFonts w:hint="eastAsia" w:ascii="宋体" w:hAnsi="宋体" w:cs="宋体"/>
          <w:b/>
          <w:bCs/>
          <w:kern w:val="0"/>
          <w:sz w:val="24"/>
          <w:lang w:val="en-US" w:eastAsia="zh-CN"/>
        </w:rPr>
        <w:t>项目</w:t>
      </w:r>
      <w:r>
        <w:rPr>
          <w:rFonts w:hint="eastAsia" w:ascii="宋体" w:hAnsi="宋体" w:cs="宋体"/>
          <w:b/>
          <w:bCs/>
          <w:kern w:val="0"/>
          <w:sz w:val="24"/>
        </w:rPr>
        <w:t>支出</w:t>
      </w:r>
      <w:r>
        <w:rPr>
          <w:rFonts w:hint="eastAsia" w:ascii="宋体" w:hAnsi="宋体" w:cs="宋体"/>
          <w:b/>
          <w:bCs/>
          <w:kern w:val="0"/>
          <w:sz w:val="24"/>
          <w:lang w:eastAsia="zh-CN"/>
        </w:rPr>
        <w:t>绩效自评指标</w:t>
      </w:r>
      <w:r>
        <w:rPr>
          <w:rFonts w:hint="eastAsia" w:ascii="宋体" w:hAnsi="宋体" w:cs="宋体"/>
          <w:b/>
          <w:bCs/>
          <w:kern w:val="0"/>
          <w:sz w:val="24"/>
        </w:rPr>
        <w:t>得分情况</w:t>
      </w:r>
    </w:p>
    <w:tbl>
      <w:tblPr>
        <w:tblStyle w:val="22"/>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3504E3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4AB35F6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64" w:type="dxa"/>
            <w:shd w:val="clear" w:color="auto" w:fill="BDD6EE"/>
            <w:vAlign w:val="center"/>
          </w:tcPr>
          <w:p w14:paraId="336EAA5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2064" w:type="dxa"/>
            <w:shd w:val="clear" w:color="auto" w:fill="BDD6EE"/>
            <w:vAlign w:val="center"/>
          </w:tcPr>
          <w:p w14:paraId="535086E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2066" w:type="dxa"/>
            <w:shd w:val="clear" w:color="auto" w:fill="BDD6EE"/>
            <w:vAlign w:val="center"/>
          </w:tcPr>
          <w:p w14:paraId="1316770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2C29C2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6F1B5186">
            <w:pPr>
              <w:widowControl/>
              <w:ind w:left="0" w:leftChars="0"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预算执行率</w:t>
            </w:r>
          </w:p>
        </w:tc>
        <w:tc>
          <w:tcPr>
            <w:tcW w:w="2064" w:type="dxa"/>
            <w:vAlign w:val="center"/>
          </w:tcPr>
          <w:p w14:paraId="2603F1B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4" w:type="dxa"/>
            <w:vAlign w:val="center"/>
          </w:tcPr>
          <w:p w14:paraId="205DD82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6" w:type="dxa"/>
            <w:vAlign w:val="center"/>
          </w:tcPr>
          <w:p w14:paraId="2543AE6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0C525D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7C230E1">
            <w:pPr>
              <w:widowControl/>
              <w:ind w:left="0" w:leftChars="0" w:firstLine="0" w:firstLineChars="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成本指标</w:t>
            </w:r>
          </w:p>
        </w:tc>
        <w:tc>
          <w:tcPr>
            <w:tcW w:w="2064" w:type="dxa"/>
            <w:vAlign w:val="center"/>
          </w:tcPr>
          <w:p w14:paraId="23CFA40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0CA433C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19.45</w:t>
            </w:r>
          </w:p>
        </w:tc>
        <w:tc>
          <w:tcPr>
            <w:tcW w:w="2066" w:type="dxa"/>
            <w:vAlign w:val="center"/>
          </w:tcPr>
          <w:p w14:paraId="53CD3EE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97.25</w:t>
            </w:r>
            <w:r>
              <w:rPr>
                <w:rFonts w:hint="eastAsia" w:ascii="宋体" w:hAnsi="宋体" w:eastAsia="宋体" w:cs="宋体"/>
                <w:color w:val="000000"/>
                <w:kern w:val="0"/>
                <w:sz w:val="20"/>
                <w:szCs w:val="20"/>
                <w:lang w:bidi="ar"/>
              </w:rPr>
              <w:t>%</w:t>
            </w:r>
          </w:p>
        </w:tc>
      </w:tr>
      <w:tr w14:paraId="360DF5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A8552C7">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产出指标</w:t>
            </w:r>
          </w:p>
        </w:tc>
        <w:tc>
          <w:tcPr>
            <w:tcW w:w="2064" w:type="dxa"/>
            <w:vAlign w:val="center"/>
          </w:tcPr>
          <w:p w14:paraId="01DF381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40</w:t>
            </w:r>
          </w:p>
        </w:tc>
        <w:tc>
          <w:tcPr>
            <w:tcW w:w="2064" w:type="dxa"/>
            <w:vAlign w:val="center"/>
          </w:tcPr>
          <w:p w14:paraId="6C74D65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color w:val="000000"/>
                <w:kern w:val="0"/>
                <w:sz w:val="20"/>
                <w:szCs w:val="20"/>
                <w:lang w:val="en-US" w:eastAsia="zh-CN" w:bidi="ar"/>
              </w:rPr>
              <w:t>35.83</w:t>
            </w:r>
          </w:p>
        </w:tc>
        <w:tc>
          <w:tcPr>
            <w:tcW w:w="2066" w:type="dxa"/>
            <w:vAlign w:val="center"/>
          </w:tcPr>
          <w:p w14:paraId="4672F96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val="en-US" w:eastAsia="zh-CN" w:bidi="ar"/>
              </w:rPr>
              <w:t>89.58</w:t>
            </w:r>
            <w:r>
              <w:rPr>
                <w:rFonts w:hint="eastAsia" w:ascii="宋体" w:hAnsi="宋体" w:eastAsia="宋体" w:cs="宋体"/>
                <w:color w:val="000000"/>
                <w:kern w:val="0"/>
                <w:sz w:val="20"/>
                <w:szCs w:val="20"/>
                <w:lang w:bidi="ar"/>
              </w:rPr>
              <w:t>%</w:t>
            </w:r>
          </w:p>
        </w:tc>
      </w:tr>
      <w:tr w14:paraId="2EF737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AD5C44A">
            <w:pPr>
              <w:widowControl/>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效益指标</w:t>
            </w:r>
          </w:p>
        </w:tc>
        <w:tc>
          <w:tcPr>
            <w:tcW w:w="2064" w:type="dxa"/>
            <w:vAlign w:val="center"/>
          </w:tcPr>
          <w:p w14:paraId="316B535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434CA8A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17.99</w:t>
            </w:r>
          </w:p>
        </w:tc>
        <w:tc>
          <w:tcPr>
            <w:tcW w:w="2066" w:type="dxa"/>
            <w:vAlign w:val="center"/>
          </w:tcPr>
          <w:p w14:paraId="7CB708F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89.95</w:t>
            </w:r>
            <w:r>
              <w:rPr>
                <w:rFonts w:hint="eastAsia" w:ascii="宋体" w:hAnsi="宋体" w:eastAsia="宋体" w:cs="宋体"/>
                <w:color w:val="000000"/>
                <w:kern w:val="0"/>
                <w:sz w:val="20"/>
                <w:szCs w:val="20"/>
                <w:lang w:bidi="ar"/>
              </w:rPr>
              <w:t>%</w:t>
            </w:r>
          </w:p>
        </w:tc>
      </w:tr>
      <w:tr w14:paraId="44608E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E373BFA">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满意度指标</w:t>
            </w:r>
          </w:p>
        </w:tc>
        <w:tc>
          <w:tcPr>
            <w:tcW w:w="2064" w:type="dxa"/>
            <w:vAlign w:val="center"/>
          </w:tcPr>
          <w:p w14:paraId="199975D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w:t>
            </w:r>
          </w:p>
        </w:tc>
        <w:tc>
          <w:tcPr>
            <w:tcW w:w="2064" w:type="dxa"/>
            <w:vAlign w:val="center"/>
          </w:tcPr>
          <w:p w14:paraId="2E31507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w:t>
            </w:r>
          </w:p>
        </w:tc>
        <w:tc>
          <w:tcPr>
            <w:tcW w:w="2066" w:type="dxa"/>
            <w:vAlign w:val="center"/>
          </w:tcPr>
          <w:p w14:paraId="3E4AD95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3D2C30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26173D8D">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2064" w:type="dxa"/>
            <w:shd w:val="clear" w:color="auto" w:fill="BDD6EE"/>
            <w:vAlign w:val="center"/>
          </w:tcPr>
          <w:p w14:paraId="58A1B9C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bidi="ar"/>
              </w:rPr>
              <w:t>100</w:t>
            </w:r>
          </w:p>
        </w:tc>
        <w:tc>
          <w:tcPr>
            <w:tcW w:w="2064" w:type="dxa"/>
            <w:shd w:val="clear" w:color="auto" w:fill="BDD6EE"/>
            <w:vAlign w:val="center"/>
          </w:tcPr>
          <w:p w14:paraId="5F431DA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93.27</w:t>
            </w:r>
          </w:p>
        </w:tc>
        <w:tc>
          <w:tcPr>
            <w:tcW w:w="2066" w:type="dxa"/>
            <w:shd w:val="clear" w:color="auto" w:fill="BDD6EE"/>
            <w:vAlign w:val="center"/>
          </w:tcPr>
          <w:p w14:paraId="4F9E543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93.27</w:t>
            </w:r>
            <w:r>
              <w:rPr>
                <w:rFonts w:hint="eastAsia" w:ascii="宋体" w:hAnsi="宋体" w:eastAsia="宋体" w:cs="宋体"/>
                <w:color w:val="000000"/>
                <w:kern w:val="0"/>
                <w:sz w:val="20"/>
                <w:szCs w:val="20"/>
                <w:lang w:bidi="ar"/>
              </w:rPr>
              <w:t>%</w:t>
            </w:r>
          </w:p>
        </w:tc>
      </w:tr>
    </w:tbl>
    <w:p w14:paraId="4AC24BA5">
      <w:pPr>
        <w:pStyle w:val="4"/>
        <w:bidi w:val="0"/>
        <w:rPr>
          <w:sz w:val="32"/>
          <w:szCs w:val="32"/>
        </w:rPr>
      </w:pPr>
      <w:r>
        <w:rPr>
          <w:rFonts w:hint="eastAsia"/>
          <w:sz w:val="32"/>
          <w:szCs w:val="32"/>
          <w:lang w:val="en-US" w:eastAsia="zh-CN"/>
        </w:rPr>
        <w:t>1.</w:t>
      </w:r>
      <w:r>
        <w:rPr>
          <w:sz w:val="32"/>
          <w:szCs w:val="32"/>
        </w:rPr>
        <w:t>项目支出预算执行情况</w:t>
      </w:r>
    </w:p>
    <w:p w14:paraId="61CC367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spacing w:val="-5"/>
          <w:position w:val="26"/>
          <w:sz w:val="28"/>
          <w:szCs w:val="28"/>
          <w:lang w:val="en-US" w:eastAsia="zh-CN"/>
        </w:rPr>
      </w:pPr>
      <w:r>
        <w:rPr>
          <w:rFonts w:hint="eastAsia" w:ascii="仿宋_GB2312" w:hAnsi="仿宋_GB2312" w:eastAsia="仿宋_GB2312" w:cs="仿宋_GB2312"/>
          <w:color w:val="000000" w:themeColor="text1"/>
          <w:kern w:val="2"/>
          <w:sz w:val="32"/>
          <w:szCs w:val="32"/>
          <w:lang w:val="en-US" w:eastAsia="zh-CN" w:bidi="ar-SA"/>
        </w:rPr>
        <w:t>我院法庭运维费项目年初预算数</w:t>
      </w:r>
      <w:r>
        <w:rPr>
          <w:rFonts w:hint="eastAsia" w:cs="仿宋_GB2312"/>
          <w:color w:val="000000" w:themeColor="text1"/>
          <w:kern w:val="2"/>
          <w:sz w:val="32"/>
          <w:szCs w:val="32"/>
          <w:lang w:val="en-US" w:eastAsia="zh-CN" w:bidi="ar-SA"/>
        </w:rPr>
        <w:t>24.00</w:t>
      </w:r>
      <w:r>
        <w:rPr>
          <w:rFonts w:hint="eastAsia" w:ascii="仿宋_GB2312" w:hAnsi="仿宋_GB2312" w:eastAsia="仿宋_GB2312" w:cs="仿宋_GB2312"/>
          <w:color w:val="000000" w:themeColor="text1"/>
          <w:kern w:val="2"/>
          <w:sz w:val="32"/>
          <w:szCs w:val="32"/>
          <w:lang w:val="en-US" w:eastAsia="zh-CN" w:bidi="ar-SA"/>
        </w:rPr>
        <w:t>万元、全年预算数</w:t>
      </w:r>
      <w:r>
        <w:rPr>
          <w:rFonts w:hint="eastAsia" w:cs="仿宋_GB2312"/>
          <w:color w:val="000000" w:themeColor="text1"/>
          <w:kern w:val="2"/>
          <w:sz w:val="32"/>
          <w:szCs w:val="32"/>
          <w:lang w:val="en-US" w:eastAsia="zh-CN" w:bidi="ar-SA"/>
        </w:rPr>
        <w:t>24.00</w:t>
      </w:r>
      <w:r>
        <w:rPr>
          <w:rFonts w:hint="eastAsia" w:ascii="仿宋_GB2312" w:hAnsi="仿宋_GB2312" w:eastAsia="仿宋_GB2312" w:cs="仿宋_GB2312"/>
          <w:color w:val="000000" w:themeColor="text1"/>
          <w:kern w:val="2"/>
          <w:sz w:val="32"/>
          <w:szCs w:val="32"/>
          <w:lang w:val="en-US" w:eastAsia="zh-CN" w:bidi="ar-SA"/>
        </w:rPr>
        <w:t>万元，全年执行</w:t>
      </w:r>
      <w:r>
        <w:rPr>
          <w:rFonts w:hint="eastAsia" w:cs="仿宋_GB2312"/>
          <w:color w:val="000000" w:themeColor="text1"/>
          <w:kern w:val="2"/>
          <w:sz w:val="32"/>
          <w:szCs w:val="32"/>
          <w:lang w:val="en-US" w:eastAsia="zh-CN" w:bidi="ar-SA"/>
        </w:rPr>
        <w:t>24.00</w:t>
      </w:r>
      <w:r>
        <w:rPr>
          <w:rFonts w:hint="eastAsia" w:ascii="仿宋_GB2312" w:hAnsi="仿宋_GB2312" w:eastAsia="仿宋_GB2312" w:cs="仿宋_GB2312"/>
          <w:color w:val="000000" w:themeColor="text1"/>
          <w:kern w:val="2"/>
          <w:sz w:val="32"/>
          <w:szCs w:val="32"/>
          <w:lang w:val="en-US" w:eastAsia="zh-CN" w:bidi="ar-SA"/>
        </w:rPr>
        <w:t>万元，预算执行率100.00%，满分10分，得分10分。</w:t>
      </w:r>
    </w:p>
    <w:p w14:paraId="4A2EF6BF">
      <w:pPr>
        <w:pStyle w:val="4"/>
        <w:bidi w:val="0"/>
        <w:rPr>
          <w:sz w:val="32"/>
          <w:szCs w:val="32"/>
        </w:rPr>
      </w:pPr>
      <w:r>
        <w:rPr>
          <w:rFonts w:hint="eastAsia"/>
          <w:sz w:val="32"/>
          <w:szCs w:val="32"/>
          <w:lang w:val="en-US" w:eastAsia="zh-CN"/>
        </w:rPr>
        <w:t>2.</w:t>
      </w:r>
      <w:r>
        <w:rPr>
          <w:sz w:val="32"/>
          <w:szCs w:val="32"/>
        </w:rPr>
        <w:t>总体绩效目标完成情况分析</w:t>
      </w:r>
    </w:p>
    <w:p w14:paraId="5CF5BEB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通过2024年度法庭运维经费的投入，确保我院基层人民法庭办案办公的正常开展，更好地执行及维护国家法制、法律的权威，维护社会稳定和谐；保障基层法庭运行维护经费，改善基层法庭办案办公条件，提供稳定经费保障，确保基层法庭有一个良好的办案办公条件；改善基层法庭办案办公条件，提高基层法庭干警工作积极性。</w:t>
      </w:r>
    </w:p>
    <w:p w14:paraId="6100D4EE">
      <w:pPr>
        <w:pStyle w:val="4"/>
        <w:bidi w:val="0"/>
        <w:rPr>
          <w:sz w:val="32"/>
          <w:szCs w:val="32"/>
        </w:rPr>
      </w:pPr>
      <w:r>
        <w:rPr>
          <w:rFonts w:hint="eastAsia"/>
          <w:sz w:val="32"/>
          <w:szCs w:val="32"/>
          <w:lang w:val="en-US" w:eastAsia="zh-CN"/>
        </w:rPr>
        <w:t>3.</w:t>
      </w:r>
      <w:r>
        <w:rPr>
          <w:sz w:val="32"/>
          <w:szCs w:val="32"/>
        </w:rPr>
        <w:t>各项指标完成情况分析</w:t>
      </w:r>
    </w:p>
    <w:p w14:paraId="47E932B9">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 w:val="32"/>
          <w:szCs w:val="32"/>
          <w:lang w:val="en-US" w:eastAsia="zh-CN"/>
        </w:rPr>
      </w:pPr>
      <w:r>
        <w:rPr>
          <w:rFonts w:hint="eastAsia" w:hAnsi="宋体"/>
          <w:b/>
          <w:bCs/>
          <w:sz w:val="32"/>
          <w:szCs w:val="32"/>
          <w:lang w:val="en-US" w:eastAsia="zh-CN"/>
        </w:rPr>
        <w:t>（1）成本指标</w:t>
      </w:r>
    </w:p>
    <w:p w14:paraId="1D376A97">
      <w:pPr>
        <w:spacing w:line="560" w:lineRule="exact"/>
        <w:ind w:firstLine="640"/>
        <w:rPr>
          <w:sz w:val="32"/>
          <w:szCs w:val="32"/>
        </w:rPr>
      </w:pPr>
      <w:r>
        <w:rPr>
          <w:rFonts w:hint="eastAsia"/>
          <w:sz w:val="32"/>
          <w:szCs w:val="32"/>
        </w:rPr>
        <w:t>成本指标下设经济成本指标1个三级指标，指标分值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19.45</w:t>
      </w:r>
      <w:r>
        <w:rPr>
          <w:rFonts w:hint="eastAsia"/>
          <w:sz w:val="32"/>
          <w:szCs w:val="32"/>
        </w:rPr>
        <w:t>分，得分率为</w:t>
      </w:r>
      <w:r>
        <w:rPr>
          <w:rFonts w:hint="eastAsia"/>
          <w:sz w:val="32"/>
          <w:szCs w:val="32"/>
          <w:lang w:val="en-US" w:eastAsia="zh-CN"/>
        </w:rPr>
        <w:t>97.25</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32"/>
        <w:gridCol w:w="2040"/>
        <w:gridCol w:w="1275"/>
        <w:gridCol w:w="1425"/>
        <w:gridCol w:w="705"/>
        <w:gridCol w:w="780"/>
        <w:gridCol w:w="860"/>
      </w:tblGrid>
      <w:tr w14:paraId="359A35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0" w:type="pct"/>
            <w:shd w:val="clear" w:color="auto" w:fill="BDD6EE"/>
            <w:vAlign w:val="center"/>
          </w:tcPr>
          <w:p w14:paraId="035B2E7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97" w:type="pct"/>
            <w:shd w:val="clear" w:color="auto" w:fill="BDD6EE"/>
            <w:vAlign w:val="center"/>
          </w:tcPr>
          <w:p w14:paraId="6FCE452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48" w:type="pct"/>
            <w:shd w:val="clear" w:color="auto" w:fill="BDD6EE"/>
            <w:vAlign w:val="center"/>
          </w:tcPr>
          <w:p w14:paraId="519A289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6" w:type="pct"/>
            <w:shd w:val="clear" w:color="auto" w:fill="BDD6EE"/>
            <w:vAlign w:val="center"/>
          </w:tcPr>
          <w:p w14:paraId="553E4AF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413" w:type="pct"/>
            <w:shd w:val="clear" w:color="auto" w:fill="BDD6EE"/>
            <w:vAlign w:val="center"/>
          </w:tcPr>
          <w:p w14:paraId="68C6E15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57" w:type="pct"/>
            <w:shd w:val="clear" w:color="auto" w:fill="BDD6EE"/>
            <w:vAlign w:val="center"/>
          </w:tcPr>
          <w:p w14:paraId="44815E9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04" w:type="pct"/>
            <w:shd w:val="clear" w:color="auto" w:fill="BDD6EE"/>
            <w:vAlign w:val="center"/>
          </w:tcPr>
          <w:p w14:paraId="74B1D5E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209B52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0" w:type="pct"/>
            <w:vAlign w:val="center"/>
          </w:tcPr>
          <w:p w14:paraId="2B034B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经济成本指标</w:t>
            </w:r>
          </w:p>
        </w:tc>
        <w:tc>
          <w:tcPr>
            <w:tcW w:w="1197" w:type="pct"/>
            <w:vAlign w:val="center"/>
          </w:tcPr>
          <w:p w14:paraId="6AFDC5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年度预算控制率</w:t>
            </w:r>
          </w:p>
        </w:tc>
        <w:tc>
          <w:tcPr>
            <w:tcW w:w="748" w:type="pct"/>
            <w:vAlign w:val="center"/>
          </w:tcPr>
          <w:p w14:paraId="3A4351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836" w:type="pct"/>
            <w:vAlign w:val="center"/>
          </w:tcPr>
          <w:p w14:paraId="160E5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413" w:type="pct"/>
            <w:vAlign w:val="center"/>
          </w:tcPr>
          <w:p w14:paraId="10D9EF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57" w:type="pct"/>
            <w:vAlign w:val="center"/>
          </w:tcPr>
          <w:p w14:paraId="7EDBD94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19.45</w:t>
            </w:r>
          </w:p>
        </w:tc>
        <w:tc>
          <w:tcPr>
            <w:tcW w:w="504" w:type="pct"/>
            <w:vAlign w:val="center"/>
          </w:tcPr>
          <w:p w14:paraId="239CF9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97.25%</w:t>
            </w:r>
          </w:p>
        </w:tc>
      </w:tr>
      <w:tr w14:paraId="36D79A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23" w:type="pct"/>
            <w:gridSpan w:val="4"/>
            <w:shd w:val="clear" w:color="auto" w:fill="BDD6EE"/>
            <w:vAlign w:val="center"/>
          </w:tcPr>
          <w:p w14:paraId="6AD1FC65">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413" w:type="pct"/>
            <w:shd w:val="clear" w:color="auto" w:fill="BDD6EE"/>
            <w:vAlign w:val="center"/>
          </w:tcPr>
          <w:p w14:paraId="32FC2A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57" w:type="pct"/>
            <w:shd w:val="clear" w:color="auto" w:fill="BDD6EE"/>
            <w:vAlign w:val="center"/>
          </w:tcPr>
          <w:p w14:paraId="246EC23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19.45</w:t>
            </w:r>
          </w:p>
        </w:tc>
        <w:tc>
          <w:tcPr>
            <w:tcW w:w="504" w:type="pct"/>
            <w:shd w:val="clear" w:color="auto" w:fill="BDD6EE"/>
            <w:vAlign w:val="center"/>
          </w:tcPr>
          <w:p w14:paraId="40427C4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97.25</w:t>
            </w:r>
          </w:p>
        </w:tc>
      </w:tr>
    </w:tbl>
    <w:p w14:paraId="3EB6351E">
      <w:pPr>
        <w:spacing w:line="560" w:lineRule="exact"/>
        <w:ind w:firstLine="643"/>
        <w:rPr>
          <w:rFonts w:hAnsi="宋体"/>
          <w:sz w:val="32"/>
          <w:szCs w:val="32"/>
        </w:rPr>
      </w:pPr>
      <w:r>
        <w:rPr>
          <w:rFonts w:hint="eastAsia" w:hAnsi="宋体"/>
          <w:b/>
          <w:bCs/>
          <w:sz w:val="32"/>
          <w:szCs w:val="32"/>
        </w:rPr>
        <w:t>年度预算控制率</w:t>
      </w:r>
      <w:r>
        <w:rPr>
          <w:rFonts w:hint="eastAsia" w:ascii="仿宋_GB2312" w:hAnsi="宋体" w:eastAsia="仿宋_GB2312"/>
          <w:b/>
          <w:bCs/>
          <w:sz w:val="32"/>
          <w:szCs w:val="32"/>
        </w:rPr>
        <w:t>：</w:t>
      </w:r>
      <w:r>
        <w:rPr>
          <w:rFonts w:hint="eastAsia" w:hAnsi="宋体"/>
          <w:b w:val="0"/>
          <w:bCs w:val="0"/>
          <w:sz w:val="32"/>
          <w:szCs w:val="32"/>
        </w:rPr>
        <w:t>我院法庭运维</w:t>
      </w:r>
      <w:r>
        <w:rPr>
          <w:rFonts w:hint="eastAsia" w:hAnsi="宋体"/>
          <w:b w:val="0"/>
          <w:bCs w:val="0"/>
          <w:sz w:val="32"/>
          <w:szCs w:val="32"/>
          <w:lang w:val="en-US" w:eastAsia="zh-CN"/>
        </w:rPr>
        <w:t>费</w:t>
      </w:r>
      <w:r>
        <w:rPr>
          <w:rFonts w:hint="eastAsia" w:hAnsi="宋体"/>
          <w:b w:val="0"/>
          <w:bCs w:val="0"/>
          <w:sz w:val="32"/>
          <w:szCs w:val="32"/>
        </w:rPr>
        <w:t>年度预算控制率</w:t>
      </w:r>
      <w:r>
        <w:rPr>
          <w:rFonts w:hint="eastAsia" w:hAnsi="宋体" w:cs="宋体"/>
          <w:b w:val="0"/>
          <w:bCs w:val="0"/>
          <w:kern w:val="0"/>
          <w:sz w:val="32"/>
          <w:szCs w:val="32"/>
          <w:lang w:val="en-US" w:eastAsia="zh-CN"/>
        </w:rPr>
        <w:t>100%</w:t>
      </w:r>
      <w:r>
        <w:rPr>
          <w:rFonts w:hint="eastAsia" w:hAnsi="宋体" w:cs="宋体"/>
          <w:b w:val="0"/>
          <w:bCs w:val="0"/>
          <w:kern w:val="0"/>
          <w:sz w:val="32"/>
          <w:szCs w:val="32"/>
        </w:rPr>
        <w:t>，符合年度指标值的要求。</w:t>
      </w:r>
      <w:r>
        <w:rPr>
          <w:rFonts w:hint="eastAsia" w:hAnsi="宋体"/>
          <w:b w:val="0"/>
          <w:bCs w:val="0"/>
          <w:sz w:val="32"/>
          <w:szCs w:val="32"/>
        </w:rPr>
        <w:t>该指标分值</w:t>
      </w:r>
      <w:r>
        <w:rPr>
          <w:rFonts w:hint="eastAsia" w:hAnsi="宋体"/>
          <w:sz w:val="32"/>
          <w:szCs w:val="32"/>
          <w:lang w:val="en-US" w:eastAsia="zh-CN"/>
        </w:rPr>
        <w:t>合计2</w:t>
      </w:r>
      <w:r>
        <w:rPr>
          <w:rFonts w:hint="eastAsia" w:hAnsi="宋体"/>
          <w:sz w:val="32"/>
          <w:szCs w:val="32"/>
        </w:rPr>
        <w:t>0分，</w:t>
      </w:r>
      <w:r>
        <w:rPr>
          <w:rFonts w:hAnsi="宋体"/>
          <w:sz w:val="32"/>
          <w:szCs w:val="32"/>
        </w:rPr>
        <w:t>按评价标准得</w:t>
      </w:r>
      <w:r>
        <w:rPr>
          <w:rFonts w:hint="eastAsia" w:hAnsi="宋体"/>
          <w:sz w:val="32"/>
          <w:szCs w:val="32"/>
          <w:lang w:val="en-US" w:eastAsia="zh-CN"/>
        </w:rPr>
        <w:t>19.45</w:t>
      </w:r>
      <w:r>
        <w:rPr>
          <w:rFonts w:hAnsi="宋体"/>
          <w:sz w:val="32"/>
          <w:szCs w:val="32"/>
        </w:rPr>
        <w:t>分，</w:t>
      </w:r>
      <w:r>
        <w:rPr>
          <w:rFonts w:hint="eastAsia" w:hAnsi="宋体"/>
          <w:sz w:val="32"/>
          <w:szCs w:val="32"/>
        </w:rPr>
        <w:t>得分率为</w:t>
      </w:r>
      <w:r>
        <w:rPr>
          <w:rFonts w:hint="eastAsia" w:hAnsi="宋体"/>
          <w:sz w:val="32"/>
          <w:szCs w:val="32"/>
          <w:lang w:val="en-US" w:eastAsia="zh-CN"/>
        </w:rPr>
        <w:t>97.25</w:t>
      </w:r>
      <w:r>
        <w:rPr>
          <w:rFonts w:hAnsi="宋体"/>
          <w:sz w:val="32"/>
          <w:szCs w:val="32"/>
        </w:rPr>
        <w:t>%。</w:t>
      </w:r>
    </w:p>
    <w:p w14:paraId="23377D1F">
      <w:pPr>
        <w:spacing w:line="560" w:lineRule="exact"/>
        <w:ind w:firstLine="643"/>
        <w:rPr>
          <w:b/>
          <w:bCs/>
          <w:sz w:val="32"/>
          <w:szCs w:val="32"/>
        </w:rPr>
      </w:pPr>
      <w:r>
        <w:rPr>
          <w:rFonts w:hint="eastAsia"/>
          <w:b/>
          <w:bCs/>
          <w:sz w:val="32"/>
          <w:szCs w:val="32"/>
        </w:rPr>
        <w:t>（2）产出指标</w:t>
      </w:r>
    </w:p>
    <w:p w14:paraId="05A9BF5F">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35.83</w:t>
      </w:r>
      <w:r>
        <w:rPr>
          <w:rFonts w:hint="eastAsia" w:cs="仿宋_GB2312"/>
          <w:sz w:val="32"/>
          <w:szCs w:val="32"/>
        </w:rPr>
        <w:t>分，得分率为</w:t>
      </w:r>
      <w:r>
        <w:rPr>
          <w:rFonts w:hint="eastAsia" w:cs="仿宋_GB2312"/>
          <w:sz w:val="32"/>
          <w:szCs w:val="32"/>
          <w:lang w:val="en-US" w:eastAsia="zh-CN"/>
        </w:rPr>
        <w:t>89.58</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48"/>
        <w:gridCol w:w="2670"/>
        <w:gridCol w:w="1350"/>
        <w:gridCol w:w="1545"/>
        <w:gridCol w:w="735"/>
        <w:gridCol w:w="765"/>
        <w:gridCol w:w="956"/>
      </w:tblGrid>
      <w:tr w14:paraId="76ED57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shd w:val="clear" w:color="auto" w:fill="BDD6EE"/>
            <w:vAlign w:val="center"/>
          </w:tcPr>
          <w:p w14:paraId="314C0C4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70" w:type="dxa"/>
            <w:shd w:val="clear" w:color="auto" w:fill="BDD6EE"/>
            <w:vAlign w:val="center"/>
          </w:tcPr>
          <w:p w14:paraId="02B851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50" w:type="dxa"/>
            <w:shd w:val="clear" w:color="auto" w:fill="BDD6EE"/>
            <w:vAlign w:val="center"/>
          </w:tcPr>
          <w:p w14:paraId="7C76C6E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45" w:type="dxa"/>
            <w:shd w:val="clear" w:color="auto" w:fill="BDD6EE"/>
            <w:vAlign w:val="center"/>
          </w:tcPr>
          <w:p w14:paraId="20383C6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14:paraId="1C0BFC2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65" w:type="dxa"/>
            <w:shd w:val="clear" w:color="auto" w:fill="BDD6EE"/>
            <w:vAlign w:val="center"/>
          </w:tcPr>
          <w:p w14:paraId="7980DCA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56" w:type="dxa"/>
            <w:shd w:val="clear" w:color="auto" w:fill="BDD6EE"/>
            <w:vAlign w:val="center"/>
          </w:tcPr>
          <w:p w14:paraId="07D15C8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00A556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restart"/>
            <w:vAlign w:val="center"/>
          </w:tcPr>
          <w:p w14:paraId="1157C8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70" w:type="dxa"/>
            <w:vAlign w:val="center"/>
          </w:tcPr>
          <w:p w14:paraId="161DB7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案件结案率</w:t>
            </w:r>
          </w:p>
        </w:tc>
        <w:tc>
          <w:tcPr>
            <w:tcW w:w="1350" w:type="dxa"/>
            <w:vAlign w:val="center"/>
          </w:tcPr>
          <w:p w14:paraId="6079ECF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545" w:type="dxa"/>
            <w:vAlign w:val="center"/>
          </w:tcPr>
          <w:p w14:paraId="774A267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96.13</w:t>
            </w:r>
          </w:p>
        </w:tc>
        <w:tc>
          <w:tcPr>
            <w:tcW w:w="735" w:type="dxa"/>
            <w:vAlign w:val="center"/>
          </w:tcPr>
          <w:p w14:paraId="0D3C94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046452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w:t>
            </w:r>
          </w:p>
        </w:tc>
        <w:tc>
          <w:tcPr>
            <w:tcW w:w="956" w:type="dxa"/>
            <w:vAlign w:val="center"/>
          </w:tcPr>
          <w:p w14:paraId="205C35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74.55%</w:t>
            </w:r>
          </w:p>
        </w:tc>
      </w:tr>
      <w:tr w14:paraId="693007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14:paraId="224895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79A744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保障基层法庭个数</w:t>
            </w:r>
          </w:p>
        </w:tc>
        <w:tc>
          <w:tcPr>
            <w:tcW w:w="1350" w:type="dxa"/>
            <w:vAlign w:val="center"/>
          </w:tcPr>
          <w:p w14:paraId="1CD409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=3个</w:t>
            </w:r>
          </w:p>
        </w:tc>
        <w:tc>
          <w:tcPr>
            <w:tcW w:w="1545" w:type="dxa"/>
            <w:vAlign w:val="center"/>
          </w:tcPr>
          <w:p w14:paraId="6182EC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35" w:type="dxa"/>
            <w:vAlign w:val="center"/>
          </w:tcPr>
          <w:p w14:paraId="3D48E2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31CA18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56" w:type="dxa"/>
            <w:vAlign w:val="center"/>
          </w:tcPr>
          <w:p w14:paraId="2FC74E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22CD74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14:paraId="2C4EAA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11C444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维修维护工作完成率</w:t>
            </w:r>
          </w:p>
        </w:tc>
        <w:tc>
          <w:tcPr>
            <w:tcW w:w="1350" w:type="dxa"/>
            <w:vAlign w:val="center"/>
          </w:tcPr>
          <w:p w14:paraId="713319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545" w:type="dxa"/>
            <w:vAlign w:val="center"/>
          </w:tcPr>
          <w:p w14:paraId="3C0710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735" w:type="dxa"/>
            <w:vAlign w:val="center"/>
          </w:tcPr>
          <w:p w14:paraId="52F2207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57046F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56" w:type="dxa"/>
            <w:vAlign w:val="center"/>
          </w:tcPr>
          <w:p w14:paraId="03040E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55D70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restart"/>
            <w:vAlign w:val="center"/>
          </w:tcPr>
          <w:p w14:paraId="7826C0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70" w:type="dxa"/>
            <w:vAlign w:val="center"/>
          </w:tcPr>
          <w:p w14:paraId="37123C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法庭正常运转保障率</w:t>
            </w:r>
          </w:p>
        </w:tc>
        <w:tc>
          <w:tcPr>
            <w:tcW w:w="1350" w:type="dxa"/>
            <w:vAlign w:val="center"/>
          </w:tcPr>
          <w:p w14:paraId="36117E7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45" w:type="dxa"/>
            <w:vAlign w:val="center"/>
          </w:tcPr>
          <w:p w14:paraId="29771EC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355E99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1D98B8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56" w:type="dxa"/>
            <w:vAlign w:val="center"/>
          </w:tcPr>
          <w:p w14:paraId="1CAFFD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EA87D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14:paraId="49192B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548650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维修维护合格率</w:t>
            </w:r>
          </w:p>
        </w:tc>
        <w:tc>
          <w:tcPr>
            <w:tcW w:w="1350" w:type="dxa"/>
            <w:vAlign w:val="center"/>
          </w:tcPr>
          <w:p w14:paraId="0ED175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45" w:type="dxa"/>
            <w:vAlign w:val="center"/>
          </w:tcPr>
          <w:p w14:paraId="235DF26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6B07A2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37971E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956" w:type="dxa"/>
            <w:vAlign w:val="center"/>
          </w:tcPr>
          <w:p w14:paraId="66231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D6677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14:paraId="0875BB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725D27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一审服判息诉率</w:t>
            </w:r>
          </w:p>
        </w:tc>
        <w:tc>
          <w:tcPr>
            <w:tcW w:w="1350" w:type="dxa"/>
            <w:vAlign w:val="center"/>
          </w:tcPr>
          <w:p w14:paraId="38CF4A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545" w:type="dxa"/>
            <w:vAlign w:val="center"/>
          </w:tcPr>
          <w:p w14:paraId="429997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91.53</w:t>
            </w:r>
          </w:p>
        </w:tc>
        <w:tc>
          <w:tcPr>
            <w:tcW w:w="735" w:type="dxa"/>
            <w:vAlign w:val="center"/>
          </w:tcPr>
          <w:p w14:paraId="396458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11BFD1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w:t>
            </w:r>
          </w:p>
        </w:tc>
        <w:tc>
          <w:tcPr>
            <w:tcW w:w="956" w:type="dxa"/>
            <w:vAlign w:val="center"/>
          </w:tcPr>
          <w:p w14:paraId="79143C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88.96%</w:t>
            </w:r>
          </w:p>
        </w:tc>
      </w:tr>
      <w:tr w14:paraId="3FE09C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restart"/>
            <w:vAlign w:val="center"/>
          </w:tcPr>
          <w:p w14:paraId="7CCBEA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70" w:type="dxa"/>
            <w:vAlign w:val="center"/>
          </w:tcPr>
          <w:p w14:paraId="3E71FE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法定审限内结案率</w:t>
            </w:r>
          </w:p>
        </w:tc>
        <w:tc>
          <w:tcPr>
            <w:tcW w:w="1350" w:type="dxa"/>
            <w:vAlign w:val="center"/>
          </w:tcPr>
          <w:p w14:paraId="502CB2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545" w:type="dxa"/>
            <w:vAlign w:val="center"/>
          </w:tcPr>
          <w:p w14:paraId="2265E6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99.98</w:t>
            </w:r>
          </w:p>
        </w:tc>
        <w:tc>
          <w:tcPr>
            <w:tcW w:w="735" w:type="dxa"/>
            <w:vAlign w:val="center"/>
          </w:tcPr>
          <w:p w14:paraId="7D7CF4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76E6604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956" w:type="dxa"/>
            <w:vAlign w:val="center"/>
          </w:tcPr>
          <w:p w14:paraId="29A4EC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62.61%</w:t>
            </w:r>
          </w:p>
        </w:tc>
      </w:tr>
      <w:tr w14:paraId="1E065E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14:paraId="3E53F4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7736E8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法庭运维及时性</w:t>
            </w:r>
          </w:p>
        </w:tc>
        <w:tc>
          <w:tcPr>
            <w:tcW w:w="1350" w:type="dxa"/>
            <w:vAlign w:val="center"/>
          </w:tcPr>
          <w:p w14:paraId="5D1629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545" w:type="dxa"/>
            <w:vAlign w:val="center"/>
          </w:tcPr>
          <w:p w14:paraId="75857F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35" w:type="dxa"/>
            <w:vAlign w:val="center"/>
          </w:tcPr>
          <w:p w14:paraId="55D3FA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c>
          <w:tcPr>
            <w:tcW w:w="765" w:type="dxa"/>
            <w:vAlign w:val="center"/>
          </w:tcPr>
          <w:p w14:paraId="75108A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56" w:type="dxa"/>
            <w:vAlign w:val="center"/>
          </w:tcPr>
          <w:p w14:paraId="2BADD1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14:paraId="7E9247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14:paraId="0046CD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70" w:type="dxa"/>
            <w:vAlign w:val="center"/>
          </w:tcPr>
          <w:p w14:paraId="2B5B26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维修维护工作完成及时性</w:t>
            </w:r>
          </w:p>
        </w:tc>
        <w:tc>
          <w:tcPr>
            <w:tcW w:w="1350" w:type="dxa"/>
            <w:vAlign w:val="center"/>
          </w:tcPr>
          <w:p w14:paraId="62C080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545" w:type="dxa"/>
            <w:vAlign w:val="center"/>
          </w:tcPr>
          <w:p w14:paraId="247CBB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35" w:type="dxa"/>
            <w:vAlign w:val="center"/>
          </w:tcPr>
          <w:p w14:paraId="2964C0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4.48</w:t>
            </w:r>
          </w:p>
        </w:tc>
        <w:tc>
          <w:tcPr>
            <w:tcW w:w="765" w:type="dxa"/>
            <w:vAlign w:val="center"/>
          </w:tcPr>
          <w:p w14:paraId="48A10C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4.03</w:t>
            </w:r>
          </w:p>
        </w:tc>
        <w:tc>
          <w:tcPr>
            <w:tcW w:w="956" w:type="dxa"/>
            <w:vAlign w:val="center"/>
          </w:tcPr>
          <w:p w14:paraId="4F68EB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08CD30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13" w:type="dxa"/>
            <w:gridSpan w:val="4"/>
            <w:shd w:val="clear" w:color="auto" w:fill="BDD6EE"/>
            <w:vAlign w:val="center"/>
          </w:tcPr>
          <w:p w14:paraId="50D2FFF8">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14:paraId="60CBF55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65" w:type="dxa"/>
            <w:shd w:val="clear" w:color="auto" w:fill="BDD6EE"/>
            <w:vAlign w:val="center"/>
          </w:tcPr>
          <w:p w14:paraId="187DB61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35.83</w:t>
            </w:r>
          </w:p>
        </w:tc>
        <w:tc>
          <w:tcPr>
            <w:tcW w:w="956" w:type="dxa"/>
            <w:shd w:val="clear" w:color="auto" w:fill="BDD6EE"/>
            <w:vAlign w:val="center"/>
          </w:tcPr>
          <w:p w14:paraId="21206F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89.58%</w:t>
            </w:r>
          </w:p>
        </w:tc>
      </w:tr>
    </w:tbl>
    <w:p w14:paraId="67B0165D">
      <w:pPr>
        <w:spacing w:line="560" w:lineRule="exact"/>
        <w:ind w:firstLine="640"/>
        <w:rPr>
          <w:rFonts w:hint="default" w:cs="仿宋_GB2312"/>
          <w:sz w:val="32"/>
          <w:szCs w:val="32"/>
        </w:rPr>
      </w:pPr>
      <w:r>
        <w:rPr>
          <w:rFonts w:hint="default" w:cs="仿宋_GB2312"/>
          <w:b/>
          <w:bCs/>
          <w:sz w:val="32"/>
          <w:szCs w:val="32"/>
        </w:rPr>
        <w:t>案件结案率</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80%，实际完成值96.13%，分值4.44分，得分3.31分，得分率74.55%。</w:t>
      </w:r>
      <w:r>
        <w:rPr>
          <w:rFonts w:hint="eastAsia" w:cs="仿宋_GB2312"/>
          <w:sz w:val="32"/>
          <w:szCs w:val="32"/>
          <w:lang w:val="en-US" w:eastAsia="zh-CN"/>
        </w:rPr>
        <w:t>说明我</w:t>
      </w:r>
      <w:r>
        <w:rPr>
          <w:rFonts w:hint="default" w:cs="仿宋_GB2312"/>
          <w:sz w:val="32"/>
          <w:szCs w:val="32"/>
          <w:lang w:val="en-US" w:eastAsia="zh-CN"/>
        </w:rPr>
        <w:t>院在法庭案件审结效率上达到并超过基本要求，后续需进一步优化案件审理流程，提升综合结案水平。</w:t>
      </w:r>
    </w:p>
    <w:p w14:paraId="5C93566A">
      <w:pPr>
        <w:spacing w:line="560" w:lineRule="exact"/>
        <w:ind w:firstLine="640"/>
        <w:rPr>
          <w:rFonts w:hint="default" w:cs="仿宋_GB2312"/>
          <w:sz w:val="32"/>
          <w:szCs w:val="32"/>
        </w:rPr>
      </w:pPr>
      <w:r>
        <w:rPr>
          <w:rFonts w:hint="default" w:cs="仿宋_GB2312"/>
          <w:b/>
          <w:bCs/>
          <w:sz w:val="32"/>
          <w:szCs w:val="32"/>
        </w:rPr>
        <w:t>保障基层法庭个数</w:t>
      </w:r>
      <w:r>
        <w:rPr>
          <w:rFonts w:hint="eastAsia" w:cs="仿宋_GB2312"/>
          <w:b/>
          <w:bCs/>
          <w:sz w:val="32"/>
          <w:szCs w:val="32"/>
          <w:lang w:eastAsia="zh-CN"/>
        </w:rPr>
        <w:t>：</w:t>
      </w:r>
      <w:r>
        <w:rPr>
          <w:rFonts w:hint="default" w:cs="仿宋_GB2312"/>
          <w:sz w:val="32"/>
          <w:szCs w:val="32"/>
          <w:lang w:val="en-US" w:eastAsia="zh-CN"/>
        </w:rPr>
        <w:t>年度指标3个，实际完成值3个，分值4.44分，得分4.44分，得分率100.00%。意味着法院精准完成对基层法庭的保障任务，为基层法庭的正常运转提供了有力支持，确保基层司法服务工作稳定开展。</w:t>
      </w:r>
    </w:p>
    <w:p w14:paraId="3EC1637E">
      <w:pPr>
        <w:spacing w:line="560" w:lineRule="exact"/>
        <w:ind w:firstLine="640"/>
        <w:rPr>
          <w:rFonts w:hint="default" w:cs="仿宋_GB2312"/>
          <w:sz w:val="32"/>
          <w:szCs w:val="32"/>
        </w:rPr>
      </w:pPr>
      <w:r>
        <w:rPr>
          <w:rFonts w:hint="eastAsia" w:cs="仿宋_GB2312"/>
          <w:b/>
          <w:bCs/>
          <w:sz w:val="32"/>
          <w:szCs w:val="32"/>
          <w:lang w:val="en-US" w:eastAsia="zh-CN"/>
        </w:rPr>
        <w:t>维</w:t>
      </w:r>
      <w:r>
        <w:rPr>
          <w:rFonts w:hint="default" w:cs="仿宋_GB2312"/>
          <w:b/>
          <w:bCs/>
          <w:sz w:val="32"/>
          <w:szCs w:val="32"/>
        </w:rPr>
        <w:t>修维护工作完成率</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90%，实际完成值98%，分值4.44分，得分4.44分，得分率100.00%。</w:t>
      </w:r>
      <w:r>
        <w:rPr>
          <w:rFonts w:hint="eastAsia" w:cs="仿宋_GB2312"/>
          <w:sz w:val="32"/>
          <w:szCs w:val="32"/>
          <w:lang w:val="en-US" w:eastAsia="zh-CN"/>
        </w:rPr>
        <w:t>体现我</w:t>
      </w:r>
      <w:r>
        <w:rPr>
          <w:rFonts w:hint="default" w:cs="仿宋_GB2312"/>
          <w:sz w:val="32"/>
          <w:szCs w:val="32"/>
          <w:lang w:val="en-US" w:eastAsia="zh-CN"/>
        </w:rPr>
        <w:t>院在法庭维修维护工作推进良好，按时按质完成任务，保障了法庭设施设备的正常使用，为审判工作提供了可靠的硬件环境。</w:t>
      </w:r>
    </w:p>
    <w:p w14:paraId="4B101EE0">
      <w:pPr>
        <w:spacing w:line="560" w:lineRule="exact"/>
        <w:ind w:firstLine="640"/>
        <w:rPr>
          <w:rFonts w:hint="default" w:cs="仿宋_GB2312"/>
          <w:sz w:val="32"/>
          <w:szCs w:val="32"/>
        </w:rPr>
      </w:pPr>
      <w:r>
        <w:rPr>
          <w:rFonts w:hint="default" w:cs="仿宋_GB2312"/>
          <w:b/>
          <w:bCs/>
          <w:sz w:val="32"/>
          <w:szCs w:val="32"/>
        </w:rPr>
        <w:t>法庭正常运转保障率</w:t>
      </w:r>
      <w:r>
        <w:rPr>
          <w:rFonts w:hint="eastAsia" w:cs="仿宋_GB2312"/>
          <w:b/>
          <w:bCs/>
          <w:sz w:val="32"/>
          <w:szCs w:val="32"/>
          <w:lang w:eastAsia="zh-CN"/>
        </w:rPr>
        <w:t>：</w:t>
      </w:r>
      <w:r>
        <w:rPr>
          <w:rFonts w:hint="default" w:cs="仿宋_GB2312"/>
          <w:sz w:val="32"/>
          <w:szCs w:val="32"/>
          <w:lang w:val="en-US" w:eastAsia="zh-CN"/>
        </w:rPr>
        <w:t>年度指标100%，实际完成值100%，分值4.44分，得分4.44分，得分率100.00%。表明法院在保障法庭正常运转方面成效显著，确保法庭各项工作顺利进行，体现了对法庭运维保障工作的高度重视和有效执行。</w:t>
      </w:r>
    </w:p>
    <w:p w14:paraId="7CB4520C">
      <w:pPr>
        <w:spacing w:line="560" w:lineRule="exact"/>
        <w:ind w:firstLine="640"/>
        <w:rPr>
          <w:rFonts w:hint="default" w:cs="仿宋_GB2312"/>
          <w:sz w:val="32"/>
          <w:szCs w:val="32"/>
        </w:rPr>
      </w:pPr>
      <w:r>
        <w:rPr>
          <w:rFonts w:hint="default" w:cs="仿宋_GB2312"/>
          <w:b/>
          <w:bCs/>
          <w:sz w:val="32"/>
          <w:szCs w:val="32"/>
        </w:rPr>
        <w:t>维修维护合格率</w:t>
      </w:r>
      <w:r>
        <w:rPr>
          <w:rFonts w:hint="eastAsia" w:cs="仿宋_GB2312"/>
          <w:b/>
          <w:bCs/>
          <w:sz w:val="32"/>
          <w:szCs w:val="32"/>
          <w:lang w:eastAsia="zh-CN"/>
        </w:rPr>
        <w:t>：</w:t>
      </w:r>
      <w:r>
        <w:rPr>
          <w:rFonts w:hint="default" w:cs="仿宋_GB2312"/>
          <w:sz w:val="32"/>
          <w:szCs w:val="32"/>
          <w:lang w:val="en-US" w:eastAsia="zh-CN"/>
        </w:rPr>
        <w:t>年度指标100%，实际完成值100%，分值4.44分，得分4.44分，得分率100.00%。</w:t>
      </w:r>
      <w:r>
        <w:rPr>
          <w:rFonts w:hint="eastAsia" w:cs="仿宋_GB2312"/>
          <w:sz w:val="32"/>
          <w:szCs w:val="32"/>
          <w:lang w:val="en-US" w:eastAsia="zh-CN"/>
        </w:rPr>
        <w:t>说明我</w:t>
      </w:r>
      <w:r>
        <w:rPr>
          <w:rFonts w:hint="default" w:cs="仿宋_GB2312"/>
          <w:sz w:val="32"/>
          <w:szCs w:val="32"/>
          <w:lang w:val="en-US" w:eastAsia="zh-CN"/>
        </w:rPr>
        <w:t>院法庭维修维护项目质量过硬，全部验收合格，在项目管理和质量把控上严格规范，有效延长了设施设备使用寿命。</w:t>
      </w:r>
    </w:p>
    <w:p w14:paraId="709417EF">
      <w:pPr>
        <w:spacing w:line="560" w:lineRule="exact"/>
        <w:ind w:firstLine="640"/>
        <w:rPr>
          <w:rFonts w:hint="default" w:cs="仿宋_GB2312"/>
          <w:sz w:val="32"/>
          <w:szCs w:val="32"/>
        </w:rPr>
      </w:pPr>
      <w:r>
        <w:rPr>
          <w:rFonts w:hint="default" w:cs="仿宋_GB2312"/>
          <w:b/>
          <w:bCs/>
          <w:sz w:val="32"/>
          <w:szCs w:val="32"/>
        </w:rPr>
        <w:t>一审服判息诉率</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80%，实际完成值91.53%，分值4.44分，得分3.95分，得分率88.96%。反映法庭在一审案件处理中，能让多数当事人服判息诉，审判工作在定分止争方面取得一定成效，在提升一审案件审判质量和释法说理方面表现良好。</w:t>
      </w:r>
    </w:p>
    <w:p w14:paraId="4BB9394F">
      <w:pPr>
        <w:spacing w:line="560" w:lineRule="exact"/>
        <w:ind w:firstLine="640"/>
        <w:rPr>
          <w:rFonts w:hint="default" w:cs="仿宋_GB2312"/>
          <w:sz w:val="32"/>
          <w:szCs w:val="32"/>
        </w:rPr>
      </w:pPr>
      <w:r>
        <w:rPr>
          <w:rFonts w:hint="default" w:cs="仿宋_GB2312"/>
          <w:b/>
          <w:bCs/>
          <w:sz w:val="32"/>
          <w:szCs w:val="32"/>
        </w:rPr>
        <w:t>法定审限内结案率</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80%，实际完成值99.98%，分值4.44分，得分2.78分，得分率62.61%。</w:t>
      </w:r>
      <w:r>
        <w:rPr>
          <w:rFonts w:hint="eastAsia" w:cs="仿宋_GB2312"/>
          <w:sz w:val="32"/>
          <w:szCs w:val="32"/>
          <w:lang w:val="en-US" w:eastAsia="zh-CN"/>
        </w:rPr>
        <w:t>我院</w:t>
      </w:r>
      <w:r>
        <w:rPr>
          <w:rFonts w:hint="default" w:cs="仿宋_GB2312"/>
          <w:sz w:val="32"/>
          <w:szCs w:val="32"/>
          <w:lang w:val="en-US" w:eastAsia="zh-CN"/>
        </w:rPr>
        <w:t>对法定审限内结案的质量、程序合规性有更严格要求，需进一步关注案件审理的综合质量。</w:t>
      </w:r>
    </w:p>
    <w:p w14:paraId="4DA9B1FA">
      <w:pPr>
        <w:spacing w:line="560" w:lineRule="exact"/>
        <w:ind w:firstLine="640"/>
        <w:rPr>
          <w:rFonts w:hint="default" w:cs="仿宋_GB2312"/>
          <w:sz w:val="32"/>
          <w:szCs w:val="32"/>
        </w:rPr>
      </w:pPr>
      <w:r>
        <w:rPr>
          <w:rFonts w:hint="default" w:cs="仿宋_GB2312"/>
          <w:b/>
          <w:bCs/>
          <w:sz w:val="32"/>
          <w:szCs w:val="32"/>
        </w:rPr>
        <w:t>法庭运维及时性</w:t>
      </w:r>
      <w:r>
        <w:rPr>
          <w:rFonts w:hint="eastAsia" w:cs="仿宋_GB2312"/>
          <w:b/>
          <w:bCs/>
          <w:sz w:val="32"/>
          <w:szCs w:val="32"/>
          <w:lang w:eastAsia="zh-CN"/>
        </w:rPr>
        <w:t>：</w:t>
      </w:r>
      <w:r>
        <w:rPr>
          <w:rFonts w:hint="default" w:cs="仿宋_GB2312"/>
          <w:sz w:val="32"/>
          <w:szCs w:val="32"/>
          <w:lang w:val="en-US" w:eastAsia="zh-CN"/>
        </w:rPr>
        <w:t>年度指标为及时，实际完成值处于（100%-80%含）区间，分值4.44分，得分4分，得分率90.00%。</w:t>
      </w:r>
      <w:r>
        <w:rPr>
          <w:rFonts w:hint="eastAsia" w:cs="仿宋_GB2312"/>
          <w:sz w:val="32"/>
          <w:szCs w:val="32"/>
          <w:lang w:val="en-US" w:eastAsia="zh-CN"/>
        </w:rPr>
        <w:t>说明我</w:t>
      </w:r>
      <w:r>
        <w:rPr>
          <w:rFonts w:hint="default" w:cs="仿宋_GB2312"/>
          <w:sz w:val="32"/>
          <w:szCs w:val="32"/>
          <w:lang w:val="en-US" w:eastAsia="zh-CN"/>
        </w:rPr>
        <w:t>院在法庭运维的及时性方面基本达标。</w:t>
      </w:r>
    </w:p>
    <w:p w14:paraId="1C4E494C">
      <w:pPr>
        <w:spacing w:line="560" w:lineRule="exact"/>
        <w:ind w:firstLine="640"/>
        <w:rPr>
          <w:rFonts w:hint="default" w:cs="仿宋_GB2312"/>
          <w:sz w:val="32"/>
          <w:szCs w:val="32"/>
        </w:rPr>
      </w:pPr>
      <w:r>
        <w:rPr>
          <w:rFonts w:hint="default" w:cs="仿宋_GB2312"/>
          <w:b/>
          <w:bCs/>
          <w:sz w:val="32"/>
          <w:szCs w:val="32"/>
        </w:rPr>
        <w:t>维修维护工作完成及时性</w:t>
      </w:r>
      <w:r>
        <w:rPr>
          <w:rFonts w:hint="eastAsia" w:cs="仿宋_GB2312"/>
          <w:b/>
          <w:bCs/>
          <w:sz w:val="32"/>
          <w:szCs w:val="32"/>
          <w:lang w:eastAsia="zh-CN"/>
        </w:rPr>
        <w:t>：</w:t>
      </w:r>
      <w:r>
        <w:rPr>
          <w:rFonts w:hint="default" w:cs="仿宋_GB2312"/>
          <w:sz w:val="32"/>
          <w:szCs w:val="32"/>
          <w:lang w:val="en-US" w:eastAsia="zh-CN"/>
        </w:rPr>
        <w:t>年度指标为及时，实际完成值处于（100%-80%含）区间，分值4.48分，得分4.03分，得分率89.96%。表明法院在法庭维修维护工作的及时性上基本符合要求，</w:t>
      </w:r>
      <w:r>
        <w:rPr>
          <w:rFonts w:hint="eastAsia" w:cs="仿宋_GB2312"/>
          <w:sz w:val="32"/>
          <w:szCs w:val="32"/>
          <w:lang w:val="en-US" w:eastAsia="zh-CN"/>
        </w:rPr>
        <w:t>今后</w:t>
      </w:r>
      <w:r>
        <w:rPr>
          <w:rFonts w:hint="default" w:cs="仿宋_GB2312"/>
          <w:sz w:val="32"/>
          <w:szCs w:val="32"/>
          <w:lang w:val="en-US" w:eastAsia="zh-CN"/>
        </w:rPr>
        <w:t>在维修维护任务的响应速度</w:t>
      </w:r>
      <w:r>
        <w:rPr>
          <w:rFonts w:hint="eastAsia" w:cs="仿宋_GB2312"/>
          <w:sz w:val="32"/>
          <w:szCs w:val="32"/>
          <w:lang w:val="en-US" w:eastAsia="zh-CN"/>
        </w:rPr>
        <w:t>及</w:t>
      </w:r>
      <w:r>
        <w:rPr>
          <w:rFonts w:hint="default" w:cs="仿宋_GB2312"/>
          <w:sz w:val="32"/>
          <w:szCs w:val="32"/>
          <w:lang w:val="en-US" w:eastAsia="zh-CN"/>
        </w:rPr>
        <w:t>完成时间上，需进一步提高工作效率。</w:t>
      </w:r>
    </w:p>
    <w:p w14:paraId="67B6EDC4">
      <w:pPr>
        <w:spacing w:line="560" w:lineRule="exact"/>
        <w:ind w:firstLine="643"/>
        <w:rPr>
          <w:b/>
          <w:bCs/>
          <w:sz w:val="32"/>
          <w:szCs w:val="32"/>
        </w:rPr>
      </w:pPr>
      <w:r>
        <w:rPr>
          <w:rFonts w:hint="eastAsia"/>
          <w:b/>
          <w:bCs/>
          <w:sz w:val="32"/>
          <w:szCs w:val="32"/>
        </w:rPr>
        <w:t>（3）效益指标</w:t>
      </w:r>
    </w:p>
    <w:p w14:paraId="3027D5C5">
      <w:pPr>
        <w:spacing w:line="560" w:lineRule="exact"/>
        <w:ind w:firstLine="640"/>
        <w:rPr>
          <w:sz w:val="32"/>
          <w:szCs w:val="32"/>
        </w:rPr>
      </w:pPr>
      <w:r>
        <w:rPr>
          <w:rFonts w:hint="eastAsia"/>
          <w:sz w:val="32"/>
          <w:szCs w:val="32"/>
        </w:rPr>
        <w:t>本项目效益指标主要考虑经济效益、社会效益、生态效益三部分。总分值20分，得分</w:t>
      </w:r>
      <w:r>
        <w:rPr>
          <w:rFonts w:hint="eastAsia"/>
          <w:sz w:val="32"/>
          <w:szCs w:val="32"/>
          <w:lang w:val="en-US" w:eastAsia="zh-CN"/>
        </w:rPr>
        <w:t>17.99</w:t>
      </w:r>
      <w:r>
        <w:rPr>
          <w:rFonts w:hint="eastAsia"/>
          <w:sz w:val="32"/>
          <w:szCs w:val="32"/>
        </w:rPr>
        <w:t>分，得分率为</w:t>
      </w:r>
      <w:r>
        <w:rPr>
          <w:rFonts w:hint="eastAsia"/>
          <w:sz w:val="32"/>
          <w:szCs w:val="32"/>
          <w:lang w:val="en-US" w:eastAsia="zh-CN"/>
        </w:rPr>
        <w:t>89.95</w:t>
      </w:r>
      <w:r>
        <w:rPr>
          <w:rFonts w:hint="eastAsia"/>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2193"/>
        <w:gridCol w:w="1434"/>
        <w:gridCol w:w="1500"/>
        <w:gridCol w:w="644"/>
        <w:gridCol w:w="742"/>
        <w:gridCol w:w="964"/>
      </w:tblGrid>
      <w:tr w14:paraId="5DE466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2" w:type="dxa"/>
            <w:shd w:val="clear" w:color="auto" w:fill="BDD6EE"/>
            <w:vAlign w:val="center"/>
          </w:tcPr>
          <w:p w14:paraId="4C6B0FF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93" w:type="dxa"/>
            <w:shd w:val="clear" w:color="auto" w:fill="BDD6EE"/>
            <w:vAlign w:val="center"/>
          </w:tcPr>
          <w:p w14:paraId="3E0E66F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434" w:type="dxa"/>
            <w:shd w:val="clear" w:color="auto" w:fill="BDD6EE"/>
            <w:vAlign w:val="center"/>
          </w:tcPr>
          <w:p w14:paraId="0821A9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00" w:type="dxa"/>
            <w:shd w:val="clear" w:color="auto" w:fill="BDD6EE"/>
            <w:vAlign w:val="center"/>
          </w:tcPr>
          <w:p w14:paraId="33D973A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44" w:type="dxa"/>
            <w:shd w:val="clear" w:color="auto" w:fill="BDD6EE"/>
            <w:vAlign w:val="center"/>
          </w:tcPr>
          <w:p w14:paraId="6493277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42" w:type="dxa"/>
            <w:shd w:val="clear" w:color="auto" w:fill="BDD6EE"/>
            <w:vAlign w:val="center"/>
          </w:tcPr>
          <w:p w14:paraId="6A17F59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64" w:type="dxa"/>
            <w:shd w:val="clear" w:color="auto" w:fill="BDD6EE"/>
            <w:vAlign w:val="center"/>
          </w:tcPr>
          <w:p w14:paraId="5F93F08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2E75A6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62EDFA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2193" w:type="dxa"/>
            <w:vAlign w:val="center"/>
          </w:tcPr>
          <w:p w14:paraId="575072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挽回经济损失效果</w:t>
            </w:r>
          </w:p>
        </w:tc>
        <w:tc>
          <w:tcPr>
            <w:tcW w:w="1434" w:type="dxa"/>
            <w:vAlign w:val="center"/>
          </w:tcPr>
          <w:p w14:paraId="23893E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显著</w:t>
            </w:r>
          </w:p>
        </w:tc>
        <w:tc>
          <w:tcPr>
            <w:tcW w:w="1500" w:type="dxa"/>
            <w:vAlign w:val="center"/>
          </w:tcPr>
          <w:p w14:paraId="2913F6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44" w:type="dxa"/>
            <w:vAlign w:val="center"/>
          </w:tcPr>
          <w:p w14:paraId="27AB128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42" w:type="dxa"/>
            <w:vAlign w:val="center"/>
          </w:tcPr>
          <w:p w14:paraId="0D4AB44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4" w:type="dxa"/>
            <w:vAlign w:val="center"/>
          </w:tcPr>
          <w:p w14:paraId="5BBFA7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38CF08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236D94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93" w:type="dxa"/>
            <w:vAlign w:val="center"/>
          </w:tcPr>
          <w:p w14:paraId="02EC97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有效保障审判服务</w:t>
            </w:r>
          </w:p>
        </w:tc>
        <w:tc>
          <w:tcPr>
            <w:tcW w:w="1434" w:type="dxa"/>
            <w:vAlign w:val="center"/>
          </w:tcPr>
          <w:p w14:paraId="73739D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1500" w:type="dxa"/>
            <w:vAlign w:val="center"/>
          </w:tcPr>
          <w:p w14:paraId="5227F5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44" w:type="dxa"/>
            <w:vAlign w:val="center"/>
          </w:tcPr>
          <w:p w14:paraId="54C4D5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42" w:type="dxa"/>
            <w:vAlign w:val="center"/>
          </w:tcPr>
          <w:p w14:paraId="4571BD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4" w:type="dxa"/>
            <w:vAlign w:val="center"/>
          </w:tcPr>
          <w:p w14:paraId="5A834E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14:paraId="3DBD0B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46672E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2193" w:type="dxa"/>
            <w:vAlign w:val="center"/>
          </w:tcPr>
          <w:p w14:paraId="1D910A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打击生态犯罪，维护生态秩序</w:t>
            </w:r>
          </w:p>
        </w:tc>
        <w:tc>
          <w:tcPr>
            <w:tcW w:w="1434" w:type="dxa"/>
            <w:vAlign w:val="center"/>
          </w:tcPr>
          <w:p w14:paraId="2E54D5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良好</w:t>
            </w:r>
          </w:p>
        </w:tc>
        <w:tc>
          <w:tcPr>
            <w:tcW w:w="1500" w:type="dxa"/>
            <w:vAlign w:val="center"/>
          </w:tcPr>
          <w:p w14:paraId="3DF23B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44" w:type="dxa"/>
            <w:vAlign w:val="center"/>
          </w:tcPr>
          <w:p w14:paraId="535D89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742" w:type="dxa"/>
            <w:vAlign w:val="center"/>
          </w:tcPr>
          <w:p w14:paraId="6AA0EA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964" w:type="dxa"/>
            <w:vAlign w:val="center"/>
          </w:tcPr>
          <w:p w14:paraId="52CFF3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89.94%</w:t>
            </w:r>
          </w:p>
        </w:tc>
      </w:tr>
      <w:tr w14:paraId="0169A5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9" w:type="dxa"/>
            <w:gridSpan w:val="4"/>
            <w:shd w:val="clear" w:color="auto" w:fill="BDD6EE"/>
            <w:vAlign w:val="center"/>
          </w:tcPr>
          <w:p w14:paraId="32F4B95A">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44" w:type="dxa"/>
            <w:shd w:val="clear" w:color="auto" w:fill="BDD6EE"/>
            <w:vAlign w:val="center"/>
          </w:tcPr>
          <w:p w14:paraId="708B0F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742" w:type="dxa"/>
            <w:shd w:val="clear" w:color="auto" w:fill="BDD6EE"/>
            <w:vAlign w:val="center"/>
          </w:tcPr>
          <w:p w14:paraId="309E7DC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17.99</w:t>
            </w:r>
          </w:p>
        </w:tc>
        <w:tc>
          <w:tcPr>
            <w:tcW w:w="964" w:type="dxa"/>
            <w:shd w:val="clear" w:color="auto" w:fill="BDD6EE"/>
            <w:vAlign w:val="center"/>
          </w:tcPr>
          <w:p w14:paraId="1F2D133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89.95%</w:t>
            </w:r>
          </w:p>
        </w:tc>
      </w:tr>
    </w:tbl>
    <w:p w14:paraId="159A470C">
      <w:pPr>
        <w:spacing w:line="560" w:lineRule="exact"/>
        <w:ind w:firstLine="643"/>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挽回经济损失效果：</w:t>
      </w:r>
      <w:r>
        <w:rPr>
          <w:rFonts w:hint="eastAsia" w:ascii="仿宋_GB2312" w:hAnsi="仿宋_GB2312" w:eastAsia="仿宋_GB2312"/>
          <w:b w:val="0"/>
          <w:bCs w:val="0"/>
          <w:sz w:val="32"/>
          <w:szCs w:val="32"/>
          <w:lang w:val="en-US" w:eastAsia="zh-CN"/>
        </w:rPr>
        <w:t>年度指标要求明显，实际完成值100%，分值</w:t>
      </w:r>
      <w:r>
        <w:rPr>
          <w:rFonts w:hint="eastAsia"/>
          <w:b w:val="0"/>
          <w:bCs w:val="0"/>
          <w:sz w:val="32"/>
          <w:szCs w:val="32"/>
          <w:lang w:val="en-US" w:eastAsia="zh-CN"/>
        </w:rPr>
        <w:t>6.67</w:t>
      </w:r>
      <w:r>
        <w:rPr>
          <w:rFonts w:hint="eastAsia" w:ascii="仿宋_GB2312" w:hAnsi="仿宋_GB2312" w:eastAsia="仿宋_GB2312"/>
          <w:b w:val="0"/>
          <w:bCs w:val="0"/>
          <w:sz w:val="32"/>
          <w:szCs w:val="32"/>
          <w:lang w:val="en-US" w:eastAsia="zh-CN"/>
        </w:rPr>
        <w:t>分，得分</w:t>
      </w:r>
      <w:r>
        <w:rPr>
          <w:rFonts w:hint="eastAsia"/>
          <w:b w:val="0"/>
          <w:bCs w:val="0"/>
          <w:sz w:val="32"/>
          <w:szCs w:val="32"/>
          <w:lang w:val="en-US" w:eastAsia="zh-CN"/>
        </w:rPr>
        <w:t>6</w:t>
      </w:r>
      <w:r>
        <w:rPr>
          <w:rFonts w:hint="eastAsia" w:ascii="仿宋_GB2312" w:hAnsi="仿宋_GB2312" w:eastAsia="仿宋_GB2312"/>
          <w:b w:val="0"/>
          <w:bCs w:val="0"/>
          <w:sz w:val="32"/>
          <w:szCs w:val="32"/>
          <w:lang w:val="en-US" w:eastAsia="zh-CN"/>
        </w:rPr>
        <w:t>分，得分率</w:t>
      </w:r>
      <w:r>
        <w:rPr>
          <w:rFonts w:hint="eastAsia"/>
          <w:b w:val="0"/>
          <w:bCs w:val="0"/>
          <w:sz w:val="32"/>
          <w:szCs w:val="32"/>
          <w:lang w:val="en-US" w:eastAsia="zh-CN"/>
        </w:rPr>
        <w:t>89.96</w:t>
      </w:r>
      <w:r>
        <w:rPr>
          <w:rFonts w:hint="eastAsia" w:ascii="仿宋_GB2312" w:hAnsi="仿宋_GB2312" w:eastAsia="仿宋_GB2312"/>
          <w:b w:val="0"/>
          <w:bCs w:val="0"/>
          <w:sz w:val="32"/>
          <w:szCs w:val="32"/>
          <w:lang w:val="en-US" w:eastAsia="zh-CN"/>
        </w:rPr>
        <w:t>%。表明</w:t>
      </w:r>
      <w:r>
        <w:rPr>
          <w:rFonts w:hint="eastAsia"/>
          <w:b w:val="0"/>
          <w:bCs w:val="0"/>
          <w:sz w:val="32"/>
          <w:szCs w:val="32"/>
          <w:lang w:val="en-US" w:eastAsia="zh-CN"/>
        </w:rPr>
        <w:t>我</w:t>
      </w:r>
      <w:r>
        <w:rPr>
          <w:rFonts w:hint="eastAsia" w:ascii="仿宋_GB2312" w:hAnsi="仿宋_GB2312" w:eastAsia="仿宋_GB2312"/>
          <w:b w:val="0"/>
          <w:bCs w:val="0"/>
          <w:sz w:val="32"/>
          <w:szCs w:val="32"/>
          <w:lang w:val="en-US" w:eastAsia="zh-CN"/>
        </w:rPr>
        <w:t>院在相关案件中挽回经济损失成效显著，在进一步提升挽回损失比例等方面还有可挖掘之处。</w:t>
      </w:r>
    </w:p>
    <w:p w14:paraId="0E0C6525">
      <w:pPr>
        <w:spacing w:line="560" w:lineRule="exact"/>
        <w:ind w:firstLine="643"/>
        <w:rPr>
          <w:b w:val="0"/>
          <w:bCs w:val="0"/>
          <w:sz w:val="32"/>
          <w:szCs w:val="32"/>
        </w:rPr>
      </w:pPr>
      <w:r>
        <w:rPr>
          <w:rFonts w:hint="eastAsia"/>
          <w:b/>
          <w:bCs/>
          <w:sz w:val="32"/>
          <w:szCs w:val="32"/>
        </w:rPr>
        <w:t>有效保障审判服务：</w:t>
      </w:r>
      <w:r>
        <w:rPr>
          <w:rFonts w:hint="eastAsia"/>
          <w:b w:val="0"/>
          <w:bCs w:val="0"/>
          <w:sz w:val="32"/>
          <w:szCs w:val="32"/>
        </w:rPr>
        <w:t>年度指标为有效保障，实际完成值在100，分值</w:t>
      </w:r>
      <w:r>
        <w:rPr>
          <w:rFonts w:hint="eastAsia"/>
          <w:b w:val="0"/>
          <w:bCs w:val="0"/>
          <w:sz w:val="32"/>
          <w:szCs w:val="32"/>
          <w:lang w:val="en-US" w:eastAsia="zh-CN"/>
        </w:rPr>
        <w:t>6.67</w:t>
      </w:r>
      <w:r>
        <w:rPr>
          <w:rFonts w:hint="eastAsia"/>
          <w:b w:val="0"/>
          <w:bCs w:val="0"/>
          <w:sz w:val="32"/>
          <w:szCs w:val="32"/>
        </w:rPr>
        <w:t>分，得分</w:t>
      </w:r>
      <w:r>
        <w:rPr>
          <w:rFonts w:hint="eastAsia"/>
          <w:b w:val="0"/>
          <w:bCs w:val="0"/>
          <w:sz w:val="32"/>
          <w:szCs w:val="32"/>
          <w:lang w:val="en-US" w:eastAsia="zh-CN"/>
        </w:rPr>
        <w:t>6</w:t>
      </w:r>
      <w:r>
        <w:rPr>
          <w:rFonts w:hint="eastAsia"/>
          <w:b w:val="0"/>
          <w:bCs w:val="0"/>
          <w:sz w:val="32"/>
          <w:szCs w:val="32"/>
        </w:rPr>
        <w:t>分，得分率</w:t>
      </w:r>
      <w:r>
        <w:rPr>
          <w:rFonts w:hint="eastAsia"/>
          <w:b w:val="0"/>
          <w:bCs w:val="0"/>
          <w:sz w:val="32"/>
          <w:szCs w:val="32"/>
          <w:lang w:val="en-US" w:eastAsia="zh-CN"/>
        </w:rPr>
        <w:t>89.96</w:t>
      </w:r>
      <w:r>
        <w:rPr>
          <w:rFonts w:hint="eastAsia"/>
          <w:b w:val="0"/>
          <w:bCs w:val="0"/>
          <w:sz w:val="32"/>
          <w:szCs w:val="32"/>
        </w:rPr>
        <w:t>%</w:t>
      </w:r>
      <w:r>
        <w:rPr>
          <w:rFonts w:hint="eastAsia"/>
          <w:b w:val="0"/>
          <w:bCs w:val="0"/>
          <w:sz w:val="32"/>
          <w:szCs w:val="32"/>
          <w:lang w:eastAsia="zh-CN"/>
        </w:rPr>
        <w:t>。</w:t>
      </w:r>
      <w:r>
        <w:rPr>
          <w:rFonts w:hint="eastAsia"/>
          <w:b w:val="0"/>
          <w:bCs w:val="0"/>
          <w:sz w:val="32"/>
          <w:szCs w:val="32"/>
        </w:rPr>
        <w:t>体现</w:t>
      </w:r>
      <w:r>
        <w:rPr>
          <w:rFonts w:hint="eastAsia"/>
          <w:b w:val="0"/>
          <w:bCs w:val="0"/>
          <w:sz w:val="32"/>
          <w:szCs w:val="32"/>
          <w:lang w:eastAsia="zh-CN"/>
        </w:rPr>
        <w:t>我</w:t>
      </w:r>
      <w:r>
        <w:rPr>
          <w:rFonts w:hint="eastAsia"/>
          <w:b w:val="0"/>
          <w:bCs w:val="0"/>
          <w:sz w:val="32"/>
          <w:szCs w:val="32"/>
        </w:rPr>
        <w:t>院在审判服务保障方面成效较好，能从多方面为审判工作提供支持，</w:t>
      </w:r>
      <w:r>
        <w:rPr>
          <w:rFonts w:hint="eastAsia"/>
          <w:b w:val="0"/>
          <w:bCs w:val="0"/>
          <w:sz w:val="32"/>
          <w:szCs w:val="32"/>
          <w:lang w:val="en-US" w:eastAsia="zh-CN"/>
        </w:rPr>
        <w:t>今后</w:t>
      </w:r>
      <w:r>
        <w:rPr>
          <w:rFonts w:hint="eastAsia"/>
          <w:b w:val="0"/>
          <w:bCs w:val="0"/>
          <w:sz w:val="32"/>
          <w:szCs w:val="32"/>
        </w:rPr>
        <w:t>仍需继续优化，以达到更高保障水平</w:t>
      </w:r>
      <w:r>
        <w:rPr>
          <w:b w:val="0"/>
          <w:bCs w:val="0"/>
          <w:sz w:val="32"/>
          <w:szCs w:val="32"/>
        </w:rPr>
        <w:t>。</w:t>
      </w:r>
    </w:p>
    <w:p w14:paraId="017A6796">
      <w:pPr>
        <w:spacing w:line="560" w:lineRule="exact"/>
        <w:ind w:firstLine="643"/>
        <w:rPr>
          <w:b w:val="0"/>
          <w:bCs w:val="0"/>
          <w:sz w:val="32"/>
          <w:szCs w:val="32"/>
        </w:rPr>
      </w:pPr>
      <w:r>
        <w:rPr>
          <w:rFonts w:hint="eastAsia"/>
          <w:b/>
          <w:bCs/>
          <w:sz w:val="32"/>
          <w:szCs w:val="32"/>
        </w:rPr>
        <w:t>打击生态犯罪，维护生态秩序：</w:t>
      </w:r>
      <w:r>
        <w:rPr>
          <w:rFonts w:hint="eastAsia"/>
          <w:b w:val="0"/>
          <w:bCs w:val="0"/>
          <w:sz w:val="32"/>
          <w:szCs w:val="32"/>
        </w:rPr>
        <w:t>年度指标为有效维护，实际完成值100%-80%（含），分值</w:t>
      </w:r>
      <w:r>
        <w:rPr>
          <w:rFonts w:hint="eastAsia"/>
          <w:b w:val="0"/>
          <w:bCs w:val="0"/>
          <w:sz w:val="32"/>
          <w:szCs w:val="32"/>
          <w:lang w:val="en-US" w:eastAsia="zh-CN"/>
        </w:rPr>
        <w:t>6.66</w:t>
      </w:r>
      <w:r>
        <w:rPr>
          <w:rFonts w:hint="eastAsia"/>
          <w:b w:val="0"/>
          <w:bCs w:val="0"/>
          <w:sz w:val="32"/>
          <w:szCs w:val="32"/>
        </w:rPr>
        <w:t>分，得分5.99分，得分率</w:t>
      </w:r>
      <w:r>
        <w:rPr>
          <w:rFonts w:hint="eastAsia"/>
          <w:b w:val="0"/>
          <w:bCs w:val="0"/>
          <w:sz w:val="32"/>
          <w:szCs w:val="32"/>
          <w:lang w:val="en-US" w:eastAsia="zh-CN"/>
        </w:rPr>
        <w:t>89.94</w:t>
      </w:r>
      <w:r>
        <w:rPr>
          <w:rFonts w:hint="eastAsia"/>
          <w:b w:val="0"/>
          <w:bCs w:val="0"/>
          <w:sz w:val="32"/>
          <w:szCs w:val="32"/>
        </w:rPr>
        <w:t>%。表明</w:t>
      </w:r>
      <w:r>
        <w:rPr>
          <w:rFonts w:hint="eastAsia"/>
          <w:b w:val="0"/>
          <w:bCs w:val="0"/>
          <w:sz w:val="32"/>
          <w:szCs w:val="32"/>
          <w:lang w:eastAsia="zh-CN"/>
        </w:rPr>
        <w:t>我</w:t>
      </w:r>
      <w:r>
        <w:rPr>
          <w:rFonts w:hint="eastAsia"/>
          <w:b w:val="0"/>
          <w:bCs w:val="0"/>
          <w:sz w:val="32"/>
          <w:szCs w:val="32"/>
        </w:rPr>
        <w:t>院在生态环境司法保护方面有积极作为，通过审判打击生态犯罪，维护生态秩序，还可加大工作力度以取得更好生态司法保护效果。</w:t>
      </w:r>
    </w:p>
    <w:p w14:paraId="1FFD2304">
      <w:pPr>
        <w:numPr>
          <w:ilvl w:val="255"/>
          <w:numId w:val="0"/>
        </w:numPr>
        <w:spacing w:line="560" w:lineRule="exact"/>
        <w:ind w:firstLine="643" w:firstLineChars="200"/>
        <w:rPr>
          <w:b/>
          <w:bCs/>
          <w:sz w:val="32"/>
          <w:szCs w:val="32"/>
        </w:rPr>
      </w:pPr>
      <w:r>
        <w:rPr>
          <w:rFonts w:hint="eastAsia"/>
          <w:b/>
          <w:bCs/>
          <w:sz w:val="32"/>
          <w:szCs w:val="32"/>
        </w:rPr>
        <w:t>（4）满意度指标</w:t>
      </w:r>
    </w:p>
    <w:p w14:paraId="08625466">
      <w:pPr>
        <w:spacing w:line="560" w:lineRule="exact"/>
        <w:ind w:firstLine="640"/>
        <w:rPr>
          <w:rFonts w:hint="eastAsia" w:hAnsi="宋体"/>
          <w:sz w:val="32"/>
          <w:szCs w:val="32"/>
        </w:rPr>
      </w:pPr>
      <w:r>
        <w:rPr>
          <w:rFonts w:hint="eastAsia" w:hAnsi="宋体"/>
          <w:sz w:val="32"/>
          <w:szCs w:val="32"/>
        </w:rPr>
        <w:t>服务对象满意度主要为</w:t>
      </w:r>
      <w:r>
        <w:rPr>
          <w:rFonts w:hint="eastAsia" w:hAnsi="宋体"/>
          <w:sz w:val="32"/>
          <w:szCs w:val="32"/>
          <w:lang w:val="en-US" w:eastAsia="zh-CN"/>
        </w:rPr>
        <w:t>服务群众满意度</w:t>
      </w:r>
      <w:r>
        <w:rPr>
          <w:rFonts w:hint="eastAsia" w:hAnsi="宋体"/>
          <w:sz w:val="32"/>
          <w:szCs w:val="32"/>
        </w:rPr>
        <w:t>和</w:t>
      </w:r>
      <w:r>
        <w:rPr>
          <w:rFonts w:hint="eastAsia" w:hAnsi="宋体"/>
          <w:sz w:val="32"/>
          <w:szCs w:val="32"/>
          <w:lang w:val="en-US" w:eastAsia="zh-CN"/>
        </w:rPr>
        <w:t>派出法庭工作人员满意度</w:t>
      </w:r>
      <w:r>
        <w:rPr>
          <w:rFonts w:hint="eastAsia" w:hAnsi="宋体"/>
          <w:sz w:val="32"/>
          <w:szCs w:val="32"/>
        </w:rPr>
        <w:t>，该指标分值合计10分，自评得分10分，得分率为100%。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63"/>
        <w:gridCol w:w="2707"/>
        <w:gridCol w:w="1373"/>
        <w:gridCol w:w="1290"/>
        <w:gridCol w:w="690"/>
        <w:gridCol w:w="639"/>
        <w:gridCol w:w="1007"/>
      </w:tblGrid>
      <w:tr w14:paraId="69E572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63" w:type="dxa"/>
            <w:shd w:val="clear" w:color="auto" w:fill="BDD6EE"/>
            <w:vAlign w:val="center"/>
          </w:tcPr>
          <w:p w14:paraId="7C16FA3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707" w:type="dxa"/>
            <w:shd w:val="clear" w:color="auto" w:fill="BDD6EE"/>
            <w:vAlign w:val="center"/>
          </w:tcPr>
          <w:p w14:paraId="3AB2982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14:paraId="4321EC1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14:paraId="3624252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14:paraId="4AFA961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14:paraId="64AF321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14:paraId="7C6FAB8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4ED6DE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63" w:type="dxa"/>
            <w:vMerge w:val="restart"/>
            <w:vAlign w:val="center"/>
          </w:tcPr>
          <w:p w14:paraId="7C4AB5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2707" w:type="dxa"/>
            <w:vAlign w:val="center"/>
          </w:tcPr>
          <w:p w14:paraId="52CC14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服务群众满意度</w:t>
            </w:r>
          </w:p>
        </w:tc>
        <w:tc>
          <w:tcPr>
            <w:tcW w:w="1373" w:type="dxa"/>
            <w:vAlign w:val="center"/>
          </w:tcPr>
          <w:p w14:paraId="62ED13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90" w:type="dxa"/>
            <w:vAlign w:val="center"/>
          </w:tcPr>
          <w:p w14:paraId="1249F4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690" w:type="dxa"/>
            <w:vAlign w:val="center"/>
          </w:tcPr>
          <w:p w14:paraId="090A3BBE">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639" w:type="dxa"/>
            <w:vAlign w:val="center"/>
          </w:tcPr>
          <w:p w14:paraId="7E91A45C">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14:paraId="0CE52F8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100.00%</w:t>
            </w:r>
          </w:p>
        </w:tc>
      </w:tr>
      <w:tr w14:paraId="3D5567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63" w:type="dxa"/>
            <w:vMerge w:val="continue"/>
            <w:vAlign w:val="center"/>
          </w:tcPr>
          <w:p w14:paraId="36CDC2EA">
            <w:pPr>
              <w:jc w:val="center"/>
              <w:rPr>
                <w:rFonts w:hint="eastAsia" w:ascii="宋体" w:hAnsi="宋体" w:eastAsia="宋体" w:cs="宋体"/>
                <w:i w:val="0"/>
                <w:iCs w:val="0"/>
                <w:color w:val="000000"/>
                <w:kern w:val="0"/>
                <w:sz w:val="20"/>
                <w:szCs w:val="20"/>
                <w:u w:val="none"/>
                <w:lang w:val="en-US" w:eastAsia="zh-CN" w:bidi="ar"/>
              </w:rPr>
            </w:pPr>
          </w:p>
        </w:tc>
        <w:tc>
          <w:tcPr>
            <w:tcW w:w="2707" w:type="dxa"/>
            <w:vAlign w:val="center"/>
          </w:tcPr>
          <w:p w14:paraId="496C29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派出法庭工作人员满意度</w:t>
            </w:r>
          </w:p>
        </w:tc>
        <w:tc>
          <w:tcPr>
            <w:tcW w:w="1373" w:type="dxa"/>
            <w:vAlign w:val="center"/>
          </w:tcPr>
          <w:p w14:paraId="302454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90" w:type="dxa"/>
            <w:vAlign w:val="center"/>
          </w:tcPr>
          <w:p w14:paraId="182B0D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690" w:type="dxa"/>
            <w:vAlign w:val="center"/>
          </w:tcPr>
          <w:p w14:paraId="11CAAE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639" w:type="dxa"/>
            <w:vAlign w:val="center"/>
          </w:tcPr>
          <w:p w14:paraId="414179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14:paraId="58708D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F2809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14:paraId="2C99930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14:paraId="02D387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14:paraId="6AC798F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14:paraId="789908E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6CD0B762">
      <w:pPr>
        <w:spacing w:line="560" w:lineRule="exact"/>
        <w:ind w:firstLine="643"/>
        <w:rPr>
          <w:rFonts w:hint="eastAsia" w:hAnsi="宋体"/>
          <w:sz w:val="32"/>
          <w:szCs w:val="32"/>
        </w:rPr>
      </w:pPr>
      <w:r>
        <w:rPr>
          <w:rFonts w:hint="eastAsia" w:hAnsi="宋体"/>
          <w:b/>
          <w:bCs/>
          <w:sz w:val="32"/>
          <w:szCs w:val="32"/>
        </w:rPr>
        <w:t>服务群众对审批工作满意度：</w:t>
      </w:r>
      <w:r>
        <w:rPr>
          <w:rFonts w:hint="eastAsia" w:hAnsi="宋体"/>
          <w:sz w:val="32"/>
          <w:szCs w:val="32"/>
        </w:rPr>
        <w:t>年度指标</w:t>
      </w:r>
      <w:r>
        <w:rPr>
          <w:rFonts w:hint="eastAsia" w:hAnsi="宋体"/>
          <w:sz w:val="32"/>
          <w:szCs w:val="32"/>
          <w:lang w:eastAsia="zh-CN"/>
        </w:rPr>
        <w:t>大于等于</w:t>
      </w:r>
      <w:r>
        <w:rPr>
          <w:rFonts w:hint="eastAsia" w:hAnsi="宋体"/>
          <w:sz w:val="32"/>
          <w:szCs w:val="32"/>
        </w:rPr>
        <w:t>90%，实际完成值9</w:t>
      </w:r>
      <w:r>
        <w:rPr>
          <w:rFonts w:hint="eastAsia" w:hAnsi="宋体"/>
          <w:sz w:val="32"/>
          <w:szCs w:val="32"/>
          <w:lang w:val="en-US" w:eastAsia="zh-CN"/>
        </w:rPr>
        <w:t>5%</w:t>
      </w:r>
      <w:r>
        <w:rPr>
          <w:rFonts w:hint="eastAsia" w:hAnsi="宋体"/>
          <w:sz w:val="32"/>
          <w:szCs w:val="32"/>
        </w:rPr>
        <w:t>，分值5分，得分5分，得分率100.00%</w:t>
      </w:r>
      <w:r>
        <w:rPr>
          <w:rFonts w:hint="eastAsia" w:hAnsi="宋体"/>
          <w:sz w:val="32"/>
          <w:szCs w:val="32"/>
          <w:lang w:eastAsia="zh-CN"/>
        </w:rPr>
        <w:t>。</w:t>
      </w:r>
      <w:r>
        <w:rPr>
          <w:rFonts w:hint="eastAsia" w:hAnsi="宋体"/>
          <w:sz w:val="32"/>
          <w:szCs w:val="32"/>
        </w:rPr>
        <w:t>说明</w:t>
      </w:r>
      <w:r>
        <w:rPr>
          <w:rFonts w:hint="eastAsia" w:hAnsi="宋体"/>
          <w:sz w:val="32"/>
          <w:szCs w:val="32"/>
          <w:lang w:eastAsia="zh-CN"/>
        </w:rPr>
        <w:t>我</w:t>
      </w:r>
      <w:r>
        <w:rPr>
          <w:rFonts w:hint="eastAsia" w:hAnsi="宋体"/>
          <w:sz w:val="32"/>
          <w:szCs w:val="32"/>
        </w:rPr>
        <w:t>院</w:t>
      </w:r>
      <w:r>
        <w:rPr>
          <w:rFonts w:hint="eastAsia" w:hAnsi="宋体"/>
          <w:sz w:val="32"/>
          <w:szCs w:val="32"/>
          <w:lang w:val="en-US" w:eastAsia="zh-CN"/>
        </w:rPr>
        <w:t>审批</w:t>
      </w:r>
      <w:r>
        <w:rPr>
          <w:rFonts w:hint="eastAsia" w:hAnsi="宋体"/>
          <w:sz w:val="32"/>
          <w:szCs w:val="32"/>
        </w:rPr>
        <w:t>工作得到群众较高认可，在司法为民、公正审判等方面满足了群众需求，树立了良好司法形象。</w:t>
      </w:r>
    </w:p>
    <w:p w14:paraId="6C4745C7">
      <w:pPr>
        <w:spacing w:line="560" w:lineRule="exact"/>
        <w:ind w:firstLine="643"/>
        <w:rPr>
          <w:rFonts w:hAnsi="宋体"/>
          <w:sz w:val="32"/>
          <w:szCs w:val="32"/>
        </w:rPr>
      </w:pPr>
      <w:r>
        <w:rPr>
          <w:rFonts w:hint="eastAsia" w:hAnsi="宋体"/>
          <w:b/>
          <w:bCs/>
          <w:sz w:val="32"/>
          <w:szCs w:val="32"/>
        </w:rPr>
        <w:t>派出法庭工作人员满意度：</w:t>
      </w:r>
      <w:r>
        <w:rPr>
          <w:rFonts w:hint="eastAsia" w:hAnsi="宋体"/>
          <w:sz w:val="32"/>
          <w:szCs w:val="32"/>
        </w:rPr>
        <w:t>年度指标</w:t>
      </w:r>
      <w:r>
        <w:rPr>
          <w:rFonts w:hint="eastAsia" w:hAnsi="宋体"/>
          <w:sz w:val="32"/>
          <w:szCs w:val="32"/>
          <w:lang w:eastAsia="zh-CN"/>
        </w:rPr>
        <w:t>大于等于</w:t>
      </w:r>
      <w:r>
        <w:rPr>
          <w:rFonts w:hint="eastAsia" w:hAnsi="宋体"/>
          <w:sz w:val="32"/>
          <w:szCs w:val="32"/>
        </w:rPr>
        <w:t>90%，实际完成值</w:t>
      </w:r>
      <w:r>
        <w:rPr>
          <w:rFonts w:hint="eastAsia" w:hAnsi="宋体"/>
          <w:sz w:val="32"/>
          <w:szCs w:val="32"/>
          <w:lang w:val="en-US" w:eastAsia="zh-CN"/>
        </w:rPr>
        <w:t>96%</w:t>
      </w:r>
      <w:r>
        <w:rPr>
          <w:rFonts w:hint="eastAsia" w:hAnsi="宋体"/>
          <w:sz w:val="32"/>
          <w:szCs w:val="32"/>
        </w:rPr>
        <w:t>，分值5分，得分5分，得分率100.00%</w:t>
      </w:r>
      <w:r>
        <w:rPr>
          <w:rFonts w:hint="eastAsia" w:hAnsi="宋体"/>
          <w:sz w:val="32"/>
          <w:szCs w:val="32"/>
          <w:lang w:eastAsia="zh-CN"/>
        </w:rPr>
        <w:t>。</w:t>
      </w:r>
      <w:r>
        <w:rPr>
          <w:rFonts w:hint="eastAsia" w:hAnsi="宋体"/>
          <w:sz w:val="32"/>
          <w:szCs w:val="32"/>
        </w:rPr>
        <w:t>反映出派出法庭工作人员对工作环境、管理等方面较为满意，有助于提升工作积极性和基层司法服务质量。</w:t>
      </w:r>
    </w:p>
    <w:p w14:paraId="70F30E25">
      <w:pPr>
        <w:pStyle w:val="4"/>
        <w:spacing w:line="560" w:lineRule="exact"/>
        <w:ind w:firstLine="643"/>
        <w:rPr>
          <w:sz w:val="32"/>
        </w:rPr>
      </w:pPr>
      <w:r>
        <w:rPr>
          <w:rFonts w:hint="eastAsia"/>
          <w:sz w:val="32"/>
        </w:rPr>
        <w:t>4.偏离绩效目标的原因及下一步改进措施</w:t>
      </w:r>
    </w:p>
    <w:p w14:paraId="01358C7B">
      <w:pPr>
        <w:spacing w:line="560" w:lineRule="exact"/>
        <w:ind w:firstLine="640"/>
        <w:rPr>
          <w:rFonts w:hint="eastAsia"/>
          <w:sz w:val="32"/>
          <w:szCs w:val="32"/>
        </w:rPr>
      </w:pPr>
      <w:r>
        <w:rPr>
          <w:rFonts w:hint="eastAsia"/>
          <w:sz w:val="32"/>
          <w:szCs w:val="32"/>
        </w:rPr>
        <w:t>无。</w:t>
      </w:r>
    </w:p>
    <w:p w14:paraId="592C0E2E">
      <w:pPr>
        <w:pStyle w:val="3"/>
        <w:spacing w:before="0" w:after="0" w:line="560" w:lineRule="exact"/>
        <w:ind w:firstLine="643"/>
        <w:rPr>
          <w:rFonts w:hint="eastAsia" w:hAnsi="宋体"/>
          <w:szCs w:val="28"/>
        </w:rPr>
      </w:pPr>
      <w:bookmarkStart w:id="70" w:name="_Toc16953"/>
      <w:bookmarkStart w:id="71" w:name="_Toc26343"/>
      <w:r>
        <w:rPr>
          <w:rFonts w:hint="eastAsia"/>
        </w:rPr>
        <w:t>（</w:t>
      </w:r>
      <w:r>
        <w:rPr>
          <w:rFonts w:hint="eastAsia"/>
          <w:lang w:val="en-US" w:eastAsia="zh-CN"/>
        </w:rPr>
        <w:t>三</w:t>
      </w:r>
      <w:r>
        <w:rPr>
          <w:rFonts w:hint="eastAsia"/>
        </w:rPr>
        <w:t>）</w:t>
      </w:r>
      <w:r>
        <w:rPr>
          <w:rFonts w:hint="eastAsia" w:hAnsi="宋体"/>
          <w:szCs w:val="28"/>
        </w:rPr>
        <w:t>第一批“全省法院维修改造”项目</w:t>
      </w:r>
      <w:bookmarkEnd w:id="70"/>
      <w:bookmarkEnd w:id="71"/>
    </w:p>
    <w:p w14:paraId="2A4070EF">
      <w:pPr>
        <w:spacing w:line="560" w:lineRule="exact"/>
        <w:ind w:firstLine="640"/>
        <w:rPr>
          <w:rFonts w:hint="eastAsia" w:hAnsi="宋体"/>
          <w:sz w:val="32"/>
          <w:szCs w:val="32"/>
        </w:rPr>
      </w:pPr>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年第一批“全省法院维修改造”项目支出绩效得分为</w:t>
      </w:r>
      <w:r>
        <w:rPr>
          <w:rFonts w:hint="eastAsia" w:hAnsi="宋体"/>
          <w:sz w:val="32"/>
          <w:szCs w:val="32"/>
          <w:lang w:val="en-US" w:eastAsia="zh-CN"/>
        </w:rPr>
        <w:t>97.20</w:t>
      </w:r>
      <w:r>
        <w:rPr>
          <w:rFonts w:hint="eastAsia" w:hAnsi="宋体"/>
          <w:sz w:val="32"/>
          <w:szCs w:val="32"/>
        </w:rPr>
        <w:t>分，绩效等级为“优”。项目支出绩效评价包括项目资金预算执行率、成本、产出、效益、满意度</w:t>
      </w:r>
      <w:r>
        <w:rPr>
          <w:rFonts w:hint="eastAsia" w:hAnsi="宋体"/>
          <w:sz w:val="32"/>
          <w:szCs w:val="32"/>
          <w:lang w:val="en-US" w:eastAsia="zh-CN"/>
        </w:rPr>
        <w:t>4</w:t>
      </w:r>
      <w:r>
        <w:rPr>
          <w:rFonts w:hint="eastAsia" w:hAnsi="宋体"/>
          <w:sz w:val="32"/>
          <w:szCs w:val="32"/>
        </w:rPr>
        <w:t>个一级指标，下设</w:t>
      </w:r>
      <w:r>
        <w:rPr>
          <w:rFonts w:hint="eastAsia" w:hAnsi="宋体"/>
          <w:sz w:val="32"/>
          <w:szCs w:val="32"/>
          <w:lang w:val="en-US" w:eastAsia="zh-CN"/>
        </w:rPr>
        <w:t>6</w:t>
      </w:r>
      <w:r>
        <w:rPr>
          <w:rFonts w:hint="eastAsia" w:hAnsi="宋体"/>
          <w:sz w:val="32"/>
          <w:szCs w:val="32"/>
        </w:rPr>
        <w:t>个二级指标和</w:t>
      </w:r>
      <w:r>
        <w:rPr>
          <w:rFonts w:hint="eastAsia" w:hAnsi="宋体"/>
          <w:sz w:val="32"/>
          <w:szCs w:val="32"/>
          <w:lang w:val="en-US" w:eastAsia="zh-CN"/>
        </w:rPr>
        <w:t>6</w:t>
      </w:r>
      <w:r>
        <w:rPr>
          <w:rFonts w:hint="eastAsia" w:hAnsi="宋体"/>
          <w:sz w:val="32"/>
          <w:szCs w:val="32"/>
        </w:rPr>
        <w:t>个三级指标。项目资金预算执行率</w:t>
      </w:r>
      <w:r>
        <w:rPr>
          <w:rFonts w:hint="eastAsia" w:hAnsi="宋体"/>
          <w:sz w:val="32"/>
          <w:szCs w:val="32"/>
          <w:lang w:val="en-US" w:eastAsia="zh-CN"/>
        </w:rPr>
        <w:t>100</w:t>
      </w:r>
      <w:r>
        <w:rPr>
          <w:rFonts w:hint="eastAsia" w:hAnsi="宋体"/>
          <w:sz w:val="32"/>
          <w:szCs w:val="32"/>
        </w:rPr>
        <w:t>%，一级指标得分情况详见下表：</w:t>
      </w:r>
    </w:p>
    <w:p w14:paraId="05E9504B">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w:t>
      </w:r>
      <w:r>
        <w:rPr>
          <w:rFonts w:hint="eastAsia" w:ascii="宋体" w:hAnsi="宋体" w:cs="宋体"/>
          <w:b/>
          <w:bCs/>
          <w:kern w:val="0"/>
          <w:sz w:val="24"/>
          <w:lang w:val="en-US" w:eastAsia="zh-CN"/>
        </w:rPr>
        <w:t>项目</w:t>
      </w:r>
      <w:r>
        <w:rPr>
          <w:rFonts w:hint="eastAsia" w:ascii="宋体" w:hAnsi="宋体" w:cs="宋体"/>
          <w:b/>
          <w:bCs/>
          <w:kern w:val="0"/>
          <w:sz w:val="24"/>
        </w:rPr>
        <w:t>支出</w:t>
      </w:r>
      <w:r>
        <w:rPr>
          <w:rFonts w:hint="eastAsia" w:ascii="宋体" w:hAnsi="宋体" w:cs="宋体"/>
          <w:b/>
          <w:bCs/>
          <w:kern w:val="0"/>
          <w:sz w:val="24"/>
          <w:lang w:eastAsia="zh-CN"/>
        </w:rPr>
        <w:t>绩效自评指标</w:t>
      </w:r>
      <w:r>
        <w:rPr>
          <w:rFonts w:hint="eastAsia" w:ascii="宋体" w:hAnsi="宋体" w:cs="宋体"/>
          <w:b/>
          <w:bCs/>
          <w:kern w:val="0"/>
          <w:sz w:val="24"/>
        </w:rPr>
        <w:t>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0DCEB4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1E40645A">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14:paraId="7D3696DE">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14:paraId="5B5A001C">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14:paraId="0D5182F2">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14:paraId="5F79D6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526661A3">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14:paraId="1EE253CA">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108EE7F1">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9.79</w:t>
            </w:r>
          </w:p>
        </w:tc>
        <w:tc>
          <w:tcPr>
            <w:tcW w:w="1701" w:type="dxa"/>
            <w:vAlign w:val="center"/>
          </w:tcPr>
          <w:p w14:paraId="4BA2B212">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97.900</w:t>
            </w:r>
            <w:r>
              <w:rPr>
                <w:rFonts w:hint="eastAsia" w:ascii="宋体" w:hAnsi="宋体" w:eastAsia="宋体" w:cs="宋体"/>
                <w:color w:val="000000"/>
                <w:kern w:val="0"/>
                <w:sz w:val="20"/>
                <w:szCs w:val="20"/>
              </w:rPr>
              <w:t>%</w:t>
            </w:r>
          </w:p>
        </w:tc>
      </w:tr>
      <w:tr w14:paraId="123A58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3537B3F6">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14:paraId="1DB9D334">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4969D480">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1701" w:type="dxa"/>
            <w:vAlign w:val="center"/>
          </w:tcPr>
          <w:p w14:paraId="43F5AC41">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100.00</w:t>
            </w:r>
            <w:r>
              <w:rPr>
                <w:rFonts w:hint="eastAsia" w:ascii="宋体" w:hAnsi="宋体" w:eastAsia="宋体" w:cs="宋体"/>
                <w:color w:val="000000"/>
                <w:kern w:val="0"/>
                <w:sz w:val="20"/>
                <w:szCs w:val="20"/>
              </w:rPr>
              <w:t>%</w:t>
            </w:r>
          </w:p>
        </w:tc>
      </w:tr>
      <w:tr w14:paraId="27A43D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7083F81">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14:paraId="71E79BE1">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14:paraId="33C5969F">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39.2</w:t>
            </w:r>
          </w:p>
        </w:tc>
        <w:tc>
          <w:tcPr>
            <w:tcW w:w="1701" w:type="dxa"/>
            <w:vAlign w:val="center"/>
          </w:tcPr>
          <w:p w14:paraId="57F37560">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98.00</w:t>
            </w:r>
            <w:r>
              <w:rPr>
                <w:rFonts w:hint="eastAsia" w:ascii="宋体" w:hAnsi="宋体" w:eastAsia="宋体" w:cs="宋体"/>
                <w:color w:val="000000"/>
                <w:kern w:val="0"/>
                <w:sz w:val="20"/>
                <w:szCs w:val="20"/>
              </w:rPr>
              <w:t>%</w:t>
            </w:r>
          </w:p>
        </w:tc>
      </w:tr>
      <w:tr w14:paraId="134688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68B71108">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14:paraId="15CF8245">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51F6522F">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14:paraId="25A73656">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90.00</w:t>
            </w:r>
            <w:r>
              <w:rPr>
                <w:rFonts w:hint="eastAsia" w:ascii="宋体" w:hAnsi="宋体" w:eastAsia="宋体" w:cs="宋体"/>
                <w:color w:val="000000"/>
                <w:kern w:val="0"/>
                <w:sz w:val="20"/>
                <w:szCs w:val="20"/>
              </w:rPr>
              <w:t>%</w:t>
            </w:r>
          </w:p>
        </w:tc>
      </w:tr>
      <w:tr w14:paraId="6C9F6F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4E30AC85">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14:paraId="6BA140CC">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52031946">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03711F52">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宋体"/>
                <w:color w:val="000000"/>
                <w:kern w:val="0"/>
                <w:sz w:val="20"/>
                <w:szCs w:val="20"/>
                <w:lang w:val="en-US" w:eastAsia="zh-CN"/>
              </w:rPr>
              <w:t>.00</w:t>
            </w:r>
            <w:r>
              <w:rPr>
                <w:rFonts w:hint="eastAsia" w:ascii="宋体" w:hAnsi="宋体" w:eastAsia="宋体" w:cs="宋体"/>
                <w:color w:val="000000"/>
                <w:kern w:val="0"/>
                <w:sz w:val="20"/>
                <w:szCs w:val="20"/>
              </w:rPr>
              <w:t>%</w:t>
            </w:r>
          </w:p>
        </w:tc>
      </w:tr>
      <w:tr w14:paraId="605286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3014616E">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14:paraId="3E81E63B">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14:paraId="412C9A35">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97.20</w:t>
            </w:r>
          </w:p>
        </w:tc>
        <w:tc>
          <w:tcPr>
            <w:tcW w:w="1701" w:type="dxa"/>
            <w:shd w:val="clear" w:color="auto" w:fill="BDD6EE"/>
            <w:vAlign w:val="center"/>
          </w:tcPr>
          <w:p w14:paraId="71341A54">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97.20</w:t>
            </w:r>
            <w:r>
              <w:rPr>
                <w:rFonts w:hint="eastAsia" w:ascii="宋体" w:hAnsi="宋体" w:eastAsia="宋体" w:cs="宋体"/>
                <w:b/>
                <w:bCs/>
                <w:color w:val="000000"/>
                <w:kern w:val="0"/>
                <w:sz w:val="20"/>
                <w:szCs w:val="20"/>
              </w:rPr>
              <w:t>%</w:t>
            </w:r>
          </w:p>
        </w:tc>
      </w:tr>
    </w:tbl>
    <w:p w14:paraId="5DB4844B">
      <w:pPr>
        <w:pStyle w:val="4"/>
        <w:spacing w:line="560" w:lineRule="exact"/>
        <w:ind w:firstLine="643"/>
        <w:rPr>
          <w:sz w:val="32"/>
        </w:rPr>
      </w:pPr>
      <w:r>
        <w:rPr>
          <w:rFonts w:hint="eastAsia"/>
          <w:sz w:val="32"/>
        </w:rPr>
        <w:t>1.项目支出预算执行情况</w:t>
      </w:r>
    </w:p>
    <w:p w14:paraId="73D6035D">
      <w:pPr>
        <w:spacing w:line="560" w:lineRule="exact"/>
        <w:ind w:firstLine="640"/>
        <w:rPr>
          <w:rFonts w:hAnsi="宋体"/>
          <w:sz w:val="32"/>
          <w:szCs w:val="32"/>
        </w:rPr>
      </w:pPr>
      <w:r>
        <w:rPr>
          <w:rFonts w:hint="eastAsia" w:hAnsi="宋体"/>
          <w:sz w:val="32"/>
          <w:szCs w:val="32"/>
        </w:rPr>
        <w:t>第一批“全省法院维修改造”项目全年预算数</w:t>
      </w:r>
      <w:r>
        <w:rPr>
          <w:rFonts w:hint="eastAsia" w:hAnsi="宋体"/>
          <w:sz w:val="32"/>
          <w:szCs w:val="32"/>
          <w:lang w:val="en-US" w:eastAsia="zh-CN"/>
        </w:rPr>
        <w:t>39.00万元，</w:t>
      </w:r>
      <w:r>
        <w:rPr>
          <w:rFonts w:hint="eastAsia" w:hAnsi="宋体"/>
          <w:sz w:val="32"/>
          <w:szCs w:val="32"/>
        </w:rPr>
        <w:t>全年执行数为</w:t>
      </w:r>
      <w:r>
        <w:rPr>
          <w:rFonts w:hint="eastAsia" w:hAnsi="宋体"/>
          <w:sz w:val="32"/>
          <w:szCs w:val="32"/>
          <w:lang w:val="en-US" w:eastAsia="zh-CN"/>
        </w:rPr>
        <w:t>39.00</w:t>
      </w:r>
      <w:r>
        <w:rPr>
          <w:rFonts w:hint="eastAsia" w:hAnsi="宋体"/>
          <w:sz w:val="32"/>
          <w:szCs w:val="32"/>
        </w:rPr>
        <w:t>万元，预算执行率</w:t>
      </w:r>
      <w:r>
        <w:rPr>
          <w:rFonts w:hint="eastAsia" w:hAnsi="宋体"/>
          <w:sz w:val="32"/>
          <w:szCs w:val="32"/>
          <w:lang w:val="en-US" w:eastAsia="zh-CN"/>
        </w:rPr>
        <w:t>100</w:t>
      </w:r>
      <w:r>
        <w:rPr>
          <w:rFonts w:hint="eastAsia" w:hAnsi="宋体"/>
          <w:sz w:val="32"/>
          <w:szCs w:val="32"/>
        </w:rPr>
        <w:t>%，满分10分，得分</w:t>
      </w:r>
      <w:r>
        <w:rPr>
          <w:rFonts w:hint="eastAsia" w:hAnsi="宋体"/>
          <w:sz w:val="32"/>
          <w:szCs w:val="32"/>
          <w:lang w:val="en-US" w:eastAsia="zh-CN"/>
        </w:rPr>
        <w:t>10</w:t>
      </w:r>
      <w:r>
        <w:rPr>
          <w:rFonts w:hint="eastAsia" w:hAnsi="宋体"/>
          <w:sz w:val="32"/>
          <w:szCs w:val="32"/>
        </w:rPr>
        <w:t>分。</w:t>
      </w:r>
    </w:p>
    <w:p w14:paraId="0733128A">
      <w:pPr>
        <w:pStyle w:val="4"/>
        <w:spacing w:line="560" w:lineRule="exact"/>
        <w:ind w:firstLine="643"/>
        <w:rPr>
          <w:sz w:val="32"/>
        </w:rPr>
      </w:pPr>
      <w:r>
        <w:rPr>
          <w:rFonts w:hint="eastAsia"/>
          <w:sz w:val="32"/>
        </w:rPr>
        <w:t>2.总体绩效目标完成情况分析</w:t>
      </w:r>
    </w:p>
    <w:p w14:paraId="608F8A9C">
      <w:pPr>
        <w:spacing w:line="560" w:lineRule="exact"/>
        <w:ind w:firstLine="640"/>
        <w:rPr>
          <w:sz w:val="32"/>
          <w:szCs w:val="32"/>
        </w:rPr>
      </w:pPr>
      <w:r>
        <w:rPr>
          <w:rFonts w:hint="eastAsia"/>
          <w:sz w:val="32"/>
          <w:szCs w:val="32"/>
        </w:rPr>
        <w:t>在本年度内，高质量完成全省法院维修改造项目，使法院的办公条件得到显著改善，达到安全、舒适、高效的司法办公标准，为司法工作的顺利开展提供坚实保障。</w:t>
      </w:r>
    </w:p>
    <w:p w14:paraId="7592133C">
      <w:pPr>
        <w:pStyle w:val="4"/>
        <w:spacing w:line="560" w:lineRule="exact"/>
        <w:ind w:firstLine="643"/>
        <w:rPr>
          <w:sz w:val="32"/>
        </w:rPr>
      </w:pPr>
      <w:r>
        <w:rPr>
          <w:rFonts w:hint="eastAsia"/>
          <w:sz w:val="32"/>
        </w:rPr>
        <w:t>3.各项指标完成情况分析</w:t>
      </w:r>
    </w:p>
    <w:p w14:paraId="41A018C6">
      <w:pPr>
        <w:spacing w:line="560" w:lineRule="exact"/>
        <w:ind w:firstLine="643"/>
        <w:rPr>
          <w:b/>
          <w:bCs/>
          <w:sz w:val="32"/>
          <w:szCs w:val="32"/>
        </w:rPr>
      </w:pPr>
      <w:r>
        <w:rPr>
          <w:rFonts w:hint="eastAsia"/>
          <w:b/>
          <w:bCs/>
          <w:sz w:val="32"/>
          <w:szCs w:val="32"/>
        </w:rPr>
        <w:t>（1）成本指标</w:t>
      </w:r>
    </w:p>
    <w:p w14:paraId="3D25A5C0">
      <w:pPr>
        <w:spacing w:line="560" w:lineRule="exact"/>
        <w:ind w:firstLine="640"/>
        <w:rPr>
          <w:sz w:val="32"/>
          <w:szCs w:val="32"/>
        </w:rPr>
      </w:pPr>
      <w:r>
        <w:rPr>
          <w:rFonts w:hint="eastAsia"/>
          <w:sz w:val="32"/>
          <w:szCs w:val="32"/>
        </w:rPr>
        <w:t>成本指标下设经济成本指标1个</w:t>
      </w:r>
      <w:r>
        <w:rPr>
          <w:rFonts w:hint="eastAsia"/>
          <w:sz w:val="32"/>
          <w:szCs w:val="32"/>
          <w:lang w:val="en-US" w:eastAsia="zh-CN"/>
        </w:rPr>
        <w:t>二</w:t>
      </w:r>
      <w:r>
        <w:rPr>
          <w:rFonts w:hint="eastAsia"/>
          <w:sz w:val="32"/>
          <w:szCs w:val="32"/>
        </w:rPr>
        <w:t>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20</w:t>
      </w:r>
      <w:r>
        <w:rPr>
          <w:rFonts w:hint="eastAsia"/>
          <w:sz w:val="32"/>
          <w:szCs w:val="32"/>
        </w:rPr>
        <w:t>分，得分率为</w:t>
      </w:r>
      <w:r>
        <w:rPr>
          <w:rFonts w:hint="eastAsia"/>
          <w:sz w:val="32"/>
          <w:szCs w:val="32"/>
          <w:lang w:val="en-US" w:eastAsia="zh-CN"/>
        </w:rPr>
        <w:t>100</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21"/>
        <w:gridCol w:w="1604"/>
        <w:gridCol w:w="1425"/>
        <w:gridCol w:w="645"/>
        <w:gridCol w:w="735"/>
        <w:gridCol w:w="995"/>
      </w:tblGrid>
      <w:tr w14:paraId="0A3F7E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shd w:val="clear" w:color="auto" w:fill="BDD6EE"/>
            <w:vAlign w:val="center"/>
          </w:tcPr>
          <w:p w14:paraId="0F90503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51" w:type="pct"/>
            <w:shd w:val="clear" w:color="auto" w:fill="BDD6EE"/>
            <w:vAlign w:val="center"/>
          </w:tcPr>
          <w:p w14:paraId="4D9B75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941" w:type="pct"/>
            <w:shd w:val="clear" w:color="auto" w:fill="BDD6EE"/>
            <w:vAlign w:val="center"/>
          </w:tcPr>
          <w:p w14:paraId="0AB67BC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6" w:type="pct"/>
            <w:shd w:val="clear" w:color="auto" w:fill="BDD6EE"/>
            <w:vAlign w:val="center"/>
          </w:tcPr>
          <w:p w14:paraId="184043F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8" w:type="pct"/>
            <w:shd w:val="clear" w:color="auto" w:fill="BDD6EE"/>
            <w:vAlign w:val="center"/>
          </w:tcPr>
          <w:p w14:paraId="202ADEC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31" w:type="pct"/>
            <w:shd w:val="clear" w:color="auto" w:fill="BDD6EE"/>
            <w:vAlign w:val="center"/>
          </w:tcPr>
          <w:p w14:paraId="5CBC606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84" w:type="pct"/>
            <w:shd w:val="clear" w:color="auto" w:fill="BDD6EE"/>
            <w:vAlign w:val="center"/>
          </w:tcPr>
          <w:p w14:paraId="007E66F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340A3E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vAlign w:val="center"/>
          </w:tcPr>
          <w:p w14:paraId="7FD2BB51">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951" w:type="pct"/>
            <w:vAlign w:val="center"/>
          </w:tcPr>
          <w:p w14:paraId="635EF1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成本控制率</w:t>
            </w:r>
          </w:p>
        </w:tc>
        <w:tc>
          <w:tcPr>
            <w:tcW w:w="941" w:type="pct"/>
            <w:vAlign w:val="center"/>
          </w:tcPr>
          <w:p w14:paraId="4263AA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836" w:type="pct"/>
            <w:vAlign w:val="center"/>
          </w:tcPr>
          <w:p w14:paraId="2C3A98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97.95</w:t>
            </w:r>
          </w:p>
        </w:tc>
        <w:tc>
          <w:tcPr>
            <w:tcW w:w="378" w:type="pct"/>
            <w:vAlign w:val="center"/>
          </w:tcPr>
          <w:p w14:paraId="3CBB1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31" w:type="pct"/>
            <w:vAlign w:val="center"/>
          </w:tcPr>
          <w:p w14:paraId="67D10B4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584" w:type="pct"/>
            <w:vAlign w:val="center"/>
          </w:tcPr>
          <w:p w14:paraId="3ABE7965">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w:t>
            </w:r>
          </w:p>
        </w:tc>
      </w:tr>
      <w:tr w14:paraId="49F7DA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05" w:type="pct"/>
            <w:gridSpan w:val="4"/>
            <w:shd w:val="clear" w:color="auto" w:fill="BDD6EE"/>
            <w:vAlign w:val="center"/>
          </w:tcPr>
          <w:p w14:paraId="235EA33C">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8" w:type="pct"/>
            <w:shd w:val="clear" w:color="auto" w:fill="BDD6EE"/>
            <w:vAlign w:val="center"/>
          </w:tcPr>
          <w:p w14:paraId="5D173B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31" w:type="pct"/>
            <w:shd w:val="clear" w:color="auto" w:fill="BDD6EE"/>
            <w:vAlign w:val="center"/>
          </w:tcPr>
          <w:p w14:paraId="30FE00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584" w:type="pct"/>
            <w:shd w:val="clear" w:color="auto" w:fill="BDD6EE"/>
            <w:vAlign w:val="center"/>
          </w:tcPr>
          <w:p w14:paraId="40875EE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w:t>
            </w:r>
          </w:p>
        </w:tc>
      </w:tr>
    </w:tbl>
    <w:p w14:paraId="444A3C02">
      <w:pPr>
        <w:spacing w:line="560" w:lineRule="exact"/>
        <w:ind w:firstLine="643"/>
        <w:rPr>
          <w:sz w:val="32"/>
          <w:szCs w:val="32"/>
        </w:rPr>
      </w:pPr>
      <w:r>
        <w:rPr>
          <w:rFonts w:hint="eastAsia" w:hAnsi="宋体"/>
          <w:b/>
          <w:bCs/>
          <w:sz w:val="32"/>
          <w:szCs w:val="32"/>
        </w:rPr>
        <w:t>成本控制率：</w:t>
      </w:r>
      <w:r>
        <w:rPr>
          <w:rFonts w:hint="eastAsia" w:hAnsi="宋体"/>
          <w:sz w:val="32"/>
          <w:szCs w:val="32"/>
        </w:rPr>
        <w:t>我院第一批“全省法院维修改造”项目</w:t>
      </w:r>
      <w:r>
        <w:rPr>
          <w:rFonts w:hint="eastAsia" w:hAnsi="宋体" w:cs="宋体"/>
          <w:kern w:val="0"/>
          <w:sz w:val="32"/>
          <w:szCs w:val="32"/>
        </w:rPr>
        <w:t>成本控制率在全年预算范围以内，符合年度指标值的要求。</w:t>
      </w:r>
      <w:r>
        <w:rPr>
          <w:rFonts w:hint="eastAsia" w:hAnsi="宋体"/>
          <w:sz w:val="32"/>
          <w:szCs w:val="32"/>
        </w:rPr>
        <w:t>该指标分值20分，</w:t>
      </w:r>
      <w:r>
        <w:rPr>
          <w:rFonts w:hAnsi="宋体"/>
          <w:sz w:val="32"/>
          <w:szCs w:val="32"/>
        </w:rPr>
        <w:t>按评价标准得</w:t>
      </w:r>
      <w:r>
        <w:rPr>
          <w:rFonts w:hint="eastAsia" w:hAnsi="宋体"/>
          <w:sz w:val="32"/>
          <w:szCs w:val="32"/>
          <w:lang w:val="en-US" w:eastAsia="zh-CN"/>
        </w:rPr>
        <w:t>20</w:t>
      </w:r>
      <w:r>
        <w:rPr>
          <w:rFonts w:hAnsi="宋体"/>
          <w:sz w:val="32"/>
          <w:szCs w:val="32"/>
        </w:rPr>
        <w:t>分，</w:t>
      </w:r>
      <w:r>
        <w:rPr>
          <w:rFonts w:hint="eastAsia" w:hAnsi="宋体"/>
          <w:sz w:val="32"/>
          <w:szCs w:val="32"/>
        </w:rPr>
        <w:t>得分率为</w:t>
      </w:r>
      <w:r>
        <w:rPr>
          <w:rFonts w:hint="eastAsia" w:hAnsi="宋体"/>
          <w:sz w:val="32"/>
          <w:szCs w:val="32"/>
          <w:lang w:val="en-US" w:eastAsia="zh-CN"/>
        </w:rPr>
        <w:t>100</w:t>
      </w:r>
      <w:r>
        <w:rPr>
          <w:rFonts w:hAnsi="宋体"/>
          <w:sz w:val="32"/>
          <w:szCs w:val="32"/>
        </w:rPr>
        <w:t>%。</w:t>
      </w:r>
    </w:p>
    <w:p w14:paraId="15B3584E">
      <w:pPr>
        <w:spacing w:line="560" w:lineRule="exact"/>
        <w:ind w:firstLine="643"/>
        <w:rPr>
          <w:b/>
          <w:bCs/>
          <w:sz w:val="32"/>
          <w:szCs w:val="32"/>
        </w:rPr>
      </w:pPr>
      <w:r>
        <w:rPr>
          <w:rFonts w:hint="eastAsia"/>
          <w:b/>
          <w:bCs/>
          <w:sz w:val="32"/>
          <w:szCs w:val="32"/>
        </w:rPr>
        <w:t>（2）产出指标</w:t>
      </w:r>
    </w:p>
    <w:p w14:paraId="78290559">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39.2</w:t>
      </w:r>
      <w:r>
        <w:rPr>
          <w:rFonts w:hint="eastAsia" w:cs="仿宋_GB2312"/>
          <w:sz w:val="32"/>
          <w:szCs w:val="32"/>
        </w:rPr>
        <w:t>分，得分率为</w:t>
      </w:r>
      <w:r>
        <w:rPr>
          <w:rFonts w:hint="eastAsia" w:cs="仿宋_GB2312"/>
          <w:sz w:val="32"/>
          <w:szCs w:val="32"/>
          <w:lang w:val="en-US" w:eastAsia="zh-CN"/>
        </w:rPr>
        <w:t>98</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53"/>
        <w:gridCol w:w="2640"/>
        <w:gridCol w:w="1365"/>
        <w:gridCol w:w="1455"/>
        <w:gridCol w:w="735"/>
        <w:gridCol w:w="765"/>
        <w:gridCol w:w="956"/>
      </w:tblGrid>
      <w:tr w14:paraId="695FE6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shd w:val="clear" w:color="auto" w:fill="BDD6EE"/>
            <w:vAlign w:val="center"/>
          </w:tcPr>
          <w:p w14:paraId="227F317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40" w:type="dxa"/>
            <w:shd w:val="clear" w:color="auto" w:fill="BDD6EE"/>
            <w:vAlign w:val="center"/>
          </w:tcPr>
          <w:p w14:paraId="7508D7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shd w:val="clear" w:color="auto" w:fill="BDD6EE"/>
            <w:vAlign w:val="center"/>
          </w:tcPr>
          <w:p w14:paraId="0C99A89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14:paraId="241F8E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14:paraId="6296CF8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65" w:type="dxa"/>
            <w:shd w:val="clear" w:color="auto" w:fill="BDD6EE"/>
            <w:vAlign w:val="center"/>
          </w:tcPr>
          <w:p w14:paraId="1775925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56" w:type="dxa"/>
            <w:shd w:val="clear" w:color="auto" w:fill="BDD6EE"/>
            <w:vAlign w:val="center"/>
          </w:tcPr>
          <w:p w14:paraId="0CC2372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61B04F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14:paraId="520C6E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40" w:type="dxa"/>
            <w:vAlign w:val="center"/>
          </w:tcPr>
          <w:p w14:paraId="565384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维修改造工作完成率</w:t>
            </w:r>
          </w:p>
        </w:tc>
        <w:tc>
          <w:tcPr>
            <w:tcW w:w="1365" w:type="dxa"/>
            <w:vAlign w:val="center"/>
          </w:tcPr>
          <w:p w14:paraId="5BF4EF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&gt;=98%</w:t>
            </w:r>
          </w:p>
        </w:tc>
        <w:tc>
          <w:tcPr>
            <w:tcW w:w="1455" w:type="dxa"/>
            <w:vAlign w:val="center"/>
          </w:tcPr>
          <w:p w14:paraId="61674E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362C2F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65" w:type="dxa"/>
            <w:vAlign w:val="center"/>
          </w:tcPr>
          <w:p w14:paraId="404F2C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56" w:type="dxa"/>
            <w:vAlign w:val="center"/>
          </w:tcPr>
          <w:p w14:paraId="7B2449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C5EBA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14:paraId="6C0968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40" w:type="dxa"/>
            <w:vAlign w:val="center"/>
          </w:tcPr>
          <w:p w14:paraId="16141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验收合格率</w:t>
            </w:r>
          </w:p>
        </w:tc>
        <w:tc>
          <w:tcPr>
            <w:tcW w:w="1365" w:type="dxa"/>
            <w:vAlign w:val="center"/>
          </w:tcPr>
          <w:p w14:paraId="68D6D4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14:paraId="331DF5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2D216B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65" w:type="dxa"/>
            <w:vAlign w:val="center"/>
          </w:tcPr>
          <w:p w14:paraId="77BE25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56" w:type="dxa"/>
            <w:vAlign w:val="center"/>
          </w:tcPr>
          <w:p w14:paraId="635B42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483770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14:paraId="5DF996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40" w:type="dxa"/>
            <w:vAlign w:val="center"/>
          </w:tcPr>
          <w:p w14:paraId="7FB076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维修改造及时性</w:t>
            </w:r>
          </w:p>
        </w:tc>
        <w:tc>
          <w:tcPr>
            <w:tcW w:w="1365" w:type="dxa"/>
            <w:vAlign w:val="center"/>
          </w:tcPr>
          <w:p w14:paraId="3D391C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14:paraId="4CBF29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35" w:type="dxa"/>
            <w:vAlign w:val="center"/>
          </w:tcPr>
          <w:p w14:paraId="7CE2BC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65" w:type="dxa"/>
            <w:vAlign w:val="center"/>
          </w:tcPr>
          <w:p w14:paraId="01DDE9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956" w:type="dxa"/>
            <w:vAlign w:val="center"/>
          </w:tcPr>
          <w:p w14:paraId="2853BF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4EC81F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13" w:type="dxa"/>
            <w:gridSpan w:val="4"/>
            <w:shd w:val="clear" w:color="auto" w:fill="BDD6EE"/>
            <w:vAlign w:val="center"/>
          </w:tcPr>
          <w:p w14:paraId="1941E1B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14:paraId="7156E07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65" w:type="dxa"/>
            <w:shd w:val="clear" w:color="auto" w:fill="BDD6EE"/>
            <w:vAlign w:val="center"/>
          </w:tcPr>
          <w:p w14:paraId="31172B0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39.2</w:t>
            </w:r>
          </w:p>
        </w:tc>
        <w:tc>
          <w:tcPr>
            <w:tcW w:w="956" w:type="dxa"/>
            <w:shd w:val="clear" w:color="auto" w:fill="BDD6EE"/>
            <w:vAlign w:val="center"/>
          </w:tcPr>
          <w:p w14:paraId="0AD9B9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98%</w:t>
            </w:r>
          </w:p>
        </w:tc>
      </w:tr>
    </w:tbl>
    <w:p w14:paraId="36D6C551">
      <w:pPr>
        <w:spacing w:line="560" w:lineRule="exact"/>
        <w:ind w:firstLine="643"/>
        <w:rPr>
          <w:rFonts w:hint="eastAsia" w:hAnsi="宋体"/>
          <w:b w:val="0"/>
          <w:bCs w:val="0"/>
          <w:sz w:val="32"/>
          <w:szCs w:val="32"/>
        </w:rPr>
      </w:pPr>
      <w:r>
        <w:rPr>
          <w:rFonts w:hint="eastAsia" w:hAnsi="宋体"/>
          <w:b/>
          <w:bCs/>
          <w:sz w:val="32"/>
          <w:szCs w:val="32"/>
          <w:lang w:val="en-US" w:eastAsia="zh-CN"/>
        </w:rPr>
        <w:t>维修改造工作完成率</w:t>
      </w:r>
      <w:r>
        <w:rPr>
          <w:rFonts w:hint="eastAsia" w:hAnsi="宋体"/>
          <w:b/>
          <w:bCs/>
          <w:sz w:val="32"/>
          <w:szCs w:val="32"/>
        </w:rPr>
        <w:t>：</w:t>
      </w:r>
      <w:r>
        <w:rPr>
          <w:rFonts w:hint="eastAsia" w:hAnsi="宋体"/>
          <w:b w:val="0"/>
          <w:bCs w:val="0"/>
          <w:sz w:val="32"/>
          <w:szCs w:val="32"/>
        </w:rPr>
        <w:t>年度指标</w:t>
      </w:r>
      <w:r>
        <w:rPr>
          <w:rFonts w:hint="eastAsia" w:hAnsi="宋体"/>
          <w:b w:val="0"/>
          <w:bCs w:val="0"/>
          <w:sz w:val="32"/>
          <w:szCs w:val="32"/>
          <w:lang w:val="en-US" w:eastAsia="zh-CN"/>
        </w:rPr>
        <w:t>98</w:t>
      </w:r>
      <w:r>
        <w:rPr>
          <w:rFonts w:hint="eastAsia" w:hAnsi="宋体"/>
          <w:b w:val="0"/>
          <w:bCs w:val="0"/>
          <w:sz w:val="32"/>
          <w:szCs w:val="32"/>
        </w:rPr>
        <w:t>%，实际完成值100%，分值</w:t>
      </w:r>
      <w:r>
        <w:rPr>
          <w:rFonts w:hint="eastAsia" w:hAnsi="宋体"/>
          <w:b w:val="0"/>
          <w:bCs w:val="0"/>
          <w:sz w:val="32"/>
          <w:szCs w:val="32"/>
          <w:lang w:val="en-US" w:eastAsia="zh-CN"/>
        </w:rPr>
        <w:t>16</w:t>
      </w:r>
      <w:r>
        <w:rPr>
          <w:rFonts w:hint="eastAsia" w:hAnsi="宋体"/>
          <w:b w:val="0"/>
          <w:bCs w:val="0"/>
          <w:sz w:val="32"/>
          <w:szCs w:val="32"/>
        </w:rPr>
        <w:t>分，得分</w:t>
      </w:r>
      <w:r>
        <w:rPr>
          <w:rFonts w:hint="eastAsia" w:hAnsi="宋体"/>
          <w:b w:val="0"/>
          <w:bCs w:val="0"/>
          <w:sz w:val="32"/>
          <w:szCs w:val="32"/>
          <w:lang w:val="en-US" w:eastAsia="zh-CN"/>
        </w:rPr>
        <w:t>16</w:t>
      </w:r>
      <w:r>
        <w:rPr>
          <w:rFonts w:hint="eastAsia" w:hAnsi="宋体"/>
          <w:b w:val="0"/>
          <w:bCs w:val="0"/>
          <w:sz w:val="32"/>
          <w:szCs w:val="32"/>
        </w:rPr>
        <w:t>分，得分率100.00%。体现出</w:t>
      </w:r>
      <w:r>
        <w:rPr>
          <w:rFonts w:hint="eastAsia" w:hAnsi="宋体"/>
          <w:b w:val="0"/>
          <w:bCs w:val="0"/>
          <w:sz w:val="32"/>
          <w:szCs w:val="32"/>
          <w:lang w:val="en-US" w:eastAsia="zh-CN"/>
        </w:rPr>
        <w:t>我</w:t>
      </w:r>
      <w:r>
        <w:rPr>
          <w:rFonts w:hint="eastAsia" w:hAnsi="宋体"/>
          <w:b w:val="0"/>
          <w:bCs w:val="0"/>
          <w:sz w:val="32"/>
          <w:szCs w:val="32"/>
        </w:rPr>
        <w:t>院维修改造工作完成率</w:t>
      </w:r>
      <w:r>
        <w:rPr>
          <w:rFonts w:hint="eastAsia" w:hAnsi="宋体"/>
          <w:b w:val="0"/>
          <w:bCs w:val="0"/>
          <w:sz w:val="32"/>
          <w:szCs w:val="32"/>
          <w:lang w:val="en-US" w:eastAsia="zh-CN"/>
        </w:rPr>
        <w:t>高</w:t>
      </w:r>
      <w:r>
        <w:rPr>
          <w:rFonts w:hint="eastAsia" w:hAnsi="宋体"/>
          <w:b w:val="0"/>
          <w:bCs w:val="0"/>
          <w:sz w:val="32"/>
          <w:szCs w:val="32"/>
        </w:rPr>
        <w:t>。</w:t>
      </w:r>
    </w:p>
    <w:p w14:paraId="2CAE2EF7">
      <w:pPr>
        <w:spacing w:line="560" w:lineRule="exact"/>
        <w:ind w:firstLine="643"/>
        <w:rPr>
          <w:rFonts w:hint="eastAsia" w:hAnsi="宋体"/>
          <w:b/>
          <w:bCs/>
          <w:sz w:val="32"/>
          <w:szCs w:val="32"/>
        </w:rPr>
      </w:pPr>
      <w:r>
        <w:rPr>
          <w:rFonts w:hint="eastAsia" w:hAnsi="宋体"/>
          <w:b/>
          <w:bCs/>
          <w:sz w:val="32"/>
          <w:szCs w:val="32"/>
        </w:rPr>
        <w:t>验收合格率：</w:t>
      </w:r>
      <w:r>
        <w:rPr>
          <w:rFonts w:hint="eastAsia" w:hAnsi="宋体"/>
          <w:b w:val="0"/>
          <w:bCs w:val="0"/>
          <w:sz w:val="32"/>
          <w:szCs w:val="32"/>
        </w:rPr>
        <w:t>年度指标</w:t>
      </w:r>
      <w:r>
        <w:rPr>
          <w:rFonts w:hint="eastAsia" w:hAnsi="宋体"/>
          <w:b w:val="0"/>
          <w:bCs w:val="0"/>
          <w:sz w:val="32"/>
          <w:szCs w:val="32"/>
          <w:lang w:val="en-US" w:eastAsia="zh-CN"/>
        </w:rPr>
        <w:t>100</w:t>
      </w:r>
      <w:r>
        <w:rPr>
          <w:rFonts w:hint="eastAsia" w:hAnsi="宋体"/>
          <w:b w:val="0"/>
          <w:bCs w:val="0"/>
          <w:sz w:val="32"/>
          <w:szCs w:val="32"/>
        </w:rPr>
        <w:t>%，实际完成值</w:t>
      </w:r>
      <w:r>
        <w:rPr>
          <w:rFonts w:hint="eastAsia" w:hAnsi="宋体"/>
          <w:b w:val="0"/>
          <w:bCs w:val="0"/>
          <w:sz w:val="32"/>
          <w:szCs w:val="32"/>
          <w:lang w:val="en-US" w:eastAsia="zh-CN"/>
        </w:rPr>
        <w:t>100</w:t>
      </w:r>
      <w:r>
        <w:rPr>
          <w:rFonts w:hint="eastAsia" w:hAnsi="宋体"/>
          <w:b w:val="0"/>
          <w:bCs w:val="0"/>
          <w:sz w:val="32"/>
          <w:szCs w:val="32"/>
        </w:rPr>
        <w:t>%，分值</w:t>
      </w:r>
      <w:r>
        <w:rPr>
          <w:rFonts w:hint="eastAsia" w:hAnsi="宋体"/>
          <w:b w:val="0"/>
          <w:bCs w:val="0"/>
          <w:sz w:val="32"/>
          <w:szCs w:val="32"/>
          <w:lang w:val="en-US" w:eastAsia="zh-CN"/>
        </w:rPr>
        <w:t>16</w:t>
      </w:r>
      <w:r>
        <w:rPr>
          <w:rFonts w:hint="eastAsia" w:hAnsi="宋体"/>
          <w:b w:val="0"/>
          <w:bCs w:val="0"/>
          <w:sz w:val="32"/>
          <w:szCs w:val="32"/>
        </w:rPr>
        <w:t>分，得分</w:t>
      </w:r>
      <w:r>
        <w:rPr>
          <w:rFonts w:hint="eastAsia" w:hAnsi="宋体"/>
          <w:b w:val="0"/>
          <w:bCs w:val="0"/>
          <w:sz w:val="32"/>
          <w:szCs w:val="32"/>
          <w:lang w:val="en-US" w:eastAsia="zh-CN"/>
        </w:rPr>
        <w:t>16</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b w:val="0"/>
          <w:bCs w:val="0"/>
          <w:sz w:val="32"/>
          <w:szCs w:val="32"/>
        </w:rPr>
        <w:t>%。表明</w:t>
      </w:r>
      <w:r>
        <w:rPr>
          <w:rFonts w:hint="eastAsia" w:hAnsi="宋体"/>
          <w:b w:val="0"/>
          <w:bCs w:val="0"/>
          <w:sz w:val="32"/>
          <w:szCs w:val="32"/>
          <w:lang w:val="en-US" w:eastAsia="zh-CN"/>
        </w:rPr>
        <w:t>我</w:t>
      </w:r>
      <w:r>
        <w:rPr>
          <w:rFonts w:hint="eastAsia" w:hAnsi="宋体"/>
          <w:b w:val="0"/>
          <w:bCs w:val="0"/>
          <w:sz w:val="32"/>
          <w:szCs w:val="32"/>
        </w:rPr>
        <w:t>院在工程竣工后的验交工作推进较为及时</w:t>
      </w:r>
      <w:r>
        <w:rPr>
          <w:rFonts w:hint="eastAsia" w:hAnsi="宋体"/>
          <w:b w:val="0"/>
          <w:bCs w:val="0"/>
          <w:sz w:val="32"/>
          <w:szCs w:val="32"/>
          <w:lang w:eastAsia="zh-CN"/>
        </w:rPr>
        <w:t>，</w:t>
      </w:r>
      <w:r>
        <w:rPr>
          <w:rFonts w:hint="eastAsia" w:hAnsi="宋体"/>
          <w:b w:val="0"/>
          <w:bCs w:val="0"/>
          <w:sz w:val="32"/>
          <w:szCs w:val="32"/>
          <w:lang w:val="en-US" w:eastAsia="zh-CN"/>
        </w:rPr>
        <w:t>工程完工</w:t>
      </w:r>
      <w:r>
        <w:rPr>
          <w:rFonts w:hint="eastAsia" w:hAnsi="宋体"/>
          <w:b w:val="0"/>
          <w:bCs w:val="0"/>
          <w:sz w:val="32"/>
          <w:szCs w:val="32"/>
          <w:lang w:eastAsia="zh-CN"/>
        </w:rPr>
        <w:t>验收合格</w:t>
      </w:r>
      <w:r>
        <w:rPr>
          <w:rFonts w:hint="eastAsia" w:hAnsi="宋体"/>
          <w:b w:val="0"/>
          <w:bCs w:val="0"/>
          <w:sz w:val="32"/>
          <w:szCs w:val="32"/>
        </w:rPr>
        <w:t>。</w:t>
      </w:r>
    </w:p>
    <w:p w14:paraId="2CC62D3D">
      <w:pPr>
        <w:spacing w:line="560" w:lineRule="exact"/>
        <w:ind w:firstLine="643"/>
        <w:rPr>
          <w:rFonts w:hint="eastAsia" w:hAnsi="宋体"/>
          <w:b/>
          <w:bCs/>
          <w:sz w:val="32"/>
          <w:szCs w:val="32"/>
        </w:rPr>
      </w:pPr>
      <w:r>
        <w:rPr>
          <w:rFonts w:hint="eastAsia" w:hAnsi="宋体"/>
          <w:b/>
          <w:bCs/>
          <w:sz w:val="32"/>
          <w:szCs w:val="32"/>
        </w:rPr>
        <w:t>维修改造及时性：</w:t>
      </w:r>
      <w:r>
        <w:rPr>
          <w:rFonts w:hint="eastAsia" w:hAnsi="宋体"/>
          <w:b w:val="0"/>
          <w:bCs w:val="0"/>
          <w:sz w:val="32"/>
          <w:szCs w:val="32"/>
        </w:rPr>
        <w:t>年度指标</w:t>
      </w:r>
      <w:r>
        <w:rPr>
          <w:rFonts w:hint="eastAsia" w:hAnsi="宋体"/>
          <w:b w:val="0"/>
          <w:bCs w:val="0"/>
          <w:sz w:val="32"/>
          <w:szCs w:val="32"/>
          <w:lang w:val="en-US" w:eastAsia="zh-CN"/>
        </w:rPr>
        <w:t>及时</w:t>
      </w:r>
      <w:r>
        <w:rPr>
          <w:rFonts w:hint="eastAsia" w:hAnsi="宋体"/>
          <w:b w:val="0"/>
          <w:bCs w:val="0"/>
          <w:sz w:val="32"/>
          <w:szCs w:val="32"/>
        </w:rPr>
        <w:t>，实际完成值</w:t>
      </w:r>
      <w:r>
        <w:rPr>
          <w:rFonts w:hint="eastAsia" w:hAnsi="宋体"/>
          <w:b w:val="0"/>
          <w:bCs w:val="0"/>
          <w:sz w:val="32"/>
          <w:szCs w:val="32"/>
          <w:lang w:val="en-US" w:eastAsia="zh-CN"/>
        </w:rPr>
        <w:t>100-80</w:t>
      </w:r>
      <w:r>
        <w:rPr>
          <w:rFonts w:hint="eastAsia" w:hAnsi="宋体"/>
          <w:b w:val="0"/>
          <w:bCs w:val="0"/>
          <w:sz w:val="32"/>
          <w:szCs w:val="32"/>
        </w:rPr>
        <w:t>%，分值8分，得分</w:t>
      </w:r>
      <w:r>
        <w:rPr>
          <w:rFonts w:hint="eastAsia" w:hAnsi="宋体"/>
          <w:b w:val="0"/>
          <w:bCs w:val="0"/>
          <w:sz w:val="32"/>
          <w:szCs w:val="32"/>
          <w:lang w:val="en-US" w:eastAsia="zh-CN"/>
        </w:rPr>
        <w:t>7.2</w:t>
      </w:r>
      <w:r>
        <w:rPr>
          <w:rFonts w:hint="eastAsia" w:hAnsi="宋体"/>
          <w:b w:val="0"/>
          <w:bCs w:val="0"/>
          <w:sz w:val="32"/>
          <w:szCs w:val="32"/>
        </w:rPr>
        <w:t>分，得分率</w:t>
      </w:r>
      <w:r>
        <w:rPr>
          <w:rFonts w:hint="eastAsia" w:hAnsi="宋体"/>
          <w:b w:val="0"/>
          <w:bCs w:val="0"/>
          <w:sz w:val="32"/>
          <w:szCs w:val="32"/>
          <w:lang w:val="en-US" w:eastAsia="zh-CN"/>
        </w:rPr>
        <w:t>9</w:t>
      </w:r>
      <w:r>
        <w:rPr>
          <w:rFonts w:hint="eastAsia" w:hAnsi="宋体"/>
          <w:b w:val="0"/>
          <w:bCs w:val="0"/>
          <w:sz w:val="32"/>
          <w:szCs w:val="32"/>
        </w:rPr>
        <w:t>0%。说明</w:t>
      </w:r>
      <w:r>
        <w:rPr>
          <w:rFonts w:hint="eastAsia" w:hAnsi="宋体"/>
          <w:b w:val="0"/>
          <w:bCs w:val="0"/>
          <w:sz w:val="32"/>
          <w:szCs w:val="32"/>
          <w:lang w:val="en-US" w:eastAsia="zh-CN"/>
        </w:rPr>
        <w:t>我</w:t>
      </w:r>
      <w:r>
        <w:rPr>
          <w:rFonts w:hint="eastAsia" w:hAnsi="宋体"/>
          <w:b w:val="0"/>
          <w:bCs w:val="0"/>
          <w:sz w:val="32"/>
          <w:szCs w:val="32"/>
        </w:rPr>
        <w:t>院维修改造及时。</w:t>
      </w:r>
    </w:p>
    <w:p w14:paraId="587FE0A3">
      <w:pPr>
        <w:spacing w:line="560" w:lineRule="exact"/>
        <w:ind w:firstLine="643"/>
        <w:rPr>
          <w:b/>
          <w:bCs/>
          <w:sz w:val="32"/>
          <w:szCs w:val="32"/>
        </w:rPr>
      </w:pPr>
      <w:r>
        <w:rPr>
          <w:rFonts w:hint="eastAsia"/>
          <w:b/>
          <w:bCs/>
          <w:sz w:val="32"/>
          <w:szCs w:val="32"/>
        </w:rPr>
        <w:t>（3）效益指标</w:t>
      </w:r>
    </w:p>
    <w:p w14:paraId="2C5DA4C5">
      <w:pPr>
        <w:spacing w:line="560" w:lineRule="exact"/>
        <w:ind w:firstLine="640"/>
        <w:rPr>
          <w:rFonts w:hint="eastAsia"/>
          <w:sz w:val="32"/>
          <w:szCs w:val="32"/>
        </w:rPr>
      </w:pPr>
      <w:r>
        <w:rPr>
          <w:rFonts w:hint="eastAsia"/>
          <w:sz w:val="32"/>
          <w:szCs w:val="32"/>
        </w:rPr>
        <w:t>本项目效益指标主要考虑社会效益</w:t>
      </w:r>
      <w:r>
        <w:rPr>
          <w:rFonts w:hint="eastAsia"/>
          <w:sz w:val="32"/>
          <w:szCs w:val="32"/>
          <w:lang w:val="en-US" w:eastAsia="zh-CN"/>
        </w:rPr>
        <w:t>指标</w:t>
      </w:r>
      <w:r>
        <w:rPr>
          <w:rFonts w:hint="eastAsia"/>
          <w:sz w:val="32"/>
          <w:szCs w:val="32"/>
        </w:rPr>
        <w:t>。总分值20分，得分</w:t>
      </w:r>
      <w:r>
        <w:rPr>
          <w:rFonts w:hint="eastAsia"/>
          <w:sz w:val="32"/>
          <w:szCs w:val="32"/>
          <w:lang w:val="en-US" w:eastAsia="zh-CN"/>
        </w:rPr>
        <w:t>18</w:t>
      </w:r>
      <w:r>
        <w:rPr>
          <w:rFonts w:hint="eastAsia"/>
          <w:sz w:val="32"/>
          <w:szCs w:val="32"/>
        </w:rPr>
        <w:t>分，得分率为</w:t>
      </w:r>
      <w:r>
        <w:rPr>
          <w:rFonts w:hint="eastAsia"/>
          <w:sz w:val="32"/>
          <w:szCs w:val="32"/>
          <w:lang w:val="en-US" w:eastAsia="zh-CN"/>
        </w:rPr>
        <w:t>90</w:t>
      </w:r>
      <w:r>
        <w:rPr>
          <w:rFonts w:hint="eastAsia"/>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2193"/>
        <w:gridCol w:w="1434"/>
        <w:gridCol w:w="1500"/>
        <w:gridCol w:w="659"/>
        <w:gridCol w:w="727"/>
        <w:gridCol w:w="964"/>
      </w:tblGrid>
      <w:tr w14:paraId="444053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2" w:type="dxa"/>
            <w:shd w:val="clear" w:color="auto" w:fill="BDD6EE"/>
            <w:vAlign w:val="center"/>
          </w:tcPr>
          <w:p w14:paraId="760BAEA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93" w:type="dxa"/>
            <w:shd w:val="clear" w:color="auto" w:fill="BDD6EE"/>
            <w:vAlign w:val="center"/>
          </w:tcPr>
          <w:p w14:paraId="03D2D2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434" w:type="dxa"/>
            <w:shd w:val="clear" w:color="auto" w:fill="BDD6EE"/>
            <w:vAlign w:val="center"/>
          </w:tcPr>
          <w:p w14:paraId="2196371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00" w:type="dxa"/>
            <w:shd w:val="clear" w:color="auto" w:fill="BDD6EE"/>
            <w:vAlign w:val="center"/>
          </w:tcPr>
          <w:p w14:paraId="18DDD5A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59" w:type="dxa"/>
            <w:shd w:val="clear" w:color="auto" w:fill="BDD6EE"/>
            <w:vAlign w:val="center"/>
          </w:tcPr>
          <w:p w14:paraId="0BCAEA6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27" w:type="dxa"/>
            <w:shd w:val="clear" w:color="auto" w:fill="BDD6EE"/>
            <w:vAlign w:val="center"/>
          </w:tcPr>
          <w:p w14:paraId="3DB2678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64" w:type="dxa"/>
            <w:shd w:val="clear" w:color="auto" w:fill="BDD6EE"/>
            <w:vAlign w:val="center"/>
          </w:tcPr>
          <w:p w14:paraId="3655B11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3C27E6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3FCF0D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93" w:type="dxa"/>
            <w:vAlign w:val="center"/>
          </w:tcPr>
          <w:p w14:paraId="3730FA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改善办案条件</w:t>
            </w:r>
          </w:p>
        </w:tc>
        <w:tc>
          <w:tcPr>
            <w:tcW w:w="1434" w:type="dxa"/>
            <w:vAlign w:val="center"/>
          </w:tcPr>
          <w:p w14:paraId="58C577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有效改善</w:t>
            </w:r>
          </w:p>
        </w:tc>
        <w:tc>
          <w:tcPr>
            <w:tcW w:w="1500" w:type="dxa"/>
            <w:vAlign w:val="center"/>
          </w:tcPr>
          <w:p w14:paraId="00CCC2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59" w:type="dxa"/>
            <w:vAlign w:val="center"/>
          </w:tcPr>
          <w:p w14:paraId="41A0C3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27" w:type="dxa"/>
            <w:vAlign w:val="center"/>
          </w:tcPr>
          <w:p w14:paraId="6F2D82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64" w:type="dxa"/>
            <w:vAlign w:val="center"/>
          </w:tcPr>
          <w:p w14:paraId="307662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1E0BAD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9" w:type="dxa"/>
            <w:gridSpan w:val="4"/>
            <w:shd w:val="clear" w:color="auto" w:fill="BDD6EE"/>
            <w:vAlign w:val="center"/>
          </w:tcPr>
          <w:p w14:paraId="72FAB0C1">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59" w:type="dxa"/>
            <w:shd w:val="clear" w:color="auto" w:fill="BDD6EE"/>
            <w:vAlign w:val="center"/>
          </w:tcPr>
          <w:p w14:paraId="37E5BB8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727" w:type="dxa"/>
            <w:shd w:val="clear" w:color="auto" w:fill="BDD6EE"/>
            <w:vAlign w:val="center"/>
          </w:tcPr>
          <w:p w14:paraId="11DE7C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964" w:type="dxa"/>
            <w:shd w:val="clear" w:color="auto" w:fill="BDD6EE"/>
            <w:vAlign w:val="center"/>
          </w:tcPr>
          <w:p w14:paraId="2C2DA9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w:t>
            </w:r>
          </w:p>
        </w:tc>
      </w:tr>
    </w:tbl>
    <w:p w14:paraId="0D5E8C5A">
      <w:pPr>
        <w:spacing w:line="560" w:lineRule="exact"/>
        <w:ind w:firstLine="643"/>
        <w:rPr>
          <w:rFonts w:hint="eastAsia"/>
          <w:b w:val="0"/>
          <w:bCs w:val="0"/>
          <w:sz w:val="32"/>
          <w:szCs w:val="32"/>
        </w:rPr>
      </w:pPr>
      <w:r>
        <w:rPr>
          <w:rFonts w:hint="eastAsia"/>
          <w:b/>
          <w:bCs/>
          <w:sz w:val="32"/>
          <w:szCs w:val="32"/>
        </w:rPr>
        <w:t>改善办案条件：</w:t>
      </w:r>
      <w:r>
        <w:rPr>
          <w:rFonts w:hint="eastAsia"/>
          <w:b w:val="0"/>
          <w:bCs w:val="0"/>
          <w:sz w:val="32"/>
          <w:szCs w:val="32"/>
        </w:rPr>
        <w:t>年度指标为有效改善，实际完成值处于（100%-80%含）区间，分值</w:t>
      </w:r>
      <w:r>
        <w:rPr>
          <w:rFonts w:hint="eastAsia"/>
          <w:b w:val="0"/>
          <w:bCs w:val="0"/>
          <w:sz w:val="32"/>
          <w:szCs w:val="32"/>
          <w:lang w:val="en-US" w:eastAsia="zh-CN"/>
        </w:rPr>
        <w:t>20</w:t>
      </w:r>
      <w:r>
        <w:rPr>
          <w:rFonts w:hint="eastAsia"/>
          <w:b w:val="0"/>
          <w:bCs w:val="0"/>
          <w:sz w:val="32"/>
          <w:szCs w:val="32"/>
        </w:rPr>
        <w:t>分，得分</w:t>
      </w:r>
      <w:r>
        <w:rPr>
          <w:rFonts w:hint="eastAsia"/>
          <w:b w:val="0"/>
          <w:bCs w:val="0"/>
          <w:sz w:val="32"/>
          <w:szCs w:val="32"/>
          <w:lang w:val="en-US" w:eastAsia="zh-CN"/>
        </w:rPr>
        <w:t>18</w:t>
      </w:r>
      <w:r>
        <w:rPr>
          <w:rFonts w:hint="eastAsia"/>
          <w:b w:val="0"/>
          <w:bCs w:val="0"/>
          <w:sz w:val="32"/>
          <w:szCs w:val="32"/>
        </w:rPr>
        <w:t>分，得分率</w:t>
      </w:r>
      <w:r>
        <w:rPr>
          <w:rFonts w:hint="eastAsia"/>
          <w:b w:val="0"/>
          <w:bCs w:val="0"/>
          <w:sz w:val="32"/>
          <w:szCs w:val="32"/>
          <w:lang w:val="en-US" w:eastAsia="zh-CN"/>
        </w:rPr>
        <w:t>90</w:t>
      </w:r>
      <w:r>
        <w:rPr>
          <w:rFonts w:hint="eastAsia"/>
          <w:b w:val="0"/>
          <w:bCs w:val="0"/>
          <w:sz w:val="32"/>
          <w:szCs w:val="32"/>
        </w:rPr>
        <w:t>%。说</w:t>
      </w:r>
      <w:r>
        <w:rPr>
          <w:rFonts w:hint="eastAsia"/>
          <w:b w:val="0"/>
          <w:bCs w:val="0"/>
          <w:sz w:val="32"/>
          <w:szCs w:val="32"/>
          <w:lang w:eastAsia="zh-CN"/>
        </w:rPr>
        <w:t>明我院</w:t>
      </w:r>
      <w:r>
        <w:rPr>
          <w:rFonts w:hint="eastAsia"/>
          <w:b w:val="0"/>
          <w:bCs w:val="0"/>
          <w:sz w:val="32"/>
          <w:szCs w:val="32"/>
        </w:rPr>
        <w:t>在改善办案条件工作上取得了一定成果，能够有效满足审判工作需求，保障审判业务正常开展。</w:t>
      </w:r>
    </w:p>
    <w:p w14:paraId="0170B972">
      <w:pPr>
        <w:numPr>
          <w:ilvl w:val="255"/>
          <w:numId w:val="0"/>
        </w:numPr>
        <w:spacing w:line="560" w:lineRule="exact"/>
        <w:ind w:firstLine="643" w:firstLineChars="200"/>
        <w:rPr>
          <w:b/>
          <w:bCs/>
          <w:sz w:val="32"/>
          <w:szCs w:val="32"/>
        </w:rPr>
      </w:pPr>
      <w:r>
        <w:rPr>
          <w:rFonts w:hint="eastAsia"/>
          <w:b/>
          <w:bCs/>
          <w:sz w:val="32"/>
          <w:szCs w:val="32"/>
        </w:rPr>
        <w:t>（4）满意度指标</w:t>
      </w:r>
    </w:p>
    <w:p w14:paraId="46F01A04">
      <w:pPr>
        <w:spacing w:line="560" w:lineRule="exact"/>
        <w:ind w:firstLine="640"/>
        <w:rPr>
          <w:rFonts w:hint="eastAsia" w:hAnsi="宋体"/>
          <w:sz w:val="32"/>
          <w:szCs w:val="32"/>
        </w:rPr>
      </w:pPr>
      <w:r>
        <w:rPr>
          <w:rFonts w:hint="eastAsia" w:hAnsi="宋体"/>
          <w:sz w:val="32"/>
          <w:szCs w:val="32"/>
        </w:rPr>
        <w:t>服务对象满意度主要为干警满意度，该指标分值合计10分，自评得分10分，得分率为100%。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28"/>
        <w:gridCol w:w="1942"/>
        <w:gridCol w:w="1373"/>
        <w:gridCol w:w="1290"/>
        <w:gridCol w:w="690"/>
        <w:gridCol w:w="639"/>
        <w:gridCol w:w="1007"/>
      </w:tblGrid>
      <w:tr w14:paraId="4592F4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shd w:val="clear" w:color="auto" w:fill="BDD6EE"/>
            <w:vAlign w:val="center"/>
          </w:tcPr>
          <w:p w14:paraId="3363504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42" w:type="dxa"/>
            <w:shd w:val="clear" w:color="auto" w:fill="BDD6EE"/>
            <w:vAlign w:val="center"/>
          </w:tcPr>
          <w:p w14:paraId="5DC7F77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14:paraId="521FB13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14:paraId="444FFE0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14:paraId="6A13E57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14:paraId="227B995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14:paraId="475CDE6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32ACB4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vAlign w:val="center"/>
          </w:tcPr>
          <w:p w14:paraId="3251B1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942" w:type="dxa"/>
            <w:vAlign w:val="center"/>
          </w:tcPr>
          <w:p w14:paraId="265FF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干警满意度</w:t>
            </w:r>
          </w:p>
        </w:tc>
        <w:tc>
          <w:tcPr>
            <w:tcW w:w="1373" w:type="dxa"/>
            <w:vAlign w:val="center"/>
          </w:tcPr>
          <w:p w14:paraId="0D5EAA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290" w:type="dxa"/>
            <w:vAlign w:val="center"/>
          </w:tcPr>
          <w:p w14:paraId="6485AD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90" w:type="dxa"/>
            <w:vAlign w:val="center"/>
          </w:tcPr>
          <w:p w14:paraId="0313BFA5">
            <w:pPr>
              <w:keepNext w:val="0"/>
              <w:keepLines w:val="0"/>
              <w:widowControl/>
              <w:suppressLineNumbers w:val="0"/>
              <w:ind w:left="0" w:leftChars="0"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i w:val="0"/>
                <w:iCs w:val="0"/>
                <w:color w:val="333333"/>
                <w:kern w:val="0"/>
                <w:sz w:val="20"/>
                <w:szCs w:val="20"/>
                <w:u w:val="none"/>
                <w:lang w:val="en-US" w:eastAsia="zh-CN" w:bidi="ar"/>
              </w:rPr>
              <w:t>10</w:t>
            </w:r>
          </w:p>
        </w:tc>
        <w:tc>
          <w:tcPr>
            <w:tcW w:w="639" w:type="dxa"/>
            <w:vAlign w:val="center"/>
          </w:tcPr>
          <w:p w14:paraId="31A62626">
            <w:pPr>
              <w:keepNext w:val="0"/>
              <w:keepLines w:val="0"/>
              <w:widowControl/>
              <w:suppressLineNumbers w:val="0"/>
              <w:ind w:left="0" w:leftChars="0"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i w:val="0"/>
                <w:iCs w:val="0"/>
                <w:color w:val="333333"/>
                <w:kern w:val="0"/>
                <w:sz w:val="20"/>
                <w:szCs w:val="20"/>
                <w:u w:val="none"/>
                <w:lang w:val="en-US" w:eastAsia="zh-CN" w:bidi="ar"/>
              </w:rPr>
              <w:t>10</w:t>
            </w:r>
          </w:p>
        </w:tc>
        <w:tc>
          <w:tcPr>
            <w:tcW w:w="1007" w:type="dxa"/>
            <w:vAlign w:val="center"/>
          </w:tcPr>
          <w:p w14:paraId="3D1DB1D1">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100.00%</w:t>
            </w:r>
          </w:p>
        </w:tc>
      </w:tr>
      <w:tr w14:paraId="608202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14:paraId="00CC235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14:paraId="7BA3E0C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14:paraId="5747A96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14:paraId="3773A30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7AD0995E">
      <w:pPr>
        <w:spacing w:line="560" w:lineRule="exact"/>
        <w:ind w:firstLine="643"/>
        <w:rPr>
          <w:rFonts w:hint="eastAsia" w:hAnsi="宋体"/>
          <w:b w:val="0"/>
          <w:bCs w:val="0"/>
          <w:sz w:val="32"/>
          <w:szCs w:val="32"/>
        </w:rPr>
      </w:pPr>
      <w:r>
        <w:rPr>
          <w:rFonts w:hint="eastAsia" w:hAnsi="宋体"/>
          <w:b/>
          <w:bCs/>
          <w:sz w:val="32"/>
          <w:szCs w:val="32"/>
        </w:rPr>
        <w:t>干警满意度：</w:t>
      </w:r>
      <w:r>
        <w:rPr>
          <w:rFonts w:hint="eastAsia" w:hAnsi="宋体"/>
          <w:b w:val="0"/>
          <w:bCs w:val="0"/>
          <w:sz w:val="32"/>
          <w:szCs w:val="32"/>
        </w:rPr>
        <w:t>年度指标</w:t>
      </w:r>
      <w:r>
        <w:rPr>
          <w:rFonts w:hint="eastAsia" w:hAnsi="宋体"/>
          <w:b w:val="0"/>
          <w:bCs w:val="0"/>
          <w:sz w:val="32"/>
          <w:szCs w:val="32"/>
          <w:lang w:val="en-US" w:eastAsia="zh-CN"/>
        </w:rPr>
        <w:t>大于等于</w:t>
      </w:r>
      <w:r>
        <w:rPr>
          <w:rFonts w:hint="eastAsia" w:hAnsi="宋体"/>
          <w:b w:val="0"/>
          <w:bCs w:val="0"/>
          <w:sz w:val="32"/>
          <w:szCs w:val="32"/>
        </w:rPr>
        <w:t>95%，实际完成值98%，分值5分，得分5分，得分率100.00%。</w:t>
      </w:r>
      <w:r>
        <w:rPr>
          <w:rFonts w:hint="eastAsia" w:hAnsi="宋体"/>
          <w:b w:val="0"/>
          <w:bCs w:val="0"/>
          <w:sz w:val="32"/>
          <w:szCs w:val="32"/>
          <w:lang w:eastAsia="zh-CN"/>
        </w:rPr>
        <w:t>反映出我</w:t>
      </w:r>
      <w:r>
        <w:rPr>
          <w:rFonts w:hint="eastAsia" w:hAnsi="宋体"/>
          <w:b w:val="0"/>
          <w:bCs w:val="0"/>
          <w:sz w:val="32"/>
          <w:szCs w:val="32"/>
        </w:rPr>
        <w:t>院工作人员对工作环境、管理等方面较为满意，内部管理和团队建设工作成效显著，有利于提高工作人员的工作积极性和效率。</w:t>
      </w:r>
    </w:p>
    <w:p w14:paraId="41E4D1F2">
      <w:pPr>
        <w:pStyle w:val="4"/>
        <w:spacing w:line="560" w:lineRule="exact"/>
        <w:ind w:firstLine="643"/>
        <w:rPr>
          <w:sz w:val="32"/>
        </w:rPr>
      </w:pPr>
      <w:r>
        <w:rPr>
          <w:rFonts w:hint="eastAsia"/>
          <w:sz w:val="32"/>
        </w:rPr>
        <w:t>4.偏离绩效目标的原因及下一步改进措施</w:t>
      </w:r>
    </w:p>
    <w:p w14:paraId="2F0A1D3C">
      <w:pPr>
        <w:spacing w:line="560" w:lineRule="exact"/>
        <w:ind w:firstLine="640"/>
        <w:rPr>
          <w:rFonts w:hint="eastAsia"/>
          <w:sz w:val="32"/>
          <w:szCs w:val="32"/>
        </w:rPr>
      </w:pPr>
      <w:r>
        <w:rPr>
          <w:rFonts w:hint="eastAsia"/>
          <w:sz w:val="32"/>
          <w:szCs w:val="32"/>
        </w:rPr>
        <w:t>无。</w:t>
      </w:r>
    </w:p>
    <w:p w14:paraId="01F8D25C">
      <w:pPr>
        <w:pStyle w:val="3"/>
        <w:spacing w:before="0" w:after="0" w:line="560" w:lineRule="exact"/>
        <w:ind w:firstLine="643"/>
        <w:rPr>
          <w:rFonts w:hint="default" w:hAnsi="宋体" w:eastAsia="楷体"/>
          <w:szCs w:val="28"/>
          <w:highlight w:val="none"/>
          <w:lang w:val="en-US" w:eastAsia="zh-CN"/>
        </w:rPr>
      </w:pPr>
      <w:bookmarkStart w:id="72" w:name="_Toc17828"/>
      <w:bookmarkStart w:id="73" w:name="_Toc1984"/>
      <w:bookmarkStart w:id="74" w:name="_Toc24168"/>
      <w:r>
        <w:rPr>
          <w:rFonts w:hint="eastAsia"/>
          <w:highlight w:val="none"/>
        </w:rPr>
        <w:t>（</w:t>
      </w:r>
      <w:r>
        <w:rPr>
          <w:rFonts w:hint="eastAsia"/>
          <w:highlight w:val="none"/>
          <w:lang w:val="en-US" w:eastAsia="zh-CN"/>
        </w:rPr>
        <w:t>四</w:t>
      </w:r>
      <w:r>
        <w:rPr>
          <w:rFonts w:hint="eastAsia"/>
          <w:highlight w:val="none"/>
        </w:rPr>
        <w:t>）</w:t>
      </w:r>
      <w:r>
        <w:rPr>
          <w:rFonts w:hint="eastAsia" w:hAnsi="宋体"/>
          <w:szCs w:val="28"/>
          <w:highlight w:val="none"/>
        </w:rPr>
        <w:t>全省法院“两庭”建设资金</w:t>
      </w:r>
      <w:bookmarkEnd w:id="72"/>
      <w:bookmarkEnd w:id="73"/>
      <w:bookmarkEnd w:id="74"/>
    </w:p>
    <w:p w14:paraId="61B16BD4">
      <w:pPr>
        <w:spacing w:line="560" w:lineRule="exact"/>
        <w:ind w:firstLine="640"/>
        <w:rPr>
          <w:rFonts w:hint="eastAsia" w:hAnsi="宋体"/>
          <w:sz w:val="32"/>
          <w:szCs w:val="32"/>
        </w:rPr>
      </w:pPr>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年全省法院“两庭”建设资金项目支出绩效得分为</w:t>
      </w:r>
      <w:r>
        <w:rPr>
          <w:rFonts w:hint="eastAsia" w:hAnsi="宋体"/>
          <w:sz w:val="32"/>
          <w:szCs w:val="32"/>
          <w:lang w:eastAsia="zh-CN"/>
        </w:rPr>
        <w:t>90.4</w:t>
      </w:r>
      <w:r>
        <w:rPr>
          <w:rFonts w:hint="eastAsia" w:hAnsi="宋体"/>
          <w:sz w:val="32"/>
          <w:szCs w:val="32"/>
          <w:lang w:val="en-US" w:eastAsia="zh-CN"/>
        </w:rPr>
        <w:t>0</w:t>
      </w:r>
      <w:r>
        <w:rPr>
          <w:rFonts w:hint="eastAsia" w:hAnsi="宋体"/>
          <w:sz w:val="32"/>
          <w:szCs w:val="32"/>
        </w:rPr>
        <w:t>分，绩效等级为“优”。项目支出绩效评价包括项目资金预算执行率、成本、产出、效益、满意度</w:t>
      </w:r>
      <w:r>
        <w:rPr>
          <w:rFonts w:hint="eastAsia" w:hAnsi="宋体"/>
          <w:sz w:val="32"/>
          <w:szCs w:val="32"/>
          <w:lang w:val="en-US" w:eastAsia="zh-CN"/>
        </w:rPr>
        <w:t>4</w:t>
      </w:r>
      <w:r>
        <w:rPr>
          <w:rFonts w:hint="eastAsia" w:hAnsi="宋体"/>
          <w:sz w:val="32"/>
          <w:szCs w:val="32"/>
        </w:rPr>
        <w:t>个一级指标，下设</w:t>
      </w:r>
      <w:r>
        <w:rPr>
          <w:rFonts w:hint="eastAsia" w:hAnsi="宋体"/>
          <w:sz w:val="32"/>
          <w:szCs w:val="32"/>
          <w:lang w:val="en-US" w:eastAsia="zh-CN"/>
        </w:rPr>
        <w:t>10</w:t>
      </w:r>
      <w:r>
        <w:rPr>
          <w:rFonts w:hint="eastAsia" w:hAnsi="宋体"/>
          <w:sz w:val="32"/>
          <w:szCs w:val="32"/>
        </w:rPr>
        <w:t>个二级指标和1</w:t>
      </w:r>
      <w:r>
        <w:rPr>
          <w:rFonts w:hint="eastAsia" w:hAnsi="宋体"/>
          <w:sz w:val="32"/>
          <w:szCs w:val="32"/>
          <w:lang w:val="en-US" w:eastAsia="zh-CN"/>
        </w:rPr>
        <w:t>0</w:t>
      </w:r>
      <w:r>
        <w:rPr>
          <w:rFonts w:hint="eastAsia" w:hAnsi="宋体"/>
          <w:sz w:val="32"/>
          <w:szCs w:val="32"/>
        </w:rPr>
        <w:t>个三级指标。项目资金预算执行率</w:t>
      </w:r>
      <w:r>
        <w:rPr>
          <w:rFonts w:hint="eastAsia" w:hAnsi="宋体"/>
          <w:sz w:val="32"/>
          <w:szCs w:val="32"/>
          <w:lang w:val="en-US" w:eastAsia="zh-CN"/>
        </w:rPr>
        <w:t>87.15</w:t>
      </w:r>
      <w:r>
        <w:rPr>
          <w:rFonts w:hint="eastAsia" w:hAnsi="宋体"/>
          <w:sz w:val="32"/>
          <w:szCs w:val="32"/>
        </w:rPr>
        <w:t>%，一级指标得分情况详见下表：</w:t>
      </w:r>
    </w:p>
    <w:p w14:paraId="56D2E273">
      <w:pPr>
        <w:spacing w:line="560" w:lineRule="exact"/>
        <w:ind w:firstLine="640"/>
        <w:jc w:val="center"/>
        <w:rPr>
          <w:rFonts w:hint="eastAsia" w:hAnsi="宋体"/>
          <w:sz w:val="32"/>
          <w:szCs w:val="32"/>
        </w:rPr>
      </w:pPr>
      <w:r>
        <w:rPr>
          <w:rFonts w:hint="eastAsia" w:ascii="宋体" w:hAnsi="宋体" w:cs="宋体"/>
          <w:b/>
          <w:bCs/>
          <w:kern w:val="0"/>
          <w:sz w:val="24"/>
          <w:highlight w:val="none"/>
          <w:lang w:val="en-US" w:eastAsia="zh-CN"/>
        </w:rPr>
        <w:t>2024年度</w:t>
      </w:r>
      <w:r>
        <w:rPr>
          <w:rFonts w:hint="eastAsia" w:ascii="宋体" w:hAnsi="宋体" w:cs="宋体"/>
          <w:b/>
          <w:bCs/>
          <w:kern w:val="0"/>
          <w:sz w:val="24"/>
          <w:highlight w:val="none"/>
        </w:rPr>
        <w:t>部门</w:t>
      </w:r>
      <w:r>
        <w:rPr>
          <w:rFonts w:hint="eastAsia" w:ascii="宋体" w:hAnsi="宋体" w:cs="宋体"/>
          <w:b/>
          <w:bCs/>
          <w:kern w:val="0"/>
          <w:sz w:val="24"/>
          <w:highlight w:val="none"/>
          <w:lang w:val="en-US" w:eastAsia="zh-CN"/>
        </w:rPr>
        <w:t>项目</w:t>
      </w:r>
      <w:r>
        <w:rPr>
          <w:rFonts w:hint="eastAsia" w:ascii="宋体" w:hAnsi="宋体" w:cs="宋体"/>
          <w:b/>
          <w:bCs/>
          <w:kern w:val="0"/>
          <w:sz w:val="24"/>
          <w:highlight w:val="none"/>
        </w:rPr>
        <w:t>支出</w:t>
      </w:r>
      <w:r>
        <w:rPr>
          <w:rFonts w:hint="eastAsia" w:ascii="宋体" w:hAnsi="宋体" w:cs="宋体"/>
          <w:b/>
          <w:bCs/>
          <w:kern w:val="0"/>
          <w:sz w:val="24"/>
          <w:highlight w:val="none"/>
          <w:lang w:eastAsia="zh-CN"/>
        </w:rPr>
        <w:t>绩效自评指标</w:t>
      </w:r>
      <w:r>
        <w:rPr>
          <w:rFonts w:hint="eastAsia" w:ascii="宋体" w:hAnsi="宋体" w:cs="宋体"/>
          <w:b/>
          <w:bCs/>
          <w:kern w:val="0"/>
          <w:sz w:val="24"/>
          <w:highlight w:val="none"/>
        </w:rPr>
        <w:t>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6253D2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5374F851">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14:paraId="797C7FE2">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14:paraId="156AEBAF">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14:paraId="5E239CAC">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14:paraId="258CA5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41AA5B14">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14:paraId="02FBF188">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6E3E8698">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8.71</w:t>
            </w:r>
          </w:p>
        </w:tc>
        <w:tc>
          <w:tcPr>
            <w:tcW w:w="1701" w:type="dxa"/>
            <w:vAlign w:val="center"/>
          </w:tcPr>
          <w:p w14:paraId="12F2A47B">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87.10</w:t>
            </w:r>
            <w:r>
              <w:rPr>
                <w:rFonts w:hint="eastAsia" w:ascii="宋体" w:hAnsi="宋体" w:eastAsia="宋体" w:cs="宋体"/>
                <w:color w:val="000000"/>
                <w:kern w:val="0"/>
                <w:sz w:val="20"/>
                <w:szCs w:val="20"/>
              </w:rPr>
              <w:t>%</w:t>
            </w:r>
          </w:p>
        </w:tc>
      </w:tr>
      <w:tr w14:paraId="78201A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702147E7">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14:paraId="35AC7303">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79B2EDB0">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1701" w:type="dxa"/>
            <w:vAlign w:val="center"/>
          </w:tcPr>
          <w:p w14:paraId="4DFDDD6D">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w:t>
            </w:r>
            <w:r>
              <w:rPr>
                <w:rFonts w:hint="eastAsia" w:ascii="宋体" w:hAnsi="宋体" w:eastAsia="宋体" w:cs="宋体"/>
                <w:color w:val="000000"/>
                <w:kern w:val="0"/>
                <w:sz w:val="20"/>
                <w:szCs w:val="20"/>
              </w:rPr>
              <w:t>%</w:t>
            </w:r>
          </w:p>
        </w:tc>
      </w:tr>
      <w:tr w14:paraId="0C9E9F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6F03E941">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14:paraId="3254FBBB">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14:paraId="47097BE1">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33.34</w:t>
            </w:r>
          </w:p>
        </w:tc>
        <w:tc>
          <w:tcPr>
            <w:tcW w:w="1701" w:type="dxa"/>
            <w:vAlign w:val="center"/>
          </w:tcPr>
          <w:p w14:paraId="3C60AA5C">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99.45</w:t>
            </w:r>
            <w:r>
              <w:rPr>
                <w:rFonts w:hint="eastAsia" w:ascii="宋体" w:hAnsi="宋体" w:eastAsia="宋体" w:cs="宋体"/>
                <w:color w:val="000000"/>
                <w:kern w:val="0"/>
                <w:sz w:val="20"/>
                <w:szCs w:val="20"/>
              </w:rPr>
              <w:t>%</w:t>
            </w:r>
          </w:p>
        </w:tc>
      </w:tr>
      <w:tr w14:paraId="299668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2D34D1C">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14:paraId="171F7E59">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6A24FF91">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18.34</w:t>
            </w:r>
          </w:p>
        </w:tc>
        <w:tc>
          <w:tcPr>
            <w:tcW w:w="1701" w:type="dxa"/>
            <w:vAlign w:val="center"/>
          </w:tcPr>
          <w:p w14:paraId="28F0D1DB">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89.95</w:t>
            </w:r>
            <w:r>
              <w:rPr>
                <w:rFonts w:hint="eastAsia" w:ascii="宋体" w:hAnsi="宋体" w:eastAsia="宋体" w:cs="宋体"/>
                <w:color w:val="000000"/>
                <w:kern w:val="0"/>
                <w:sz w:val="20"/>
                <w:szCs w:val="20"/>
              </w:rPr>
              <w:t>%</w:t>
            </w:r>
          </w:p>
        </w:tc>
      </w:tr>
      <w:tr w14:paraId="145649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0E0A85F3">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14:paraId="0EBBDFAC">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3A87FBC3">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6B7E3336">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2D53F7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15FEBEC6">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14:paraId="1471DB91">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14:paraId="264B5657">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90.40</w:t>
            </w:r>
          </w:p>
        </w:tc>
        <w:tc>
          <w:tcPr>
            <w:tcW w:w="1701" w:type="dxa"/>
            <w:shd w:val="clear" w:color="auto" w:fill="BDD6EE"/>
            <w:vAlign w:val="center"/>
          </w:tcPr>
          <w:p w14:paraId="3674C222">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90.40</w:t>
            </w:r>
            <w:r>
              <w:rPr>
                <w:rFonts w:hint="eastAsia" w:ascii="宋体" w:hAnsi="宋体" w:eastAsia="宋体" w:cs="宋体"/>
                <w:b/>
                <w:bCs/>
                <w:color w:val="000000"/>
                <w:kern w:val="0"/>
                <w:sz w:val="20"/>
                <w:szCs w:val="20"/>
              </w:rPr>
              <w:t>%</w:t>
            </w:r>
          </w:p>
        </w:tc>
      </w:tr>
    </w:tbl>
    <w:p w14:paraId="50198F4F">
      <w:pPr>
        <w:pStyle w:val="4"/>
        <w:spacing w:line="560" w:lineRule="exact"/>
        <w:ind w:firstLine="643"/>
        <w:rPr>
          <w:sz w:val="32"/>
        </w:rPr>
      </w:pPr>
      <w:r>
        <w:rPr>
          <w:rFonts w:hint="eastAsia"/>
          <w:sz w:val="32"/>
        </w:rPr>
        <w:t>1.项目支出预算执行情况</w:t>
      </w:r>
    </w:p>
    <w:p w14:paraId="0A383701">
      <w:pPr>
        <w:spacing w:line="560" w:lineRule="exact"/>
        <w:ind w:firstLine="640"/>
        <w:rPr>
          <w:rFonts w:hAnsi="宋体"/>
          <w:sz w:val="32"/>
          <w:szCs w:val="32"/>
        </w:rPr>
      </w:pPr>
      <w:r>
        <w:rPr>
          <w:rFonts w:hint="eastAsia" w:hAnsi="宋体"/>
          <w:sz w:val="32"/>
          <w:szCs w:val="32"/>
        </w:rPr>
        <w:t>全省法院“两庭”建设资金全年预算数1067</w:t>
      </w:r>
      <w:r>
        <w:rPr>
          <w:rFonts w:hint="eastAsia" w:hAnsi="宋体"/>
          <w:sz w:val="32"/>
          <w:szCs w:val="32"/>
          <w:lang w:val="en-US" w:eastAsia="zh-CN"/>
        </w:rPr>
        <w:t>.</w:t>
      </w:r>
      <w:r>
        <w:rPr>
          <w:rFonts w:hint="eastAsia" w:hAnsi="宋体"/>
          <w:sz w:val="32"/>
          <w:szCs w:val="32"/>
        </w:rPr>
        <w:t>00</w:t>
      </w:r>
      <w:r>
        <w:rPr>
          <w:rFonts w:hint="eastAsia" w:hAnsi="宋体"/>
          <w:sz w:val="32"/>
          <w:szCs w:val="32"/>
          <w:lang w:val="en-US" w:eastAsia="zh-CN"/>
        </w:rPr>
        <w:t>万元，</w:t>
      </w:r>
      <w:r>
        <w:rPr>
          <w:rFonts w:hint="eastAsia" w:hAnsi="宋体"/>
          <w:sz w:val="32"/>
          <w:szCs w:val="32"/>
        </w:rPr>
        <w:t>全年执行数929</w:t>
      </w:r>
      <w:r>
        <w:rPr>
          <w:rFonts w:hint="eastAsia" w:hAnsi="宋体"/>
          <w:sz w:val="32"/>
          <w:szCs w:val="32"/>
          <w:lang w:val="en-US" w:eastAsia="zh-CN"/>
        </w:rPr>
        <w:t>.</w:t>
      </w:r>
      <w:r>
        <w:rPr>
          <w:rFonts w:hint="eastAsia" w:hAnsi="宋体"/>
          <w:sz w:val="32"/>
          <w:szCs w:val="32"/>
        </w:rPr>
        <w:t>92</w:t>
      </w:r>
      <w:r>
        <w:rPr>
          <w:rFonts w:hint="eastAsia" w:hAnsi="宋体"/>
          <w:sz w:val="32"/>
          <w:szCs w:val="32"/>
          <w:lang w:val="en-US" w:eastAsia="zh-CN"/>
        </w:rPr>
        <w:t>3</w:t>
      </w:r>
      <w:r>
        <w:rPr>
          <w:rFonts w:hint="eastAsia" w:hAnsi="宋体"/>
          <w:sz w:val="32"/>
          <w:szCs w:val="32"/>
        </w:rPr>
        <w:t>万元，预算执行率87.15%，满分10分，得分</w:t>
      </w:r>
      <w:r>
        <w:rPr>
          <w:rFonts w:hint="eastAsia" w:hAnsi="宋体"/>
          <w:sz w:val="32"/>
          <w:szCs w:val="32"/>
          <w:lang w:val="en-US" w:eastAsia="zh-CN"/>
        </w:rPr>
        <w:t>8.71</w:t>
      </w:r>
      <w:r>
        <w:rPr>
          <w:rFonts w:hint="eastAsia" w:hAnsi="宋体"/>
          <w:sz w:val="32"/>
          <w:szCs w:val="32"/>
        </w:rPr>
        <w:t>分。</w:t>
      </w:r>
    </w:p>
    <w:p w14:paraId="20ED6AE4">
      <w:pPr>
        <w:pStyle w:val="4"/>
        <w:spacing w:line="560" w:lineRule="exact"/>
        <w:ind w:firstLine="643"/>
        <w:rPr>
          <w:sz w:val="32"/>
        </w:rPr>
      </w:pPr>
      <w:r>
        <w:rPr>
          <w:rFonts w:hint="eastAsia"/>
          <w:sz w:val="32"/>
        </w:rPr>
        <w:t>2.总体绩效目标完成情况分析</w:t>
      </w:r>
    </w:p>
    <w:p w14:paraId="49867A98">
      <w:pPr>
        <w:spacing w:line="560" w:lineRule="exact"/>
        <w:ind w:firstLine="640"/>
        <w:rPr>
          <w:sz w:val="32"/>
          <w:szCs w:val="32"/>
        </w:rPr>
      </w:pPr>
      <w:r>
        <w:rPr>
          <w:rFonts w:hint="eastAsia"/>
          <w:sz w:val="32"/>
          <w:szCs w:val="32"/>
          <w:lang w:val="en-US" w:eastAsia="zh-CN"/>
        </w:rPr>
        <w:t>保障</w:t>
      </w:r>
      <w:r>
        <w:rPr>
          <w:rFonts w:hint="eastAsia"/>
          <w:sz w:val="32"/>
          <w:szCs w:val="32"/>
        </w:rPr>
        <w:t>全省法院“两庭”建设资金</w:t>
      </w:r>
      <w:r>
        <w:rPr>
          <w:rFonts w:hint="eastAsia"/>
          <w:sz w:val="32"/>
          <w:szCs w:val="32"/>
          <w:lang w:val="en-US" w:eastAsia="zh-CN"/>
        </w:rPr>
        <w:t>顺利实施</w:t>
      </w:r>
      <w:r>
        <w:rPr>
          <w:rFonts w:hint="eastAsia"/>
          <w:sz w:val="32"/>
          <w:szCs w:val="32"/>
        </w:rPr>
        <w:t>。</w:t>
      </w:r>
    </w:p>
    <w:p w14:paraId="17F35059">
      <w:pPr>
        <w:pStyle w:val="4"/>
        <w:spacing w:line="560" w:lineRule="exact"/>
        <w:ind w:firstLine="643"/>
        <w:rPr>
          <w:sz w:val="32"/>
        </w:rPr>
      </w:pPr>
      <w:r>
        <w:rPr>
          <w:rFonts w:hint="eastAsia"/>
          <w:sz w:val="32"/>
        </w:rPr>
        <w:t>3.各项指标完成情况分析</w:t>
      </w:r>
    </w:p>
    <w:p w14:paraId="38BB6B74">
      <w:pPr>
        <w:spacing w:line="560" w:lineRule="exact"/>
        <w:ind w:firstLine="643"/>
        <w:rPr>
          <w:b/>
          <w:bCs/>
          <w:sz w:val="32"/>
          <w:szCs w:val="32"/>
        </w:rPr>
      </w:pPr>
      <w:r>
        <w:rPr>
          <w:rFonts w:hint="eastAsia"/>
          <w:b/>
          <w:bCs/>
          <w:sz w:val="32"/>
          <w:szCs w:val="32"/>
        </w:rPr>
        <w:t>（1）成本指标</w:t>
      </w:r>
    </w:p>
    <w:p w14:paraId="66B3C328">
      <w:pPr>
        <w:spacing w:line="560" w:lineRule="exact"/>
        <w:ind w:firstLine="640"/>
        <w:rPr>
          <w:sz w:val="32"/>
          <w:szCs w:val="32"/>
        </w:rPr>
      </w:pPr>
      <w:r>
        <w:rPr>
          <w:rFonts w:hint="eastAsia"/>
          <w:sz w:val="32"/>
          <w:szCs w:val="32"/>
        </w:rPr>
        <w:t>成本指标下设</w:t>
      </w:r>
      <w:r>
        <w:rPr>
          <w:rFonts w:hint="eastAsia" w:hAnsi="宋体"/>
          <w:b w:val="0"/>
          <w:bCs w:val="0"/>
          <w:sz w:val="32"/>
          <w:szCs w:val="32"/>
          <w:lang w:val="en-US" w:eastAsia="zh-CN"/>
        </w:rPr>
        <w:t>经济、社会、生态3</w:t>
      </w:r>
      <w:r>
        <w:rPr>
          <w:rFonts w:hint="eastAsia"/>
          <w:sz w:val="32"/>
          <w:szCs w:val="32"/>
        </w:rPr>
        <w:t>个</w:t>
      </w:r>
      <w:r>
        <w:rPr>
          <w:rFonts w:hint="eastAsia"/>
          <w:sz w:val="32"/>
          <w:szCs w:val="32"/>
          <w:lang w:val="en-US" w:eastAsia="zh-CN"/>
        </w:rPr>
        <w:t>二</w:t>
      </w:r>
      <w:r>
        <w:rPr>
          <w:rFonts w:hint="eastAsia"/>
          <w:sz w:val="32"/>
          <w:szCs w:val="32"/>
        </w:rPr>
        <w:t>级</w:t>
      </w:r>
      <w:r>
        <w:rPr>
          <w:rFonts w:hint="eastAsia"/>
          <w:sz w:val="32"/>
          <w:szCs w:val="32"/>
          <w:lang w:val="en-US" w:eastAsia="zh-CN"/>
        </w:rPr>
        <w:t>指标</w:t>
      </w:r>
      <w:r>
        <w:rPr>
          <w:rFonts w:hint="eastAsia"/>
          <w:sz w:val="32"/>
          <w:szCs w:val="32"/>
        </w:rPr>
        <w:t>，指标分值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20</w:t>
      </w:r>
      <w:r>
        <w:rPr>
          <w:rFonts w:hint="eastAsia"/>
          <w:sz w:val="32"/>
          <w:szCs w:val="32"/>
        </w:rPr>
        <w:t>分，得分率为</w:t>
      </w:r>
      <w:r>
        <w:rPr>
          <w:rFonts w:hint="eastAsia"/>
          <w:sz w:val="32"/>
          <w:szCs w:val="32"/>
          <w:lang w:val="en-US" w:eastAsia="zh-CN"/>
        </w:rPr>
        <w:t>100</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21"/>
        <w:gridCol w:w="1604"/>
        <w:gridCol w:w="1425"/>
        <w:gridCol w:w="645"/>
        <w:gridCol w:w="735"/>
        <w:gridCol w:w="995"/>
      </w:tblGrid>
      <w:tr w14:paraId="2FCB49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875" w:type="pct"/>
            <w:shd w:val="clear" w:color="auto" w:fill="BDD6EE"/>
            <w:vAlign w:val="center"/>
          </w:tcPr>
          <w:p w14:paraId="5E07D1E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51" w:type="pct"/>
            <w:shd w:val="clear" w:color="auto" w:fill="BDD6EE"/>
            <w:vAlign w:val="center"/>
          </w:tcPr>
          <w:p w14:paraId="21E6B74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941" w:type="pct"/>
            <w:shd w:val="clear" w:color="auto" w:fill="BDD6EE"/>
            <w:vAlign w:val="center"/>
          </w:tcPr>
          <w:p w14:paraId="0FC4D97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6" w:type="pct"/>
            <w:shd w:val="clear" w:color="auto" w:fill="BDD6EE"/>
            <w:vAlign w:val="center"/>
          </w:tcPr>
          <w:p w14:paraId="31E52B0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8" w:type="pct"/>
            <w:shd w:val="clear" w:color="auto" w:fill="BDD6EE"/>
            <w:vAlign w:val="center"/>
          </w:tcPr>
          <w:p w14:paraId="5563423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31" w:type="pct"/>
            <w:shd w:val="clear" w:color="auto" w:fill="BDD6EE"/>
            <w:vAlign w:val="center"/>
          </w:tcPr>
          <w:p w14:paraId="40FD4E0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84" w:type="pct"/>
            <w:shd w:val="clear" w:color="auto" w:fill="BDD6EE"/>
            <w:vAlign w:val="center"/>
          </w:tcPr>
          <w:p w14:paraId="6578CFF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1459B5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vAlign w:val="center"/>
          </w:tcPr>
          <w:p w14:paraId="3275EE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951" w:type="pct"/>
            <w:vAlign w:val="center"/>
          </w:tcPr>
          <w:p w14:paraId="554D0A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带动经济</w:t>
            </w:r>
          </w:p>
        </w:tc>
        <w:tc>
          <w:tcPr>
            <w:tcW w:w="941" w:type="pct"/>
            <w:vAlign w:val="center"/>
          </w:tcPr>
          <w:p w14:paraId="5850CB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&gt;=100%</w:t>
            </w:r>
          </w:p>
        </w:tc>
        <w:tc>
          <w:tcPr>
            <w:tcW w:w="836" w:type="pct"/>
            <w:vAlign w:val="center"/>
          </w:tcPr>
          <w:p w14:paraId="29216B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378" w:type="pct"/>
            <w:vAlign w:val="center"/>
          </w:tcPr>
          <w:p w14:paraId="64DF10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6.67</w:t>
            </w:r>
          </w:p>
        </w:tc>
        <w:tc>
          <w:tcPr>
            <w:tcW w:w="431" w:type="pct"/>
            <w:vAlign w:val="center"/>
          </w:tcPr>
          <w:p w14:paraId="7109D4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6.67</w:t>
            </w:r>
          </w:p>
        </w:tc>
        <w:tc>
          <w:tcPr>
            <w:tcW w:w="584" w:type="pct"/>
            <w:vAlign w:val="center"/>
          </w:tcPr>
          <w:p w14:paraId="41411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44DD0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vAlign w:val="center"/>
          </w:tcPr>
          <w:p w14:paraId="35C7D8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951" w:type="pct"/>
            <w:vAlign w:val="center"/>
          </w:tcPr>
          <w:p w14:paraId="0EA5E7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维护稳定</w:t>
            </w:r>
          </w:p>
        </w:tc>
        <w:tc>
          <w:tcPr>
            <w:tcW w:w="941" w:type="pct"/>
            <w:vAlign w:val="center"/>
          </w:tcPr>
          <w:p w14:paraId="1691B6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&gt;=100%</w:t>
            </w:r>
          </w:p>
        </w:tc>
        <w:tc>
          <w:tcPr>
            <w:tcW w:w="836" w:type="pct"/>
            <w:vAlign w:val="center"/>
          </w:tcPr>
          <w:p w14:paraId="6ECC7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378" w:type="pct"/>
            <w:vAlign w:val="center"/>
          </w:tcPr>
          <w:p w14:paraId="74E37A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6.67</w:t>
            </w:r>
          </w:p>
        </w:tc>
        <w:tc>
          <w:tcPr>
            <w:tcW w:w="431" w:type="pct"/>
            <w:vAlign w:val="center"/>
          </w:tcPr>
          <w:p w14:paraId="0D6D0A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6.67</w:t>
            </w:r>
          </w:p>
        </w:tc>
        <w:tc>
          <w:tcPr>
            <w:tcW w:w="584" w:type="pct"/>
            <w:vAlign w:val="center"/>
          </w:tcPr>
          <w:p w14:paraId="4BC213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F2025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vAlign w:val="center"/>
          </w:tcPr>
          <w:p w14:paraId="39F0E8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生态成本指标</w:t>
            </w:r>
          </w:p>
        </w:tc>
        <w:tc>
          <w:tcPr>
            <w:tcW w:w="951" w:type="pct"/>
            <w:vAlign w:val="center"/>
          </w:tcPr>
          <w:p w14:paraId="17335A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环境测评</w:t>
            </w:r>
          </w:p>
        </w:tc>
        <w:tc>
          <w:tcPr>
            <w:tcW w:w="941" w:type="pct"/>
            <w:vAlign w:val="center"/>
          </w:tcPr>
          <w:p w14:paraId="43C40F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&gt;=100%</w:t>
            </w:r>
          </w:p>
        </w:tc>
        <w:tc>
          <w:tcPr>
            <w:tcW w:w="836" w:type="pct"/>
            <w:vAlign w:val="center"/>
          </w:tcPr>
          <w:p w14:paraId="0E5956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378" w:type="pct"/>
            <w:vAlign w:val="center"/>
          </w:tcPr>
          <w:p w14:paraId="64B71C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431" w:type="pct"/>
            <w:vAlign w:val="center"/>
          </w:tcPr>
          <w:p w14:paraId="696EB6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584" w:type="pct"/>
            <w:vAlign w:val="center"/>
          </w:tcPr>
          <w:p w14:paraId="0E50C4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80B71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05" w:type="pct"/>
            <w:gridSpan w:val="4"/>
            <w:shd w:val="clear" w:color="auto" w:fill="BDD6EE"/>
            <w:vAlign w:val="center"/>
          </w:tcPr>
          <w:p w14:paraId="4B3700EF">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8" w:type="pct"/>
            <w:shd w:val="clear" w:color="auto" w:fill="BDD6EE"/>
            <w:vAlign w:val="center"/>
          </w:tcPr>
          <w:p w14:paraId="516F712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31" w:type="pct"/>
            <w:shd w:val="clear" w:color="auto" w:fill="BDD6EE"/>
            <w:vAlign w:val="center"/>
          </w:tcPr>
          <w:p w14:paraId="1FD9E2D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584" w:type="pct"/>
            <w:shd w:val="clear" w:color="auto" w:fill="BDD6EE"/>
            <w:vAlign w:val="center"/>
          </w:tcPr>
          <w:p w14:paraId="00F996B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w:t>
            </w:r>
          </w:p>
        </w:tc>
      </w:tr>
    </w:tbl>
    <w:p w14:paraId="6C71BAB2">
      <w:pPr>
        <w:spacing w:line="560" w:lineRule="exact"/>
        <w:ind w:firstLine="640"/>
        <w:rPr>
          <w:rFonts w:hint="default" w:cs="仿宋_GB2312"/>
          <w:sz w:val="32"/>
          <w:szCs w:val="32"/>
        </w:rPr>
      </w:pPr>
      <w:r>
        <w:rPr>
          <w:rFonts w:hint="default" w:cs="仿宋_GB2312"/>
          <w:b/>
          <w:bCs/>
          <w:sz w:val="32"/>
          <w:szCs w:val="32"/>
        </w:rPr>
        <w:t>带动经济</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100%，实际完成值100%，分值6.67分，得分6.67分，得分率100.00%。这表明</w:t>
      </w:r>
      <w:r>
        <w:rPr>
          <w:rFonts w:hint="eastAsia" w:cs="仿宋_GB2312"/>
          <w:sz w:val="32"/>
          <w:szCs w:val="32"/>
          <w:lang w:val="en-US" w:eastAsia="zh-CN"/>
        </w:rPr>
        <w:t>我</w:t>
      </w:r>
      <w:r>
        <w:rPr>
          <w:rFonts w:hint="default" w:cs="仿宋_GB2312"/>
          <w:sz w:val="32"/>
          <w:szCs w:val="32"/>
          <w:lang w:val="en-US" w:eastAsia="zh-CN"/>
        </w:rPr>
        <w:t>院在使用“两庭”建设资金时，促进了周边产业发展、资源利用等，充分发挥了资金在经济领域的效能，达成既定目标。</w:t>
      </w:r>
    </w:p>
    <w:p w14:paraId="38D1345A">
      <w:pPr>
        <w:spacing w:line="560" w:lineRule="exact"/>
        <w:ind w:firstLine="640"/>
        <w:rPr>
          <w:rFonts w:hint="default" w:cs="仿宋_GB2312"/>
          <w:sz w:val="32"/>
          <w:szCs w:val="32"/>
        </w:rPr>
      </w:pPr>
      <w:r>
        <w:rPr>
          <w:rFonts w:hint="default" w:cs="仿宋_GB2312"/>
          <w:b/>
          <w:bCs/>
          <w:sz w:val="32"/>
          <w:szCs w:val="32"/>
        </w:rPr>
        <w:t>维护稳定</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100%，实际完成值100%，分值6.67分，得分6.67分，得分率100.00%。</w:t>
      </w:r>
      <w:r>
        <w:rPr>
          <w:rFonts w:hint="eastAsia" w:cs="仿宋_GB2312"/>
          <w:sz w:val="32"/>
          <w:szCs w:val="32"/>
          <w:lang w:val="en-US" w:eastAsia="zh-CN"/>
        </w:rPr>
        <w:t>说明我</w:t>
      </w:r>
      <w:r>
        <w:rPr>
          <w:rFonts w:hint="default" w:cs="仿宋_GB2312"/>
          <w:sz w:val="32"/>
          <w:szCs w:val="32"/>
          <w:lang w:val="en-US" w:eastAsia="zh-CN"/>
        </w:rPr>
        <w:t>院“两庭”建设资金的投入有效助力了维护社会稳定工作。“两庭”建设在优化审判环境、提升司法服务等方面发挥作用，促进矛盾纠纷化解，为社会稳定提供了司法保障，达成建设目标。</w:t>
      </w:r>
    </w:p>
    <w:p w14:paraId="6878712E">
      <w:pPr>
        <w:spacing w:line="560" w:lineRule="exact"/>
        <w:ind w:firstLine="640"/>
        <w:rPr>
          <w:rFonts w:hint="default" w:cs="仿宋_GB2312"/>
          <w:sz w:val="32"/>
          <w:szCs w:val="32"/>
        </w:rPr>
      </w:pPr>
      <w:r>
        <w:rPr>
          <w:rFonts w:hint="default" w:cs="仿宋_GB2312"/>
          <w:b/>
          <w:bCs/>
          <w:sz w:val="32"/>
          <w:szCs w:val="32"/>
        </w:rPr>
        <w:t>环境测评</w:t>
      </w:r>
      <w:r>
        <w:rPr>
          <w:rFonts w:hint="eastAsia" w:cs="仿宋_GB2312"/>
          <w:b/>
          <w:bCs/>
          <w:sz w:val="32"/>
          <w:szCs w:val="32"/>
          <w:lang w:eastAsia="zh-CN"/>
        </w:rPr>
        <w:t>：</w:t>
      </w:r>
      <w:r>
        <w:rPr>
          <w:rFonts w:hint="default" w:cs="仿宋_GB2312"/>
          <w:sz w:val="32"/>
          <w:szCs w:val="32"/>
          <w:lang w:val="en-US" w:eastAsia="zh-CN"/>
        </w:rPr>
        <w:t>年度指标</w:t>
      </w:r>
      <w:r>
        <w:rPr>
          <w:rFonts w:hint="eastAsia" w:cs="仿宋_GB2312"/>
          <w:sz w:val="32"/>
          <w:szCs w:val="32"/>
          <w:lang w:val="en-US" w:eastAsia="zh-CN"/>
        </w:rPr>
        <w:t>大于等于</w:t>
      </w:r>
      <w:r>
        <w:rPr>
          <w:rFonts w:hint="default" w:cs="仿宋_GB2312"/>
          <w:sz w:val="32"/>
          <w:szCs w:val="32"/>
          <w:lang w:val="en-US" w:eastAsia="zh-CN"/>
        </w:rPr>
        <w:t>100%，实际完成值100%，分值6.66分，得分6.66分，得分率100.00%。意味着“两庭”建设在环境方面符合预期标准，可能在建设过程中注重生态环境保护、建筑环境设计等，通过相关测评，保障了建设与环境的协调发展，建设成果达标。</w:t>
      </w:r>
    </w:p>
    <w:p w14:paraId="0B1C4019">
      <w:pPr>
        <w:spacing w:line="560" w:lineRule="exact"/>
        <w:ind w:firstLine="643"/>
        <w:rPr>
          <w:b/>
          <w:bCs/>
          <w:sz w:val="32"/>
          <w:szCs w:val="32"/>
        </w:rPr>
      </w:pPr>
      <w:r>
        <w:rPr>
          <w:rFonts w:hint="eastAsia"/>
          <w:b/>
          <w:bCs/>
          <w:sz w:val="32"/>
          <w:szCs w:val="32"/>
        </w:rPr>
        <w:t>（2）产出指标</w:t>
      </w:r>
    </w:p>
    <w:p w14:paraId="16DEC1C9">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33.34</w:t>
      </w:r>
      <w:r>
        <w:rPr>
          <w:rFonts w:hint="eastAsia" w:cs="仿宋_GB2312"/>
          <w:sz w:val="32"/>
          <w:szCs w:val="32"/>
        </w:rPr>
        <w:t>分，得分率为</w:t>
      </w:r>
      <w:r>
        <w:rPr>
          <w:rFonts w:hint="eastAsia" w:cs="仿宋_GB2312"/>
          <w:sz w:val="32"/>
          <w:szCs w:val="32"/>
          <w:lang w:val="en-US" w:eastAsia="zh-CN"/>
        </w:rPr>
        <w:t>83.35</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53"/>
        <w:gridCol w:w="2640"/>
        <w:gridCol w:w="1365"/>
        <w:gridCol w:w="1455"/>
        <w:gridCol w:w="735"/>
        <w:gridCol w:w="765"/>
        <w:gridCol w:w="956"/>
      </w:tblGrid>
      <w:tr w14:paraId="503564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shd w:val="clear" w:color="auto" w:fill="BDD6EE"/>
            <w:vAlign w:val="center"/>
          </w:tcPr>
          <w:p w14:paraId="09DDAF3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40" w:type="dxa"/>
            <w:shd w:val="clear" w:color="auto" w:fill="BDD6EE"/>
            <w:vAlign w:val="center"/>
          </w:tcPr>
          <w:p w14:paraId="05DBC37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shd w:val="clear" w:color="auto" w:fill="BDD6EE"/>
            <w:vAlign w:val="center"/>
          </w:tcPr>
          <w:p w14:paraId="2DA1415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14:paraId="46CF954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14:paraId="6FCBD08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65" w:type="dxa"/>
            <w:shd w:val="clear" w:color="auto" w:fill="BDD6EE"/>
            <w:vAlign w:val="center"/>
          </w:tcPr>
          <w:p w14:paraId="619F027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56" w:type="dxa"/>
            <w:shd w:val="clear" w:color="auto" w:fill="BDD6EE"/>
            <w:vAlign w:val="center"/>
          </w:tcPr>
          <w:p w14:paraId="5438537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1DD31B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14:paraId="2A14D4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40" w:type="dxa"/>
            <w:vAlign w:val="center"/>
          </w:tcPr>
          <w:p w14:paraId="154D06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产出产能</w:t>
            </w:r>
          </w:p>
        </w:tc>
        <w:tc>
          <w:tcPr>
            <w:tcW w:w="1365" w:type="dxa"/>
            <w:vAlign w:val="center"/>
          </w:tcPr>
          <w:p w14:paraId="6E9067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455" w:type="dxa"/>
            <w:vAlign w:val="center"/>
          </w:tcPr>
          <w:p w14:paraId="11FE19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14491A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765" w:type="dxa"/>
            <w:vAlign w:val="center"/>
          </w:tcPr>
          <w:p w14:paraId="5BA575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56" w:type="dxa"/>
            <w:vAlign w:val="center"/>
          </w:tcPr>
          <w:p w14:paraId="6AC9DB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50.04%</w:t>
            </w:r>
          </w:p>
        </w:tc>
      </w:tr>
      <w:tr w14:paraId="3BEFF2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14:paraId="730C73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40" w:type="dxa"/>
            <w:vAlign w:val="center"/>
          </w:tcPr>
          <w:p w14:paraId="625F8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安全鉴定</w:t>
            </w:r>
          </w:p>
        </w:tc>
        <w:tc>
          <w:tcPr>
            <w:tcW w:w="1365" w:type="dxa"/>
            <w:vAlign w:val="center"/>
          </w:tcPr>
          <w:p w14:paraId="3E724E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455" w:type="dxa"/>
            <w:vAlign w:val="center"/>
          </w:tcPr>
          <w:p w14:paraId="04676D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7B68B0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765" w:type="dxa"/>
            <w:vAlign w:val="center"/>
          </w:tcPr>
          <w:p w14:paraId="0C5A40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956" w:type="dxa"/>
            <w:vAlign w:val="center"/>
          </w:tcPr>
          <w:p w14:paraId="08E29D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7B5C08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14:paraId="2CBC55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40" w:type="dxa"/>
            <w:vAlign w:val="center"/>
          </w:tcPr>
          <w:p w14:paraId="0003F2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建设期限</w:t>
            </w:r>
          </w:p>
        </w:tc>
        <w:tc>
          <w:tcPr>
            <w:tcW w:w="1365" w:type="dxa"/>
            <w:vAlign w:val="center"/>
          </w:tcPr>
          <w:p w14:paraId="7A5FF12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455" w:type="dxa"/>
            <w:vAlign w:val="center"/>
          </w:tcPr>
          <w:p w14:paraId="644C12F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14:paraId="0303EC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13.34</w:t>
            </w:r>
          </w:p>
        </w:tc>
        <w:tc>
          <w:tcPr>
            <w:tcW w:w="765" w:type="dxa"/>
            <w:vAlign w:val="center"/>
          </w:tcPr>
          <w:p w14:paraId="55ED2C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13.34</w:t>
            </w:r>
          </w:p>
        </w:tc>
        <w:tc>
          <w:tcPr>
            <w:tcW w:w="956" w:type="dxa"/>
            <w:vAlign w:val="center"/>
          </w:tcPr>
          <w:p w14:paraId="459BE7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16C635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13" w:type="dxa"/>
            <w:gridSpan w:val="4"/>
            <w:shd w:val="clear" w:color="auto" w:fill="BDD6EE"/>
            <w:vAlign w:val="center"/>
          </w:tcPr>
          <w:p w14:paraId="6D3FB0DD">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14:paraId="2B97DDF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65" w:type="dxa"/>
            <w:shd w:val="clear" w:color="auto" w:fill="BDD6EE"/>
            <w:vAlign w:val="center"/>
          </w:tcPr>
          <w:p w14:paraId="09F61D5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33.34</w:t>
            </w:r>
          </w:p>
        </w:tc>
        <w:tc>
          <w:tcPr>
            <w:tcW w:w="956" w:type="dxa"/>
            <w:shd w:val="clear" w:color="auto" w:fill="BDD6EE"/>
            <w:vAlign w:val="center"/>
          </w:tcPr>
          <w:p w14:paraId="42FC595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83.35%</w:t>
            </w:r>
          </w:p>
        </w:tc>
      </w:tr>
    </w:tbl>
    <w:p w14:paraId="66043E74">
      <w:pPr>
        <w:spacing w:line="560" w:lineRule="exact"/>
        <w:ind w:firstLine="640"/>
        <w:rPr>
          <w:rFonts w:hint="default"/>
          <w:sz w:val="32"/>
          <w:szCs w:val="32"/>
        </w:rPr>
      </w:pPr>
      <w:r>
        <w:rPr>
          <w:rFonts w:hint="default"/>
          <w:b/>
          <w:bCs/>
          <w:sz w:val="32"/>
          <w:szCs w:val="32"/>
        </w:rPr>
        <w:t>产出产能</w:t>
      </w:r>
      <w:r>
        <w:rPr>
          <w:rFonts w:hint="eastAsia"/>
          <w:b/>
          <w:bCs/>
          <w:sz w:val="32"/>
          <w:szCs w:val="32"/>
          <w:lang w:eastAsia="zh-CN"/>
        </w:rPr>
        <w:t>：</w:t>
      </w:r>
      <w:r>
        <w:rPr>
          <w:rFonts w:hint="default"/>
          <w:sz w:val="32"/>
          <w:szCs w:val="32"/>
          <w:lang w:val="en-US" w:eastAsia="zh-CN"/>
        </w:rPr>
        <w:t>年度指标</w:t>
      </w:r>
      <w:r>
        <w:rPr>
          <w:rFonts w:hint="eastAsia"/>
          <w:sz w:val="32"/>
          <w:szCs w:val="32"/>
          <w:lang w:val="en-US" w:eastAsia="zh-CN"/>
        </w:rPr>
        <w:t>大于等于</w:t>
      </w:r>
      <w:r>
        <w:rPr>
          <w:rFonts w:hint="default"/>
          <w:sz w:val="32"/>
          <w:szCs w:val="32"/>
          <w:lang w:val="en-US" w:eastAsia="zh-CN"/>
        </w:rPr>
        <w:t>100%，实际完成值100%，分值13.33分，得分6.67分，得分率50.04%。</w:t>
      </w:r>
      <w:r>
        <w:rPr>
          <w:rFonts w:hint="eastAsia"/>
          <w:sz w:val="32"/>
          <w:szCs w:val="32"/>
          <w:lang w:val="en-US" w:eastAsia="zh-CN"/>
        </w:rPr>
        <w:t>我院</w:t>
      </w:r>
      <w:r>
        <w:rPr>
          <w:rFonts w:hint="default"/>
          <w:sz w:val="32"/>
          <w:szCs w:val="32"/>
          <w:lang w:val="en-US" w:eastAsia="zh-CN"/>
        </w:rPr>
        <w:t>需进一步挖掘“两庭”建设带来的潜在产能，提升资金使用的综合产出。</w:t>
      </w:r>
    </w:p>
    <w:p w14:paraId="250F8CC0">
      <w:pPr>
        <w:spacing w:line="560" w:lineRule="exact"/>
        <w:ind w:firstLine="640"/>
        <w:rPr>
          <w:rFonts w:hint="default"/>
          <w:sz w:val="32"/>
          <w:szCs w:val="32"/>
        </w:rPr>
      </w:pPr>
      <w:r>
        <w:rPr>
          <w:rFonts w:hint="default"/>
          <w:b/>
          <w:bCs/>
          <w:sz w:val="32"/>
          <w:szCs w:val="32"/>
        </w:rPr>
        <w:t>安全鉴定</w:t>
      </w:r>
      <w:r>
        <w:rPr>
          <w:rFonts w:hint="eastAsia"/>
          <w:b/>
          <w:bCs/>
          <w:sz w:val="32"/>
          <w:szCs w:val="32"/>
          <w:lang w:eastAsia="zh-CN"/>
        </w:rPr>
        <w:t>：</w:t>
      </w:r>
      <w:r>
        <w:rPr>
          <w:rFonts w:hint="default"/>
          <w:sz w:val="32"/>
          <w:szCs w:val="32"/>
          <w:lang w:val="en-US" w:eastAsia="zh-CN"/>
        </w:rPr>
        <w:t>年度指标</w:t>
      </w:r>
      <w:r>
        <w:rPr>
          <w:rFonts w:hint="eastAsia"/>
          <w:sz w:val="32"/>
          <w:szCs w:val="32"/>
          <w:lang w:val="en-US" w:eastAsia="zh-CN"/>
        </w:rPr>
        <w:t>大于等于</w:t>
      </w:r>
      <w:r>
        <w:rPr>
          <w:rFonts w:hint="default"/>
          <w:sz w:val="32"/>
          <w:szCs w:val="32"/>
          <w:lang w:val="en-US" w:eastAsia="zh-CN"/>
        </w:rPr>
        <w:t>100%，实际完成值100%，分值13.33分，得分13.33分，得分率100.00%。体现“两庭”建设在安全方面严格达标，通过安全鉴定确保了建筑设施等符合安全标准，保障了法院工作人员和当事人的人身安全，建设质量和安全管理工作到位。</w:t>
      </w:r>
    </w:p>
    <w:p w14:paraId="3EDA2A47">
      <w:pPr>
        <w:spacing w:line="560" w:lineRule="exact"/>
        <w:ind w:firstLine="640"/>
        <w:rPr>
          <w:rFonts w:hint="default"/>
          <w:sz w:val="32"/>
          <w:szCs w:val="32"/>
        </w:rPr>
      </w:pPr>
      <w:r>
        <w:rPr>
          <w:rFonts w:hint="default"/>
          <w:b/>
          <w:bCs/>
          <w:sz w:val="32"/>
          <w:szCs w:val="32"/>
        </w:rPr>
        <w:t>建设期限</w:t>
      </w:r>
      <w:r>
        <w:rPr>
          <w:rFonts w:hint="eastAsia"/>
          <w:b/>
          <w:bCs/>
          <w:sz w:val="32"/>
          <w:szCs w:val="32"/>
          <w:lang w:eastAsia="zh-CN"/>
        </w:rPr>
        <w:t>：</w:t>
      </w:r>
      <w:r>
        <w:rPr>
          <w:rFonts w:hint="default"/>
          <w:sz w:val="32"/>
          <w:szCs w:val="32"/>
          <w:lang w:val="en-US" w:eastAsia="zh-CN"/>
        </w:rPr>
        <w:t>年度指标</w:t>
      </w:r>
      <w:r>
        <w:rPr>
          <w:rFonts w:hint="eastAsia"/>
          <w:sz w:val="32"/>
          <w:szCs w:val="32"/>
          <w:lang w:val="en-US" w:eastAsia="zh-CN"/>
        </w:rPr>
        <w:t>大于等于</w:t>
      </w:r>
      <w:r>
        <w:rPr>
          <w:rFonts w:hint="default"/>
          <w:sz w:val="32"/>
          <w:szCs w:val="32"/>
          <w:lang w:val="en-US" w:eastAsia="zh-CN"/>
        </w:rPr>
        <w:t>100%，实际完成值100%，分值13.34分，得分13.34分，得分率100.00%。说明“两庭”建设能按照预定时间完成，在工程进度把控上表现良好，合理安排资金和资源，保障建设项目按时交付使用，避免因工期延误带来的成本增加和工作不便。</w:t>
      </w:r>
    </w:p>
    <w:p w14:paraId="32EC98BA">
      <w:pPr>
        <w:spacing w:line="560" w:lineRule="exact"/>
        <w:ind w:firstLine="643"/>
        <w:rPr>
          <w:b/>
          <w:bCs/>
          <w:sz w:val="32"/>
          <w:szCs w:val="32"/>
        </w:rPr>
      </w:pPr>
      <w:r>
        <w:rPr>
          <w:rFonts w:hint="eastAsia"/>
          <w:b/>
          <w:bCs/>
          <w:sz w:val="32"/>
          <w:szCs w:val="32"/>
        </w:rPr>
        <w:t>（3）效益指标</w:t>
      </w:r>
    </w:p>
    <w:p w14:paraId="302644BE">
      <w:pPr>
        <w:spacing w:line="560" w:lineRule="exact"/>
        <w:ind w:firstLine="640"/>
        <w:rPr>
          <w:sz w:val="32"/>
          <w:szCs w:val="32"/>
        </w:rPr>
      </w:pPr>
      <w:r>
        <w:rPr>
          <w:rFonts w:hint="eastAsia"/>
          <w:sz w:val="32"/>
          <w:szCs w:val="32"/>
        </w:rPr>
        <w:t>本项目效益指标主要考虑经济效益、社会效益、生态效益三部分。总分值20分，得分</w:t>
      </w:r>
      <w:r>
        <w:rPr>
          <w:rFonts w:hint="eastAsia"/>
          <w:sz w:val="32"/>
          <w:szCs w:val="32"/>
          <w:lang w:val="en-US" w:eastAsia="zh-CN"/>
        </w:rPr>
        <w:t>18.34</w:t>
      </w:r>
      <w:r>
        <w:rPr>
          <w:rFonts w:hint="eastAsia"/>
          <w:sz w:val="32"/>
          <w:szCs w:val="32"/>
        </w:rPr>
        <w:t>分，得分率为</w:t>
      </w:r>
      <w:r>
        <w:rPr>
          <w:rFonts w:hint="eastAsia"/>
          <w:sz w:val="32"/>
          <w:szCs w:val="32"/>
          <w:lang w:val="en-US" w:eastAsia="zh-CN"/>
        </w:rPr>
        <w:t>91.70</w:t>
      </w:r>
      <w:r>
        <w:rPr>
          <w:rFonts w:hint="eastAsia"/>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2193"/>
        <w:gridCol w:w="1434"/>
        <w:gridCol w:w="1500"/>
        <w:gridCol w:w="659"/>
        <w:gridCol w:w="727"/>
        <w:gridCol w:w="964"/>
      </w:tblGrid>
      <w:tr w14:paraId="37267D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2" w:type="dxa"/>
            <w:shd w:val="clear" w:color="auto" w:fill="BDD6EE"/>
            <w:vAlign w:val="center"/>
          </w:tcPr>
          <w:p w14:paraId="43C7FB5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93" w:type="dxa"/>
            <w:shd w:val="clear" w:color="auto" w:fill="BDD6EE"/>
            <w:vAlign w:val="center"/>
          </w:tcPr>
          <w:p w14:paraId="75E4B5B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434" w:type="dxa"/>
            <w:shd w:val="clear" w:color="auto" w:fill="BDD6EE"/>
            <w:vAlign w:val="center"/>
          </w:tcPr>
          <w:p w14:paraId="0684090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00" w:type="dxa"/>
            <w:shd w:val="clear" w:color="auto" w:fill="BDD6EE"/>
            <w:vAlign w:val="center"/>
          </w:tcPr>
          <w:p w14:paraId="14974E9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59" w:type="dxa"/>
            <w:shd w:val="clear" w:color="auto" w:fill="BDD6EE"/>
            <w:vAlign w:val="center"/>
          </w:tcPr>
          <w:p w14:paraId="188B052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27" w:type="dxa"/>
            <w:shd w:val="clear" w:color="auto" w:fill="BDD6EE"/>
            <w:vAlign w:val="center"/>
          </w:tcPr>
          <w:p w14:paraId="4CE1DC2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64" w:type="dxa"/>
            <w:shd w:val="clear" w:color="auto" w:fill="BDD6EE"/>
            <w:vAlign w:val="center"/>
          </w:tcPr>
          <w:p w14:paraId="2159DC5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7326E0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325D73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2193" w:type="dxa"/>
            <w:vAlign w:val="center"/>
          </w:tcPr>
          <w:p w14:paraId="672768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经济活跃度</w:t>
            </w:r>
          </w:p>
        </w:tc>
        <w:tc>
          <w:tcPr>
            <w:tcW w:w="1434" w:type="dxa"/>
            <w:vAlign w:val="center"/>
          </w:tcPr>
          <w:p w14:paraId="57968C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500" w:type="dxa"/>
            <w:vAlign w:val="center"/>
          </w:tcPr>
          <w:p w14:paraId="0A9D66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9" w:type="dxa"/>
            <w:vAlign w:val="center"/>
          </w:tcPr>
          <w:p w14:paraId="0CC4B81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27" w:type="dxa"/>
            <w:vAlign w:val="center"/>
          </w:tcPr>
          <w:p w14:paraId="63DBE3E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4" w:type="dxa"/>
            <w:vAlign w:val="center"/>
          </w:tcPr>
          <w:p w14:paraId="6C12A0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5646F1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78526B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93" w:type="dxa"/>
            <w:vAlign w:val="center"/>
          </w:tcPr>
          <w:p w14:paraId="42405D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维护社会稳定</w:t>
            </w:r>
          </w:p>
        </w:tc>
        <w:tc>
          <w:tcPr>
            <w:tcW w:w="1434" w:type="dxa"/>
            <w:vAlign w:val="center"/>
          </w:tcPr>
          <w:p w14:paraId="1D81C3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500" w:type="dxa"/>
            <w:vAlign w:val="center"/>
          </w:tcPr>
          <w:p w14:paraId="49D9A9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9" w:type="dxa"/>
            <w:vAlign w:val="center"/>
          </w:tcPr>
          <w:p w14:paraId="2F2FE6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27" w:type="dxa"/>
            <w:vAlign w:val="center"/>
          </w:tcPr>
          <w:p w14:paraId="6B4458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964" w:type="dxa"/>
            <w:vAlign w:val="center"/>
          </w:tcPr>
          <w:p w14:paraId="4D3A4B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41D63E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14:paraId="46F95C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2193" w:type="dxa"/>
            <w:vAlign w:val="center"/>
          </w:tcPr>
          <w:p w14:paraId="1162FD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环境监测</w:t>
            </w:r>
          </w:p>
        </w:tc>
        <w:tc>
          <w:tcPr>
            <w:tcW w:w="1434" w:type="dxa"/>
            <w:vAlign w:val="center"/>
          </w:tcPr>
          <w:p w14:paraId="1BA392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500" w:type="dxa"/>
            <w:vAlign w:val="center"/>
          </w:tcPr>
          <w:p w14:paraId="5A2435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9" w:type="dxa"/>
            <w:vAlign w:val="center"/>
          </w:tcPr>
          <w:p w14:paraId="7977FB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727" w:type="dxa"/>
            <w:vAlign w:val="center"/>
          </w:tcPr>
          <w:p w14:paraId="3884D1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4" w:type="dxa"/>
            <w:vAlign w:val="center"/>
          </w:tcPr>
          <w:p w14:paraId="782D48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75.08%</w:t>
            </w:r>
          </w:p>
        </w:tc>
      </w:tr>
      <w:tr w14:paraId="16311C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9" w:type="dxa"/>
            <w:gridSpan w:val="4"/>
            <w:shd w:val="clear" w:color="auto" w:fill="BDD6EE"/>
            <w:vAlign w:val="center"/>
          </w:tcPr>
          <w:p w14:paraId="79229FD9">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59" w:type="dxa"/>
            <w:shd w:val="clear" w:color="auto" w:fill="BDD6EE"/>
            <w:vAlign w:val="center"/>
          </w:tcPr>
          <w:p w14:paraId="13F9970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727" w:type="dxa"/>
            <w:shd w:val="clear" w:color="auto" w:fill="BDD6EE"/>
            <w:vAlign w:val="center"/>
          </w:tcPr>
          <w:p w14:paraId="3DCD9BA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17.99</w:t>
            </w:r>
          </w:p>
        </w:tc>
        <w:tc>
          <w:tcPr>
            <w:tcW w:w="964" w:type="dxa"/>
            <w:shd w:val="clear" w:color="auto" w:fill="BDD6EE"/>
            <w:vAlign w:val="center"/>
          </w:tcPr>
          <w:p w14:paraId="0834F8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89.95%</w:t>
            </w:r>
          </w:p>
        </w:tc>
      </w:tr>
    </w:tbl>
    <w:p w14:paraId="255647FB">
      <w:pPr>
        <w:spacing w:line="560" w:lineRule="exact"/>
        <w:ind w:firstLine="640"/>
        <w:rPr>
          <w:rFonts w:hint="default" w:hAnsi="宋体"/>
          <w:sz w:val="32"/>
          <w:szCs w:val="32"/>
        </w:rPr>
      </w:pPr>
      <w:r>
        <w:rPr>
          <w:rFonts w:hint="default" w:hAnsi="宋体"/>
          <w:b/>
          <w:bCs/>
          <w:sz w:val="32"/>
          <w:szCs w:val="32"/>
        </w:rPr>
        <w:t>经济活跃度</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100%，实际完成值100%，分值6.67分，得分6.67分，得分率100.00%。表明“两庭”建设对区域经济活跃度产生了积极影响，可能吸引了相关产业聚集、促进了人员流动等，在经济发展方面发挥了正向推动作用，达成经济效能目标。</w:t>
      </w:r>
    </w:p>
    <w:p w14:paraId="5A416D0D">
      <w:pPr>
        <w:spacing w:line="560" w:lineRule="exact"/>
        <w:ind w:firstLine="640"/>
        <w:rPr>
          <w:rFonts w:hint="default" w:hAnsi="宋体"/>
          <w:sz w:val="32"/>
          <w:szCs w:val="32"/>
        </w:rPr>
      </w:pPr>
      <w:r>
        <w:rPr>
          <w:rFonts w:hint="default" w:hAnsi="宋体"/>
          <w:b/>
          <w:bCs/>
          <w:sz w:val="32"/>
          <w:szCs w:val="32"/>
        </w:rPr>
        <w:t>维护社会稳定</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100%，实际完成值100%，分值6.67分，得分6.67分，得分率100.00%。再次体现“两庭”建设资金在维护社会稳定方面成效显著，通过完善审判场所等设施，提升司法服务水平，更好地化解矛盾纠纷，为社会稳定提供坚实司法支撑。</w:t>
      </w:r>
    </w:p>
    <w:p w14:paraId="487C428B">
      <w:pPr>
        <w:spacing w:line="560" w:lineRule="exact"/>
        <w:ind w:firstLine="640"/>
        <w:rPr>
          <w:rFonts w:hint="default" w:hAnsi="宋体"/>
          <w:sz w:val="32"/>
          <w:szCs w:val="32"/>
        </w:rPr>
      </w:pPr>
      <w:r>
        <w:rPr>
          <w:rFonts w:hint="default" w:hAnsi="宋体"/>
          <w:b/>
          <w:bCs/>
          <w:sz w:val="32"/>
          <w:szCs w:val="32"/>
        </w:rPr>
        <w:t>环境监测</w:t>
      </w:r>
      <w:r>
        <w:rPr>
          <w:rFonts w:hint="eastAsia" w:hAnsi="宋体"/>
          <w:b/>
          <w:bCs/>
          <w:sz w:val="32"/>
          <w:szCs w:val="32"/>
          <w:lang w:eastAsia="zh-CN"/>
        </w:rPr>
        <w:t>：</w:t>
      </w:r>
      <w:r>
        <w:rPr>
          <w:rFonts w:hint="default" w:hAnsi="宋体"/>
          <w:sz w:val="32"/>
          <w:szCs w:val="32"/>
          <w:lang w:val="en-US" w:eastAsia="zh-CN"/>
        </w:rPr>
        <w:t>年度指标</w:t>
      </w:r>
      <w:r>
        <w:rPr>
          <w:rFonts w:hint="eastAsia" w:hAnsi="宋体"/>
          <w:sz w:val="32"/>
          <w:szCs w:val="32"/>
          <w:lang w:val="en-US" w:eastAsia="zh-CN"/>
        </w:rPr>
        <w:t>大于等于</w:t>
      </w:r>
      <w:r>
        <w:rPr>
          <w:rFonts w:hint="default" w:hAnsi="宋体"/>
          <w:sz w:val="32"/>
          <w:szCs w:val="32"/>
          <w:lang w:val="en-US" w:eastAsia="zh-CN"/>
        </w:rPr>
        <w:t>100%，实际完成值100%，分值6.66分，得分5分，得分率75.00%。说明在环境监测方面基本达到要求，</w:t>
      </w:r>
      <w:r>
        <w:rPr>
          <w:rFonts w:hint="eastAsia" w:hAnsi="宋体"/>
          <w:sz w:val="32"/>
          <w:szCs w:val="32"/>
          <w:lang w:val="en-US" w:eastAsia="zh-CN"/>
        </w:rPr>
        <w:t>今后</w:t>
      </w:r>
      <w:r>
        <w:rPr>
          <w:rFonts w:hint="default" w:hAnsi="宋体"/>
          <w:sz w:val="32"/>
          <w:szCs w:val="32"/>
          <w:lang w:val="en-US" w:eastAsia="zh-CN"/>
        </w:rPr>
        <w:t>在环境监测的精细度、持续性等方面</w:t>
      </w:r>
      <w:r>
        <w:rPr>
          <w:rFonts w:hint="eastAsia" w:hAnsi="宋体"/>
          <w:sz w:val="32"/>
          <w:szCs w:val="32"/>
          <w:lang w:val="en-US" w:eastAsia="zh-CN"/>
        </w:rPr>
        <w:t>，</w:t>
      </w:r>
      <w:r>
        <w:rPr>
          <w:rFonts w:hint="default" w:hAnsi="宋体"/>
          <w:sz w:val="32"/>
          <w:szCs w:val="32"/>
          <w:lang w:val="en-US" w:eastAsia="zh-CN"/>
        </w:rPr>
        <w:t>需进一步加强环境监测工作，确保“两庭”建设与环境和谐共生。</w:t>
      </w:r>
    </w:p>
    <w:p w14:paraId="19806ABB">
      <w:pPr>
        <w:numPr>
          <w:ilvl w:val="255"/>
          <w:numId w:val="0"/>
        </w:numPr>
        <w:spacing w:line="560" w:lineRule="exact"/>
        <w:ind w:firstLine="643" w:firstLineChars="200"/>
        <w:rPr>
          <w:b/>
          <w:bCs/>
          <w:sz w:val="32"/>
          <w:szCs w:val="32"/>
        </w:rPr>
      </w:pPr>
      <w:r>
        <w:rPr>
          <w:rFonts w:hint="eastAsia"/>
          <w:b/>
          <w:bCs/>
          <w:sz w:val="32"/>
          <w:szCs w:val="32"/>
        </w:rPr>
        <w:t>（4）满意度指标</w:t>
      </w:r>
    </w:p>
    <w:p w14:paraId="3452E2EE">
      <w:pPr>
        <w:spacing w:line="560" w:lineRule="exact"/>
        <w:ind w:firstLine="640"/>
        <w:rPr>
          <w:rFonts w:hint="eastAsia" w:hAnsi="宋体"/>
          <w:sz w:val="32"/>
          <w:szCs w:val="32"/>
        </w:rPr>
      </w:pPr>
      <w:r>
        <w:rPr>
          <w:rFonts w:hint="eastAsia" w:hAnsi="宋体"/>
          <w:sz w:val="32"/>
          <w:szCs w:val="32"/>
        </w:rPr>
        <w:t>服务对象满意度主要为群众满意度，该指标分值合计10分，自评得分10分，得分率为100%。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50"/>
        <w:gridCol w:w="1920"/>
        <w:gridCol w:w="1373"/>
        <w:gridCol w:w="1290"/>
        <w:gridCol w:w="690"/>
        <w:gridCol w:w="639"/>
        <w:gridCol w:w="1007"/>
      </w:tblGrid>
      <w:tr w14:paraId="73855A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50" w:type="dxa"/>
            <w:shd w:val="clear" w:color="auto" w:fill="BDD6EE"/>
            <w:vAlign w:val="center"/>
          </w:tcPr>
          <w:p w14:paraId="7D98C43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20" w:type="dxa"/>
            <w:shd w:val="clear" w:color="auto" w:fill="BDD6EE"/>
            <w:vAlign w:val="center"/>
          </w:tcPr>
          <w:p w14:paraId="5AEDBE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14:paraId="7DBDBD2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14:paraId="213A15D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14:paraId="1F7D99A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14:paraId="752232C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14:paraId="2EDEE1E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732B5A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50" w:type="dxa"/>
            <w:vAlign w:val="center"/>
          </w:tcPr>
          <w:p w14:paraId="33DBBA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20" w:type="dxa"/>
            <w:vAlign w:val="center"/>
          </w:tcPr>
          <w:p w14:paraId="1C6A44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群众满意度</w:t>
            </w:r>
          </w:p>
        </w:tc>
        <w:tc>
          <w:tcPr>
            <w:tcW w:w="1373" w:type="dxa"/>
            <w:vAlign w:val="center"/>
          </w:tcPr>
          <w:p w14:paraId="1F7582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290" w:type="dxa"/>
            <w:vAlign w:val="center"/>
          </w:tcPr>
          <w:p w14:paraId="738413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90" w:type="dxa"/>
            <w:vAlign w:val="center"/>
          </w:tcPr>
          <w:p w14:paraId="16D8DC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9" w:type="dxa"/>
            <w:vAlign w:val="center"/>
          </w:tcPr>
          <w:p w14:paraId="399A2D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7" w:type="dxa"/>
            <w:vAlign w:val="center"/>
          </w:tcPr>
          <w:p w14:paraId="55C2ED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6EA7D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14:paraId="2E4EDD8B">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14:paraId="55E754B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14:paraId="5D2C5F8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14:paraId="6E3489B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14:paraId="1DD4AE86">
      <w:pPr>
        <w:spacing w:line="560" w:lineRule="exact"/>
        <w:ind w:firstLine="640"/>
        <w:rPr>
          <w:rFonts w:hint="default"/>
          <w:sz w:val="32"/>
          <w:szCs w:val="32"/>
        </w:rPr>
      </w:pPr>
      <w:r>
        <w:rPr>
          <w:rFonts w:hint="default"/>
          <w:b/>
          <w:bCs/>
          <w:sz w:val="32"/>
          <w:szCs w:val="32"/>
        </w:rPr>
        <w:t>群众满意度</w:t>
      </w:r>
      <w:r>
        <w:rPr>
          <w:rFonts w:hint="eastAsia"/>
          <w:b/>
          <w:bCs/>
          <w:sz w:val="32"/>
          <w:szCs w:val="32"/>
          <w:lang w:eastAsia="zh-CN"/>
        </w:rPr>
        <w:t>：</w:t>
      </w:r>
      <w:r>
        <w:rPr>
          <w:rFonts w:hint="default"/>
          <w:sz w:val="32"/>
          <w:szCs w:val="32"/>
          <w:lang w:val="en-US" w:eastAsia="zh-CN"/>
        </w:rPr>
        <w:t>年度指标</w:t>
      </w:r>
      <w:r>
        <w:rPr>
          <w:rFonts w:hint="eastAsia"/>
          <w:sz w:val="32"/>
          <w:szCs w:val="32"/>
          <w:lang w:val="en-US" w:eastAsia="zh-CN"/>
        </w:rPr>
        <w:t>大于等于</w:t>
      </w:r>
      <w:r>
        <w:rPr>
          <w:rFonts w:hint="default"/>
          <w:sz w:val="32"/>
          <w:szCs w:val="32"/>
          <w:lang w:val="en-US" w:eastAsia="zh-CN"/>
        </w:rPr>
        <w:t>100%，实际完成值100%，分值10分，得分10分，得分率100.00%。表明“两庭”建设成果得到群众高度认可，通过改善司法服务环境、提升司法服务质量等，满足了群众对司法的需求，增强了群众对法院工作的信任，提升了司法公信力。</w:t>
      </w:r>
    </w:p>
    <w:p w14:paraId="0F65132E">
      <w:pPr>
        <w:pStyle w:val="4"/>
        <w:spacing w:line="560" w:lineRule="exact"/>
        <w:ind w:firstLine="643"/>
        <w:rPr>
          <w:sz w:val="32"/>
        </w:rPr>
      </w:pPr>
      <w:r>
        <w:rPr>
          <w:rFonts w:hint="eastAsia"/>
          <w:sz w:val="32"/>
        </w:rPr>
        <w:t>4.偏离绩效目标的原因及下一步改进措施</w:t>
      </w:r>
    </w:p>
    <w:p w14:paraId="2C8D5FB3">
      <w:pPr>
        <w:spacing w:line="560" w:lineRule="exact"/>
        <w:ind w:firstLine="640"/>
        <w:rPr>
          <w:rFonts w:hint="eastAsia"/>
          <w:sz w:val="32"/>
          <w:szCs w:val="32"/>
        </w:rPr>
      </w:pPr>
      <w:r>
        <w:rPr>
          <w:rFonts w:hint="eastAsia"/>
          <w:sz w:val="32"/>
          <w:szCs w:val="32"/>
        </w:rPr>
        <w:t>无。</w:t>
      </w:r>
    </w:p>
    <w:p w14:paraId="778BB639">
      <w:pPr>
        <w:pStyle w:val="3"/>
        <w:spacing w:before="0" w:after="0" w:line="560" w:lineRule="exact"/>
        <w:ind w:firstLine="643"/>
        <w:rPr>
          <w:rFonts w:hint="default" w:hAnsi="宋体" w:eastAsia="楷体"/>
          <w:szCs w:val="28"/>
          <w:highlight w:val="none"/>
          <w:lang w:val="en-US" w:eastAsia="zh-CN"/>
        </w:rPr>
      </w:pPr>
      <w:bookmarkStart w:id="75" w:name="_Toc2212"/>
      <w:r>
        <w:rPr>
          <w:rFonts w:hint="eastAsia"/>
          <w:highlight w:val="none"/>
        </w:rPr>
        <w:t>（</w:t>
      </w:r>
      <w:r>
        <w:rPr>
          <w:rFonts w:hint="eastAsia"/>
          <w:highlight w:val="none"/>
          <w:lang w:val="en-US" w:eastAsia="zh-CN"/>
        </w:rPr>
        <w:t>五</w:t>
      </w:r>
      <w:r>
        <w:rPr>
          <w:rFonts w:hint="eastAsia"/>
          <w:highlight w:val="none"/>
        </w:rPr>
        <w:t>）</w:t>
      </w:r>
      <w:r>
        <w:rPr>
          <w:rFonts w:hint="eastAsia" w:hAnsi="宋体"/>
          <w:szCs w:val="28"/>
          <w:highlight w:val="none"/>
        </w:rPr>
        <w:t>全省法院“两庭建设”资金</w:t>
      </w:r>
      <w:bookmarkEnd w:id="75"/>
    </w:p>
    <w:p w14:paraId="7CCED0BF">
      <w:pPr>
        <w:spacing w:line="560" w:lineRule="exact"/>
        <w:ind w:firstLine="640"/>
        <w:rPr>
          <w:rFonts w:hint="eastAsia" w:hAnsi="宋体"/>
          <w:sz w:val="32"/>
          <w:szCs w:val="32"/>
        </w:rPr>
      </w:pPr>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年全省法院“两庭建设”资金项目支出绩效得分为</w:t>
      </w:r>
      <w:r>
        <w:rPr>
          <w:rFonts w:hint="eastAsia" w:hAnsi="宋体"/>
          <w:sz w:val="32"/>
          <w:szCs w:val="32"/>
          <w:lang w:eastAsia="zh-CN"/>
        </w:rPr>
        <w:t>100</w:t>
      </w:r>
      <w:r>
        <w:rPr>
          <w:rFonts w:hint="eastAsia" w:hAnsi="宋体"/>
          <w:sz w:val="32"/>
          <w:szCs w:val="32"/>
        </w:rPr>
        <w:t>分，绩效等级为“优”。项目支出绩效评价包括项目资金预算执行率、成本、产出、效益、满意度</w:t>
      </w:r>
      <w:r>
        <w:rPr>
          <w:rFonts w:hint="eastAsia" w:hAnsi="宋体"/>
          <w:sz w:val="32"/>
          <w:szCs w:val="32"/>
          <w:lang w:val="en-US" w:eastAsia="zh-CN"/>
        </w:rPr>
        <w:t>4</w:t>
      </w:r>
      <w:r>
        <w:rPr>
          <w:rFonts w:hint="eastAsia" w:hAnsi="宋体"/>
          <w:sz w:val="32"/>
          <w:szCs w:val="32"/>
        </w:rPr>
        <w:t>个一级指标，下设</w:t>
      </w:r>
      <w:r>
        <w:rPr>
          <w:rFonts w:hint="eastAsia" w:hAnsi="宋体"/>
          <w:sz w:val="32"/>
          <w:szCs w:val="32"/>
          <w:lang w:val="en-US" w:eastAsia="zh-CN"/>
        </w:rPr>
        <w:t>10</w:t>
      </w:r>
      <w:r>
        <w:rPr>
          <w:rFonts w:hint="eastAsia" w:hAnsi="宋体"/>
          <w:sz w:val="32"/>
          <w:szCs w:val="32"/>
        </w:rPr>
        <w:t>个二级指标和1</w:t>
      </w:r>
      <w:r>
        <w:rPr>
          <w:rFonts w:hint="eastAsia" w:hAnsi="宋体"/>
          <w:sz w:val="32"/>
          <w:szCs w:val="32"/>
          <w:lang w:val="en-US" w:eastAsia="zh-CN"/>
        </w:rPr>
        <w:t>0</w:t>
      </w:r>
      <w:r>
        <w:rPr>
          <w:rFonts w:hint="eastAsia" w:hAnsi="宋体"/>
          <w:sz w:val="32"/>
          <w:szCs w:val="32"/>
        </w:rPr>
        <w:t>个三级指标。项目资金预算执行率100%，一级指标得分情况详见下表：</w:t>
      </w:r>
    </w:p>
    <w:p w14:paraId="10196461">
      <w:pPr>
        <w:spacing w:line="560" w:lineRule="exact"/>
        <w:ind w:firstLine="640"/>
        <w:jc w:val="center"/>
        <w:rPr>
          <w:rFonts w:hint="eastAsia" w:hAnsi="宋体"/>
          <w:sz w:val="32"/>
          <w:szCs w:val="32"/>
        </w:rPr>
      </w:pPr>
      <w:r>
        <w:rPr>
          <w:rFonts w:hint="eastAsia" w:ascii="宋体" w:hAnsi="宋体" w:cs="宋体"/>
          <w:b/>
          <w:bCs/>
          <w:kern w:val="0"/>
          <w:sz w:val="24"/>
          <w:highlight w:val="none"/>
          <w:lang w:val="en-US" w:eastAsia="zh-CN"/>
        </w:rPr>
        <w:t>2024年度</w:t>
      </w:r>
      <w:r>
        <w:rPr>
          <w:rFonts w:hint="eastAsia" w:ascii="宋体" w:hAnsi="宋体" w:cs="宋体"/>
          <w:b/>
          <w:bCs/>
          <w:kern w:val="0"/>
          <w:sz w:val="24"/>
          <w:highlight w:val="none"/>
        </w:rPr>
        <w:t>部门</w:t>
      </w:r>
      <w:r>
        <w:rPr>
          <w:rFonts w:hint="eastAsia" w:ascii="宋体" w:hAnsi="宋体" w:cs="宋体"/>
          <w:b/>
          <w:bCs/>
          <w:kern w:val="0"/>
          <w:sz w:val="24"/>
          <w:highlight w:val="none"/>
          <w:lang w:val="en-US" w:eastAsia="zh-CN"/>
        </w:rPr>
        <w:t>项目</w:t>
      </w:r>
      <w:r>
        <w:rPr>
          <w:rFonts w:hint="eastAsia" w:ascii="宋体" w:hAnsi="宋体" w:cs="宋体"/>
          <w:b/>
          <w:bCs/>
          <w:kern w:val="0"/>
          <w:sz w:val="24"/>
          <w:highlight w:val="none"/>
        </w:rPr>
        <w:t>支出</w:t>
      </w:r>
      <w:r>
        <w:rPr>
          <w:rFonts w:hint="eastAsia" w:ascii="宋体" w:hAnsi="宋体" w:cs="宋体"/>
          <w:b/>
          <w:bCs/>
          <w:kern w:val="0"/>
          <w:sz w:val="24"/>
          <w:highlight w:val="none"/>
          <w:lang w:eastAsia="zh-CN"/>
        </w:rPr>
        <w:t>绩效自评指标</w:t>
      </w:r>
      <w:r>
        <w:rPr>
          <w:rFonts w:hint="eastAsia" w:ascii="宋体" w:hAnsi="宋体" w:cs="宋体"/>
          <w:b/>
          <w:bCs/>
          <w:kern w:val="0"/>
          <w:sz w:val="24"/>
          <w:highlight w:val="none"/>
        </w:rPr>
        <w:t>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791C66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1261173D">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14:paraId="4A5F5143">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14:paraId="56DE1680">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14:paraId="45A0F879">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14:paraId="56DFDB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627FAF5C">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14:paraId="2B70DC33">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3BF98FD0">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701" w:type="dxa"/>
            <w:vAlign w:val="center"/>
          </w:tcPr>
          <w:p w14:paraId="6E532231">
            <w:pPr>
              <w:widowControl/>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1C6E60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14:paraId="6CEC120F">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14:paraId="3711E12A">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3F161928">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1701" w:type="dxa"/>
            <w:vAlign w:val="center"/>
          </w:tcPr>
          <w:p w14:paraId="3300D76D">
            <w:pPr>
              <w:widowControl/>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394B6F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6683F3F0">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14:paraId="4C32321B">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14:paraId="0FC07405">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w:t>
            </w:r>
          </w:p>
        </w:tc>
        <w:tc>
          <w:tcPr>
            <w:tcW w:w="1701" w:type="dxa"/>
            <w:vAlign w:val="center"/>
          </w:tcPr>
          <w:p w14:paraId="1FA6F8FD">
            <w:pPr>
              <w:widowControl/>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02D343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34F537B4">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14:paraId="7F6F7711">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14:paraId="54113AA3">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1701" w:type="dxa"/>
            <w:vAlign w:val="center"/>
          </w:tcPr>
          <w:p w14:paraId="6276CDBD">
            <w:pPr>
              <w:widowControl/>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7DD52A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77D8A4A4">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14:paraId="0AD213BA">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38AC637D">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14:paraId="146D687D">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14:paraId="737C5E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4A02C9A3">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14:paraId="18760A3E">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14:paraId="3DFCCCEB">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100</w:t>
            </w:r>
          </w:p>
        </w:tc>
        <w:tc>
          <w:tcPr>
            <w:tcW w:w="1701" w:type="dxa"/>
            <w:shd w:val="clear" w:color="auto" w:fill="BDD6EE"/>
            <w:vAlign w:val="center"/>
          </w:tcPr>
          <w:p w14:paraId="4A9B6A02">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100</w:t>
            </w:r>
            <w:r>
              <w:rPr>
                <w:rFonts w:hint="eastAsia" w:ascii="宋体" w:hAnsi="宋体" w:eastAsia="宋体" w:cs="宋体"/>
                <w:b/>
                <w:bCs/>
                <w:color w:val="000000"/>
                <w:kern w:val="0"/>
                <w:sz w:val="20"/>
                <w:szCs w:val="20"/>
              </w:rPr>
              <w:t>%</w:t>
            </w:r>
          </w:p>
        </w:tc>
      </w:tr>
    </w:tbl>
    <w:p w14:paraId="66785DB1">
      <w:pPr>
        <w:pStyle w:val="4"/>
        <w:spacing w:line="560" w:lineRule="exact"/>
        <w:ind w:firstLine="643"/>
        <w:rPr>
          <w:sz w:val="32"/>
        </w:rPr>
      </w:pPr>
      <w:r>
        <w:rPr>
          <w:rFonts w:hint="eastAsia"/>
          <w:sz w:val="32"/>
        </w:rPr>
        <w:t>1.项目支出预算执行情况</w:t>
      </w:r>
    </w:p>
    <w:p w14:paraId="06D7304E">
      <w:pPr>
        <w:spacing w:line="560" w:lineRule="exact"/>
        <w:ind w:firstLine="640"/>
        <w:rPr>
          <w:rFonts w:hAnsi="宋体"/>
          <w:sz w:val="32"/>
          <w:szCs w:val="32"/>
        </w:rPr>
      </w:pPr>
      <w:r>
        <w:rPr>
          <w:rFonts w:hint="eastAsia" w:hAnsi="宋体"/>
          <w:sz w:val="32"/>
          <w:szCs w:val="32"/>
        </w:rPr>
        <w:t>全省法院“两庭建设”资金全年预算数855</w:t>
      </w:r>
      <w:r>
        <w:rPr>
          <w:rFonts w:hint="eastAsia" w:hAnsi="宋体"/>
          <w:sz w:val="32"/>
          <w:szCs w:val="32"/>
          <w:lang w:val="en-US" w:eastAsia="zh-CN"/>
        </w:rPr>
        <w:t>.</w:t>
      </w:r>
      <w:r>
        <w:rPr>
          <w:rFonts w:hint="eastAsia" w:hAnsi="宋体"/>
          <w:sz w:val="32"/>
          <w:szCs w:val="32"/>
        </w:rPr>
        <w:t>10</w:t>
      </w:r>
      <w:r>
        <w:rPr>
          <w:rFonts w:hint="eastAsia" w:hAnsi="宋体"/>
          <w:sz w:val="32"/>
          <w:szCs w:val="32"/>
          <w:lang w:val="en-US" w:eastAsia="zh-CN"/>
        </w:rPr>
        <w:t>万元，（其中：财政拨款700.00万元，上年结转资金155.10万元）</w:t>
      </w:r>
      <w:r>
        <w:rPr>
          <w:rFonts w:hint="eastAsia" w:hAnsi="宋体"/>
          <w:sz w:val="32"/>
          <w:szCs w:val="32"/>
        </w:rPr>
        <w:t>全年执行数855</w:t>
      </w:r>
      <w:r>
        <w:rPr>
          <w:rFonts w:hint="eastAsia" w:hAnsi="宋体"/>
          <w:sz w:val="32"/>
          <w:szCs w:val="32"/>
          <w:lang w:val="en-US" w:eastAsia="zh-CN"/>
        </w:rPr>
        <w:t>.</w:t>
      </w:r>
      <w:r>
        <w:rPr>
          <w:rFonts w:hint="eastAsia" w:hAnsi="宋体"/>
          <w:sz w:val="32"/>
          <w:szCs w:val="32"/>
        </w:rPr>
        <w:t>10万元，预算执行率</w:t>
      </w:r>
      <w:r>
        <w:rPr>
          <w:rFonts w:hint="eastAsia" w:hAnsi="宋体"/>
          <w:sz w:val="32"/>
          <w:szCs w:val="32"/>
          <w:lang w:val="en-US" w:eastAsia="zh-CN"/>
        </w:rPr>
        <w:t>100</w:t>
      </w:r>
      <w:r>
        <w:rPr>
          <w:rFonts w:hint="eastAsia" w:hAnsi="宋体"/>
          <w:sz w:val="32"/>
          <w:szCs w:val="32"/>
        </w:rPr>
        <w:t>%，满分10分，得分</w:t>
      </w:r>
      <w:r>
        <w:rPr>
          <w:rFonts w:hint="eastAsia" w:hAnsi="宋体"/>
          <w:sz w:val="32"/>
          <w:szCs w:val="32"/>
          <w:lang w:val="en-US" w:eastAsia="zh-CN"/>
        </w:rPr>
        <w:t>10</w:t>
      </w:r>
      <w:r>
        <w:rPr>
          <w:rFonts w:hint="eastAsia" w:hAnsi="宋体"/>
          <w:sz w:val="32"/>
          <w:szCs w:val="32"/>
        </w:rPr>
        <w:t>分。</w:t>
      </w:r>
    </w:p>
    <w:p w14:paraId="1C10E162">
      <w:pPr>
        <w:pStyle w:val="4"/>
        <w:spacing w:line="560" w:lineRule="exact"/>
        <w:ind w:firstLine="643"/>
        <w:rPr>
          <w:sz w:val="32"/>
        </w:rPr>
      </w:pPr>
      <w:r>
        <w:rPr>
          <w:rFonts w:hint="eastAsia"/>
          <w:sz w:val="32"/>
        </w:rPr>
        <w:t>2.总体绩效目标完成情况分析</w:t>
      </w:r>
    </w:p>
    <w:p w14:paraId="2F72D73B">
      <w:pPr>
        <w:spacing w:line="560" w:lineRule="exact"/>
        <w:ind w:firstLine="640"/>
        <w:rPr>
          <w:sz w:val="32"/>
          <w:szCs w:val="32"/>
        </w:rPr>
      </w:pPr>
      <w:r>
        <w:rPr>
          <w:rFonts w:hint="eastAsia"/>
          <w:sz w:val="32"/>
          <w:szCs w:val="32"/>
          <w:lang w:val="en-US" w:eastAsia="zh-CN"/>
        </w:rPr>
        <w:t>保障</w:t>
      </w:r>
      <w:r>
        <w:rPr>
          <w:rFonts w:hint="eastAsia"/>
          <w:sz w:val="32"/>
          <w:szCs w:val="32"/>
        </w:rPr>
        <w:t>全省法院“两庭建设”资金</w:t>
      </w:r>
      <w:r>
        <w:rPr>
          <w:rFonts w:hint="eastAsia"/>
          <w:sz w:val="32"/>
          <w:szCs w:val="32"/>
          <w:lang w:val="en-US" w:eastAsia="zh-CN"/>
        </w:rPr>
        <w:t>顺利实施</w:t>
      </w:r>
      <w:r>
        <w:rPr>
          <w:rFonts w:hint="eastAsia"/>
          <w:sz w:val="32"/>
          <w:szCs w:val="32"/>
        </w:rPr>
        <w:t>。</w:t>
      </w:r>
    </w:p>
    <w:p w14:paraId="4A399B8B">
      <w:pPr>
        <w:pStyle w:val="4"/>
        <w:spacing w:line="560" w:lineRule="exact"/>
        <w:ind w:firstLine="643"/>
        <w:rPr>
          <w:sz w:val="32"/>
        </w:rPr>
      </w:pPr>
      <w:r>
        <w:rPr>
          <w:rFonts w:hint="eastAsia"/>
          <w:sz w:val="32"/>
        </w:rPr>
        <w:t>3.各项指标完成情况分析</w:t>
      </w:r>
    </w:p>
    <w:p w14:paraId="1FAD6465">
      <w:pPr>
        <w:spacing w:line="560" w:lineRule="exact"/>
        <w:ind w:firstLine="640"/>
        <w:rPr>
          <w:rFonts w:hint="eastAsia"/>
          <w:sz w:val="32"/>
          <w:szCs w:val="32"/>
        </w:rPr>
      </w:pPr>
      <w:r>
        <w:rPr>
          <w:rFonts w:hint="eastAsia"/>
          <w:sz w:val="32"/>
          <w:szCs w:val="32"/>
          <w:lang w:val="en-US" w:eastAsia="zh-CN"/>
        </w:rPr>
        <w:t>同项目四</w:t>
      </w:r>
      <w:r>
        <w:rPr>
          <w:rFonts w:hint="eastAsia"/>
          <w:sz w:val="32"/>
          <w:szCs w:val="32"/>
        </w:rPr>
        <w:t>全省法院“两庭”建设资金</w:t>
      </w:r>
      <w:r>
        <w:rPr>
          <w:rFonts w:hint="eastAsia"/>
          <w:sz w:val="32"/>
          <w:szCs w:val="32"/>
          <w:lang w:val="en-US" w:eastAsia="zh-CN"/>
        </w:rPr>
        <w:t>。</w:t>
      </w:r>
    </w:p>
    <w:p w14:paraId="00D00D12">
      <w:pPr>
        <w:pStyle w:val="4"/>
        <w:spacing w:line="560" w:lineRule="exact"/>
        <w:ind w:firstLine="643"/>
        <w:rPr>
          <w:sz w:val="32"/>
        </w:rPr>
      </w:pPr>
      <w:r>
        <w:rPr>
          <w:rFonts w:hint="eastAsia"/>
          <w:sz w:val="32"/>
        </w:rPr>
        <w:t>4.偏离绩效目标的原因及下一步改进措施</w:t>
      </w:r>
    </w:p>
    <w:p w14:paraId="26DA399C">
      <w:pPr>
        <w:spacing w:line="560" w:lineRule="exact"/>
        <w:ind w:firstLine="640"/>
        <w:rPr>
          <w:rFonts w:hint="eastAsia"/>
          <w:sz w:val="32"/>
          <w:szCs w:val="32"/>
        </w:rPr>
      </w:pPr>
      <w:r>
        <w:rPr>
          <w:rFonts w:hint="eastAsia"/>
          <w:sz w:val="32"/>
          <w:szCs w:val="32"/>
        </w:rPr>
        <w:t>无。</w:t>
      </w:r>
    </w:p>
    <w:p w14:paraId="4D52D18D">
      <w:pPr>
        <w:pStyle w:val="3"/>
        <w:keepNext/>
        <w:keepLines/>
        <w:pageBreakBefore w:val="0"/>
        <w:widowControl w:val="0"/>
        <w:kinsoku/>
        <w:wordWrap/>
        <w:overflowPunct/>
        <w:topLinePunct w:val="0"/>
        <w:autoSpaceDE/>
        <w:autoSpaceDN/>
        <w:bidi w:val="0"/>
        <w:adjustRightInd/>
        <w:snapToGrid/>
        <w:spacing w:before="0" w:after="0"/>
        <w:textAlignment w:val="auto"/>
        <w:rPr>
          <w:rFonts w:hint="default"/>
          <w:lang w:val="en-US"/>
        </w:rPr>
      </w:pPr>
      <w:bookmarkStart w:id="76" w:name="_Toc14509"/>
      <w:bookmarkStart w:id="77" w:name="_Toc2343"/>
      <w:r>
        <w:rPr>
          <w:rFonts w:hint="eastAsia"/>
          <w:lang w:eastAsia="zh-CN"/>
        </w:rPr>
        <w:t>（</w:t>
      </w:r>
      <w:r>
        <w:rPr>
          <w:rFonts w:hint="eastAsia"/>
          <w:lang w:val="en-US" w:eastAsia="zh-CN"/>
        </w:rPr>
        <w:t>六</w:t>
      </w:r>
      <w:r>
        <w:rPr>
          <w:rFonts w:hint="eastAsia"/>
          <w:lang w:eastAsia="zh-CN"/>
        </w:rPr>
        <w:t>）全省法院人民法庭维修经费</w:t>
      </w:r>
      <w:bookmarkEnd w:id="76"/>
      <w:bookmarkEnd w:id="77"/>
    </w:p>
    <w:p w14:paraId="00488281">
      <w:pPr>
        <w:pStyle w:val="8"/>
        <w:ind w:left="0" w:leftChars="0" w:firstLine="640" w:firstLineChars="200"/>
        <w:rPr>
          <w:rFonts w:hint="eastAsia"/>
          <w:color w:val="000000" w:themeColor="text1"/>
          <w:sz w:val="32"/>
          <w:szCs w:val="32"/>
        </w:rPr>
      </w:pPr>
      <w:r>
        <w:rPr>
          <w:rFonts w:hint="eastAsia"/>
          <w:color w:val="000000" w:themeColor="text1"/>
          <w:sz w:val="32"/>
          <w:szCs w:val="32"/>
        </w:rPr>
        <w:t>本次绩效自评综合评定</w:t>
      </w:r>
      <w:r>
        <w:rPr>
          <w:rFonts w:hint="eastAsia"/>
          <w:color w:val="000000" w:themeColor="text1"/>
          <w:sz w:val="32"/>
          <w:szCs w:val="32"/>
          <w:lang w:eastAsia="zh-CN"/>
        </w:rPr>
        <w:t>2024年</w:t>
      </w:r>
      <w:r>
        <w:rPr>
          <w:rFonts w:hint="eastAsia"/>
          <w:color w:val="000000" w:themeColor="text1"/>
          <w:sz w:val="32"/>
          <w:szCs w:val="32"/>
        </w:rPr>
        <w:t>全省法院人民法庭维修经费支出绩效得分为</w:t>
      </w:r>
      <w:r>
        <w:rPr>
          <w:rFonts w:hint="eastAsia"/>
          <w:color w:val="000000" w:themeColor="text1"/>
          <w:sz w:val="32"/>
          <w:szCs w:val="32"/>
          <w:lang w:val="en-US" w:eastAsia="zh-CN"/>
        </w:rPr>
        <w:t>100</w:t>
      </w:r>
      <w:r>
        <w:rPr>
          <w:rFonts w:hint="eastAsia"/>
          <w:color w:val="000000" w:themeColor="text1"/>
          <w:sz w:val="32"/>
          <w:szCs w:val="32"/>
        </w:rPr>
        <w:t>分，绩效等级为“</w:t>
      </w:r>
      <w:r>
        <w:rPr>
          <w:rFonts w:hint="eastAsia"/>
          <w:color w:val="000000" w:themeColor="text1"/>
          <w:sz w:val="32"/>
          <w:szCs w:val="32"/>
          <w:lang w:val="en-US" w:eastAsia="zh-CN"/>
        </w:rPr>
        <w:t>优</w:t>
      </w:r>
      <w:r>
        <w:rPr>
          <w:rFonts w:hint="eastAsia"/>
          <w:color w:val="000000" w:themeColor="text1"/>
          <w:sz w:val="32"/>
          <w:szCs w:val="32"/>
        </w:rPr>
        <w:t>”。项目支出绩效评价包括</w:t>
      </w:r>
      <w:r>
        <w:rPr>
          <w:rFonts w:hint="eastAsia" w:cs="仿宋_GB2312"/>
          <w:color w:val="000000" w:themeColor="text1"/>
          <w:sz w:val="32"/>
          <w:szCs w:val="32"/>
          <w:lang w:val="en-US" w:eastAsia="zh-CN"/>
        </w:rPr>
        <w:t>成本</w:t>
      </w:r>
      <w:r>
        <w:rPr>
          <w:rFonts w:hint="eastAsia" w:cs="仿宋_GB2312"/>
          <w:color w:val="000000" w:themeColor="text1"/>
          <w:sz w:val="32"/>
          <w:szCs w:val="32"/>
        </w:rPr>
        <w:t>、</w:t>
      </w:r>
      <w:r>
        <w:rPr>
          <w:rFonts w:hint="eastAsia"/>
          <w:color w:val="000000" w:themeColor="text1"/>
          <w:sz w:val="32"/>
          <w:szCs w:val="32"/>
        </w:rPr>
        <w:t>产出、效益、满意度四个一级指标，下设</w:t>
      </w:r>
      <w:r>
        <w:rPr>
          <w:rFonts w:hint="eastAsia"/>
          <w:color w:val="000000" w:themeColor="text1"/>
          <w:sz w:val="32"/>
          <w:szCs w:val="32"/>
          <w:lang w:val="en-US" w:eastAsia="zh-CN"/>
        </w:rPr>
        <w:t>10</w:t>
      </w:r>
      <w:r>
        <w:rPr>
          <w:rFonts w:hint="eastAsia"/>
          <w:color w:val="000000" w:themeColor="text1"/>
          <w:sz w:val="32"/>
          <w:szCs w:val="32"/>
        </w:rPr>
        <w:t>个二级指标和</w:t>
      </w:r>
      <w:r>
        <w:rPr>
          <w:rFonts w:hint="eastAsia"/>
          <w:color w:val="000000" w:themeColor="text1"/>
          <w:sz w:val="32"/>
          <w:szCs w:val="32"/>
          <w:lang w:val="en-US" w:eastAsia="zh-CN"/>
        </w:rPr>
        <w:t>10</w:t>
      </w:r>
      <w:r>
        <w:rPr>
          <w:rFonts w:hint="eastAsia"/>
          <w:color w:val="000000" w:themeColor="text1"/>
          <w:sz w:val="32"/>
          <w:szCs w:val="32"/>
        </w:rPr>
        <w:t>个三级指标。一级指标得分情况详见下表：</w:t>
      </w:r>
    </w:p>
    <w:p w14:paraId="00D4D538">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w:t>
      </w:r>
      <w:r>
        <w:rPr>
          <w:rFonts w:hint="eastAsia" w:ascii="宋体" w:hAnsi="宋体" w:cs="宋体"/>
          <w:b/>
          <w:bCs/>
          <w:kern w:val="0"/>
          <w:sz w:val="24"/>
          <w:lang w:val="en-US" w:eastAsia="zh-CN"/>
        </w:rPr>
        <w:t>项目</w:t>
      </w:r>
      <w:r>
        <w:rPr>
          <w:rFonts w:hint="eastAsia" w:ascii="宋体" w:hAnsi="宋体" w:cs="宋体"/>
          <w:b/>
          <w:bCs/>
          <w:kern w:val="0"/>
          <w:sz w:val="24"/>
        </w:rPr>
        <w:t>支出</w:t>
      </w:r>
      <w:r>
        <w:rPr>
          <w:rFonts w:hint="eastAsia" w:ascii="宋体" w:hAnsi="宋体" w:cs="宋体"/>
          <w:b/>
          <w:bCs/>
          <w:kern w:val="0"/>
          <w:sz w:val="24"/>
          <w:lang w:eastAsia="zh-CN"/>
        </w:rPr>
        <w:t>绩效自评指标</w:t>
      </w:r>
      <w:r>
        <w:rPr>
          <w:rFonts w:hint="eastAsia" w:ascii="宋体" w:hAnsi="宋体" w:cs="宋体"/>
          <w:b/>
          <w:bCs/>
          <w:kern w:val="0"/>
          <w:sz w:val="24"/>
        </w:rPr>
        <w:t>得分情况</w:t>
      </w:r>
    </w:p>
    <w:tbl>
      <w:tblPr>
        <w:tblStyle w:val="22"/>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669CEE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211C2AE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64" w:type="dxa"/>
            <w:shd w:val="clear" w:color="auto" w:fill="BDD6EE"/>
            <w:vAlign w:val="center"/>
          </w:tcPr>
          <w:p w14:paraId="4B5FE3D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2064" w:type="dxa"/>
            <w:shd w:val="clear" w:color="auto" w:fill="BDD6EE"/>
            <w:vAlign w:val="center"/>
          </w:tcPr>
          <w:p w14:paraId="42D6D2B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自评得分</w:t>
            </w:r>
          </w:p>
        </w:tc>
        <w:tc>
          <w:tcPr>
            <w:tcW w:w="2066" w:type="dxa"/>
            <w:shd w:val="clear" w:color="auto" w:fill="BDD6EE"/>
            <w:vAlign w:val="center"/>
          </w:tcPr>
          <w:p w14:paraId="37C4ED2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14:paraId="000B58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8BDD620">
            <w:pPr>
              <w:widowControl/>
              <w:ind w:left="0" w:leftChars="0"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预算执行率</w:t>
            </w:r>
          </w:p>
        </w:tc>
        <w:tc>
          <w:tcPr>
            <w:tcW w:w="2064" w:type="dxa"/>
            <w:vAlign w:val="center"/>
          </w:tcPr>
          <w:p w14:paraId="1AA5911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4" w:type="dxa"/>
            <w:vAlign w:val="center"/>
          </w:tcPr>
          <w:p w14:paraId="14EA082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2066" w:type="dxa"/>
            <w:vAlign w:val="center"/>
          </w:tcPr>
          <w:p w14:paraId="3860092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2E1240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2FE38CA">
            <w:pPr>
              <w:widowControl/>
              <w:ind w:left="0" w:leftChars="0" w:firstLine="0" w:firstLineChars="0"/>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成本指标</w:t>
            </w:r>
          </w:p>
        </w:tc>
        <w:tc>
          <w:tcPr>
            <w:tcW w:w="2064" w:type="dxa"/>
            <w:vAlign w:val="center"/>
          </w:tcPr>
          <w:p w14:paraId="7D16A0B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6EDF1BB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20</w:t>
            </w:r>
          </w:p>
        </w:tc>
        <w:tc>
          <w:tcPr>
            <w:tcW w:w="2066" w:type="dxa"/>
            <w:vAlign w:val="center"/>
          </w:tcPr>
          <w:p w14:paraId="67F3FA3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26ED92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82DAC50">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产出指标</w:t>
            </w:r>
          </w:p>
        </w:tc>
        <w:tc>
          <w:tcPr>
            <w:tcW w:w="2064" w:type="dxa"/>
            <w:vAlign w:val="center"/>
          </w:tcPr>
          <w:p w14:paraId="27F0DFF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40</w:t>
            </w:r>
          </w:p>
        </w:tc>
        <w:tc>
          <w:tcPr>
            <w:tcW w:w="2064" w:type="dxa"/>
            <w:vAlign w:val="center"/>
          </w:tcPr>
          <w:p w14:paraId="45BA2F0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color w:val="000000"/>
                <w:kern w:val="0"/>
                <w:sz w:val="20"/>
                <w:szCs w:val="20"/>
                <w:lang w:val="en-US" w:eastAsia="zh-CN" w:bidi="ar"/>
              </w:rPr>
              <w:t>40</w:t>
            </w:r>
          </w:p>
        </w:tc>
        <w:tc>
          <w:tcPr>
            <w:tcW w:w="2066" w:type="dxa"/>
            <w:vAlign w:val="center"/>
          </w:tcPr>
          <w:p w14:paraId="6D6F32E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11F43E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3B6814E">
            <w:pPr>
              <w:widowControl/>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效益指标</w:t>
            </w:r>
          </w:p>
        </w:tc>
        <w:tc>
          <w:tcPr>
            <w:tcW w:w="2064" w:type="dxa"/>
            <w:vAlign w:val="center"/>
          </w:tcPr>
          <w:p w14:paraId="148FF7E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20</w:t>
            </w:r>
          </w:p>
        </w:tc>
        <w:tc>
          <w:tcPr>
            <w:tcW w:w="2064" w:type="dxa"/>
            <w:vAlign w:val="center"/>
          </w:tcPr>
          <w:p w14:paraId="60A7E82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20</w:t>
            </w:r>
          </w:p>
        </w:tc>
        <w:tc>
          <w:tcPr>
            <w:tcW w:w="2066" w:type="dxa"/>
            <w:vAlign w:val="center"/>
          </w:tcPr>
          <w:p w14:paraId="55D6B50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004850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32C74D5">
            <w:pPr>
              <w:widowControl/>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满意度指标</w:t>
            </w:r>
          </w:p>
        </w:tc>
        <w:tc>
          <w:tcPr>
            <w:tcW w:w="2064" w:type="dxa"/>
            <w:vAlign w:val="center"/>
          </w:tcPr>
          <w:p w14:paraId="0950371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lang w:val="en-US" w:eastAsia="zh-CN" w:bidi="ar"/>
              </w:rPr>
              <w:t>10</w:t>
            </w:r>
          </w:p>
        </w:tc>
        <w:tc>
          <w:tcPr>
            <w:tcW w:w="2064" w:type="dxa"/>
            <w:vAlign w:val="center"/>
          </w:tcPr>
          <w:p w14:paraId="576EE76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w:t>
            </w:r>
          </w:p>
        </w:tc>
        <w:tc>
          <w:tcPr>
            <w:tcW w:w="2066" w:type="dxa"/>
            <w:vAlign w:val="center"/>
          </w:tcPr>
          <w:p w14:paraId="567F536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.00</w:t>
            </w:r>
            <w:r>
              <w:rPr>
                <w:rFonts w:hint="eastAsia" w:ascii="宋体" w:hAnsi="宋体" w:eastAsia="宋体" w:cs="宋体"/>
                <w:color w:val="000000"/>
                <w:kern w:val="0"/>
                <w:sz w:val="20"/>
                <w:szCs w:val="20"/>
                <w:lang w:bidi="ar"/>
              </w:rPr>
              <w:t>%</w:t>
            </w:r>
          </w:p>
        </w:tc>
      </w:tr>
      <w:tr w14:paraId="0C65B5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5274594D">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2064" w:type="dxa"/>
            <w:shd w:val="clear" w:color="auto" w:fill="BDD6EE"/>
            <w:vAlign w:val="center"/>
          </w:tcPr>
          <w:p w14:paraId="24CEAA8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bidi="ar"/>
              </w:rPr>
              <w:t>100</w:t>
            </w:r>
          </w:p>
        </w:tc>
        <w:tc>
          <w:tcPr>
            <w:tcW w:w="2064" w:type="dxa"/>
            <w:shd w:val="clear" w:color="auto" w:fill="BDD6EE"/>
            <w:vAlign w:val="center"/>
          </w:tcPr>
          <w:p w14:paraId="10AB1E1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100</w:t>
            </w:r>
          </w:p>
        </w:tc>
        <w:tc>
          <w:tcPr>
            <w:tcW w:w="2066" w:type="dxa"/>
            <w:shd w:val="clear" w:color="auto" w:fill="BDD6EE"/>
            <w:vAlign w:val="center"/>
          </w:tcPr>
          <w:p w14:paraId="07C63A8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color w:val="000000"/>
                <w:kern w:val="0"/>
                <w:sz w:val="20"/>
                <w:szCs w:val="20"/>
                <w:lang w:val="en-US" w:eastAsia="zh-CN" w:bidi="ar"/>
              </w:rPr>
              <w:t>100.00%</w:t>
            </w:r>
          </w:p>
        </w:tc>
      </w:tr>
    </w:tbl>
    <w:p w14:paraId="2669146B">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1.项目支出预算执行情况</w:t>
      </w:r>
    </w:p>
    <w:p w14:paraId="66C045EB">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000000" w:themeColor="text1"/>
          <w:sz w:val="32"/>
          <w:szCs w:val="32"/>
          <w:lang w:val="en-US" w:eastAsia="zh-CN"/>
        </w:rPr>
      </w:pPr>
      <w:r>
        <w:rPr>
          <w:rFonts w:hint="eastAsia"/>
          <w:color w:val="000000" w:themeColor="text1"/>
          <w:sz w:val="32"/>
          <w:szCs w:val="32"/>
          <w:lang w:val="en-US" w:eastAsia="zh-CN"/>
        </w:rPr>
        <w:t>我院全省法院人民法庭维修经费全年预算数10.00万元，全年执行数10.00万元，预算执行率100%，满分10分，得分10分。</w:t>
      </w:r>
    </w:p>
    <w:p w14:paraId="7B08B662">
      <w:pPr>
        <w:pStyle w:val="4"/>
        <w:bidi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2.总体绩效目标完成情况分析</w:t>
      </w:r>
    </w:p>
    <w:p w14:paraId="11318C0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经费按计划精准投入，确保法庭设施完备。经严格把控支出，合理安排使用，无超支或浪费情况，有效提升了法庭办公环境与司法服务质量。</w:t>
      </w:r>
    </w:p>
    <w:p w14:paraId="0F3218E4">
      <w:pPr>
        <w:pStyle w:val="4"/>
        <w:bidi w:val="0"/>
        <w:rPr>
          <w:rFonts w:ascii="仿宋_GB2312" w:hAnsi="仿宋_GB2312" w:eastAsia="仿宋_GB2312"/>
          <w:sz w:val="32"/>
          <w:szCs w:val="32"/>
        </w:rPr>
      </w:pPr>
      <w:r>
        <w:rPr>
          <w:rFonts w:hint="eastAsia" w:ascii="仿宋_GB2312" w:hAnsi="仿宋_GB2312" w:eastAsia="仿宋_GB2312"/>
          <w:sz w:val="32"/>
          <w:szCs w:val="32"/>
          <w:lang w:val="en-US" w:eastAsia="zh-CN"/>
        </w:rPr>
        <w:t>3.</w:t>
      </w:r>
      <w:r>
        <w:rPr>
          <w:rFonts w:ascii="仿宋_GB2312" w:hAnsi="仿宋_GB2312" w:eastAsia="仿宋_GB2312"/>
          <w:sz w:val="32"/>
          <w:szCs w:val="32"/>
        </w:rPr>
        <w:t>各项指标完成情况分析</w:t>
      </w:r>
    </w:p>
    <w:p w14:paraId="65D33CFC">
      <w:pPr>
        <w:rPr>
          <w:rFonts w:hint="eastAsia" w:eastAsia="仿宋_GB2312"/>
          <w:lang w:val="en-US" w:eastAsia="zh-CN"/>
        </w:rPr>
      </w:pPr>
      <w:r>
        <w:rPr>
          <w:rFonts w:hint="eastAsia"/>
          <w:lang w:val="en-US" w:eastAsia="zh-CN"/>
        </w:rPr>
        <w:t>同项目四全</w:t>
      </w:r>
      <w:r>
        <w:rPr>
          <w:rFonts w:hint="eastAsia"/>
          <w:sz w:val="32"/>
          <w:szCs w:val="32"/>
        </w:rPr>
        <w:t>省法院“两庭”建设资金</w:t>
      </w:r>
      <w:r>
        <w:rPr>
          <w:rFonts w:hint="eastAsia"/>
          <w:sz w:val="32"/>
          <w:szCs w:val="32"/>
          <w:lang w:eastAsia="zh-CN"/>
        </w:rPr>
        <w:t>。</w:t>
      </w:r>
    </w:p>
    <w:p w14:paraId="7C70B1D8">
      <w:pPr>
        <w:pStyle w:val="4"/>
        <w:bidi w:val="0"/>
      </w:pPr>
      <w:r>
        <w:t>4</w:t>
      </w:r>
      <w:r>
        <w:rPr>
          <w:rFonts w:hint="eastAsia"/>
          <w:lang w:val="en-US" w:eastAsia="zh-CN"/>
        </w:rPr>
        <w:t>.</w:t>
      </w:r>
      <w:r>
        <w:t>偏离绩效目标的原因及下一步改进措施</w:t>
      </w:r>
    </w:p>
    <w:p w14:paraId="476F45A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lang w:val="en-US" w:eastAsia="zh-CN"/>
        </w:rPr>
      </w:pPr>
      <w:r>
        <w:rPr>
          <w:rFonts w:hint="eastAsia" w:ascii="仿宋_GB2312" w:hAnsi="仿宋_GB2312" w:eastAsia="仿宋_GB2312"/>
          <w:lang w:val="en-US" w:eastAsia="zh-CN"/>
        </w:rPr>
        <w:t>无。</w:t>
      </w:r>
    </w:p>
    <w:bookmarkEnd w:id="61"/>
    <w:bookmarkEnd w:id="62"/>
    <w:bookmarkEnd w:id="63"/>
    <w:bookmarkEnd w:id="64"/>
    <w:bookmarkEnd w:id="65"/>
    <w:bookmarkEnd w:id="66"/>
    <w:bookmarkEnd w:id="67"/>
    <w:p w14:paraId="1FED3B9B">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8" w:name="_Toc6252"/>
      <w:bookmarkStart w:id="79" w:name="_Toc32543"/>
      <w:bookmarkStart w:id="80" w:name="_Toc26665"/>
      <w:bookmarkStart w:id="81" w:name="_Toc13737"/>
      <w:bookmarkStart w:id="82" w:name="_Toc6472"/>
      <w:bookmarkStart w:id="83" w:name="_Toc21490"/>
      <w:bookmarkStart w:id="84" w:name="_Toc17181"/>
      <w:bookmarkStart w:id="85" w:name="_Toc21115"/>
      <w:bookmarkStart w:id="86" w:name="_Toc40046066"/>
      <w:bookmarkStart w:id="87" w:name="_Toc4491"/>
      <w:bookmarkStart w:id="88" w:name="_Toc6781"/>
      <w:bookmarkStart w:id="89" w:name="_Toc12251"/>
      <w:r>
        <w:rPr>
          <w:rFonts w:hint="eastAsia"/>
          <w:lang w:val="en-US" w:eastAsia="zh-CN"/>
        </w:rPr>
        <w:t>五、绩效自评结果拟应用和公开情况</w:t>
      </w:r>
      <w:bookmarkEnd w:id="78"/>
      <w:bookmarkEnd w:id="79"/>
      <w:bookmarkEnd w:id="80"/>
      <w:bookmarkEnd w:id="81"/>
    </w:p>
    <w:bookmarkEnd w:id="82"/>
    <w:p w14:paraId="7912F0CA">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w:t>
      </w:r>
      <w:r>
        <w:rPr>
          <w:rFonts w:hint="eastAsia" w:hAnsi="宋体"/>
          <w:szCs w:val="28"/>
          <w:lang w:eastAsia="zh-CN"/>
        </w:rPr>
        <w:t>自评</w:t>
      </w:r>
      <w:r>
        <w:rPr>
          <w:rFonts w:hint="eastAsia" w:hAnsi="宋体"/>
          <w:szCs w:val="28"/>
        </w:rPr>
        <w:t>结果的应用。根据政策文件规定，我院绩效自评结果将编入</w:t>
      </w:r>
      <w:r>
        <w:rPr>
          <w:rFonts w:hint="eastAsia" w:hAnsi="宋体"/>
          <w:szCs w:val="28"/>
          <w:lang w:eastAsia="zh-CN"/>
        </w:rPr>
        <w:t>2024年度</w:t>
      </w:r>
      <w:r>
        <w:rPr>
          <w:rFonts w:hint="eastAsia" w:hAnsi="宋体"/>
          <w:szCs w:val="28"/>
        </w:rPr>
        <w:t>决算中，随同</w:t>
      </w:r>
      <w:r>
        <w:rPr>
          <w:rFonts w:hint="eastAsia" w:hAnsi="宋体"/>
          <w:szCs w:val="28"/>
          <w:lang w:eastAsia="zh-CN"/>
        </w:rPr>
        <w:t>2024年度</w:t>
      </w:r>
      <w:r>
        <w:rPr>
          <w:rFonts w:hint="eastAsia" w:hAnsi="宋体"/>
          <w:szCs w:val="28"/>
        </w:rPr>
        <w:t>部门决算同步公开。</w:t>
      </w:r>
    </w:p>
    <w:p w14:paraId="5C92C428">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90" w:name="_Toc25330"/>
      <w:r>
        <w:rPr>
          <w:rFonts w:hint="eastAsia"/>
          <w:lang w:val="en-US" w:eastAsia="zh-CN"/>
        </w:rPr>
        <w:t>六、其他需要说明的问题</w:t>
      </w:r>
      <w:bookmarkEnd w:id="90"/>
    </w:p>
    <w:p w14:paraId="3A7682C6">
      <w:pPr>
        <w:keepNext w:val="0"/>
        <w:keepLines w:val="0"/>
        <w:pageBreakBefore w:val="0"/>
        <w:widowControl/>
        <w:kinsoku/>
        <w:wordWrap/>
        <w:overflowPunct/>
        <w:topLinePunct w:val="0"/>
        <w:autoSpaceDE/>
        <w:autoSpaceDN/>
        <w:bidi w:val="0"/>
        <w:adjustRightInd/>
        <w:snapToGrid/>
        <w:ind w:firstLine="560"/>
        <w:jc w:val="both"/>
        <w:textAlignment w:val="auto"/>
        <w:rPr>
          <w:rFonts w:hint="eastAsia" w:eastAsia="仿宋_GB2312"/>
          <w:lang w:eastAsia="zh-CN"/>
        </w:rPr>
      </w:pPr>
      <w:r>
        <w:rPr>
          <w:rFonts w:hint="eastAsia" w:hAnsi="宋体"/>
          <w:szCs w:val="28"/>
        </w:rPr>
        <w:t>无</w:t>
      </w:r>
      <w:r>
        <w:rPr>
          <w:rFonts w:hint="eastAsia" w:hAnsi="宋体"/>
          <w:szCs w:val="28"/>
          <w:lang w:eastAsia="zh-CN"/>
        </w:rPr>
        <w:t>。</w:t>
      </w:r>
    </w:p>
    <w:bookmarkEnd w:id="83"/>
    <w:bookmarkEnd w:id="84"/>
    <w:bookmarkEnd w:id="85"/>
    <w:bookmarkEnd w:id="86"/>
    <w:bookmarkEnd w:id="87"/>
    <w:bookmarkEnd w:id="88"/>
    <w:bookmarkEnd w:id="89"/>
    <w:p w14:paraId="7A75D294">
      <w:pPr>
        <w:pStyle w:val="28"/>
        <w:keepNext w:val="0"/>
        <w:keepLines w:val="0"/>
        <w:pageBreakBefore w:val="0"/>
        <w:widowControl w:val="0"/>
        <w:kinsoku/>
        <w:wordWrap/>
        <w:overflowPunct/>
        <w:topLinePunct w:val="0"/>
        <w:autoSpaceDE/>
        <w:autoSpaceDN/>
        <w:bidi w:val="0"/>
        <w:adjustRightInd/>
        <w:snapToGrid/>
        <w:ind w:left="0" w:leftChars="0" w:firstLine="5120" w:firstLineChars="1600"/>
        <w:jc w:val="right"/>
        <w:textAlignment w:val="auto"/>
        <w:rPr>
          <w:rFonts w:hAnsi="宋体"/>
          <w:sz w:val="32"/>
          <w:szCs w:val="32"/>
        </w:rPr>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BC22">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962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91C9">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1BA41">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14:paraId="34656764">
        <w:pPr>
          <w:pStyle w:val="14"/>
          <w:ind w:firstLine="360"/>
          <w:jc w:val="center"/>
        </w:pPr>
        <w:r>
          <w:fldChar w:fldCharType="begin"/>
        </w:r>
        <w:r>
          <w:instrText xml:space="preserve">PAGE   \* MERGEFORMAT</w:instrText>
        </w:r>
        <w:r>
          <w:fldChar w:fldCharType="separate"/>
        </w:r>
        <w:r>
          <w:rPr>
            <w:lang w:val="zh-CN"/>
          </w:rPr>
          <w:t>6</w:t>
        </w:r>
        <w:r>
          <w:fldChar w:fldCharType="end"/>
        </w:r>
      </w:p>
    </w:sdtContent>
  </w:sdt>
  <w:p w14:paraId="473B671D">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F3DA">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7509">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0F6E">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594A0"/>
    <w:multiLevelType w:val="singleLevel"/>
    <w:tmpl w:val="A4E594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B0C5B"/>
    <w:rsid w:val="005F4EFE"/>
    <w:rsid w:val="00657B40"/>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16A0"/>
    <w:rsid w:val="00A55CA9"/>
    <w:rsid w:val="00A959C7"/>
    <w:rsid w:val="00AE078A"/>
    <w:rsid w:val="00B42316"/>
    <w:rsid w:val="00B435CF"/>
    <w:rsid w:val="00B713E0"/>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A46BB1"/>
    <w:rsid w:val="02D93C69"/>
    <w:rsid w:val="0305754E"/>
    <w:rsid w:val="03586C8C"/>
    <w:rsid w:val="03B80F4C"/>
    <w:rsid w:val="03B93EF4"/>
    <w:rsid w:val="03DE64EE"/>
    <w:rsid w:val="04180F6C"/>
    <w:rsid w:val="045D1075"/>
    <w:rsid w:val="046D109D"/>
    <w:rsid w:val="04AE1CD1"/>
    <w:rsid w:val="04AE6573"/>
    <w:rsid w:val="04B40728"/>
    <w:rsid w:val="04C826FC"/>
    <w:rsid w:val="04D710AE"/>
    <w:rsid w:val="05431AC5"/>
    <w:rsid w:val="055B4129"/>
    <w:rsid w:val="058F525E"/>
    <w:rsid w:val="05D64F65"/>
    <w:rsid w:val="05DF30F5"/>
    <w:rsid w:val="05F45A09"/>
    <w:rsid w:val="064F716B"/>
    <w:rsid w:val="068B5D38"/>
    <w:rsid w:val="06B8742D"/>
    <w:rsid w:val="06D575E9"/>
    <w:rsid w:val="06E8731C"/>
    <w:rsid w:val="06F265AD"/>
    <w:rsid w:val="06F90833"/>
    <w:rsid w:val="071E5658"/>
    <w:rsid w:val="07930250"/>
    <w:rsid w:val="07AF39D1"/>
    <w:rsid w:val="07DE28D4"/>
    <w:rsid w:val="080476EC"/>
    <w:rsid w:val="080E4270"/>
    <w:rsid w:val="08603339"/>
    <w:rsid w:val="087F1930"/>
    <w:rsid w:val="088272FC"/>
    <w:rsid w:val="08A7247E"/>
    <w:rsid w:val="08A728CF"/>
    <w:rsid w:val="08A84A40"/>
    <w:rsid w:val="08F834BD"/>
    <w:rsid w:val="09077DF6"/>
    <w:rsid w:val="091241C8"/>
    <w:rsid w:val="09376339"/>
    <w:rsid w:val="09877709"/>
    <w:rsid w:val="09B13A45"/>
    <w:rsid w:val="09BE6112"/>
    <w:rsid w:val="0A6C3DC0"/>
    <w:rsid w:val="0AAC7535"/>
    <w:rsid w:val="0AFD6D5D"/>
    <w:rsid w:val="0B3D575C"/>
    <w:rsid w:val="0B496305"/>
    <w:rsid w:val="0B632527"/>
    <w:rsid w:val="0B8B2A8B"/>
    <w:rsid w:val="0B8D6294"/>
    <w:rsid w:val="0B987180"/>
    <w:rsid w:val="0BA35E5E"/>
    <w:rsid w:val="0BA70E60"/>
    <w:rsid w:val="0BE1433A"/>
    <w:rsid w:val="0C040E46"/>
    <w:rsid w:val="0C126BE9"/>
    <w:rsid w:val="0C4D1C1D"/>
    <w:rsid w:val="0C6032F9"/>
    <w:rsid w:val="0C6C6699"/>
    <w:rsid w:val="0C774C9E"/>
    <w:rsid w:val="0C8F023A"/>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3345697"/>
    <w:rsid w:val="13596EAB"/>
    <w:rsid w:val="14055456"/>
    <w:rsid w:val="1410241B"/>
    <w:rsid w:val="146A4AEC"/>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557E39"/>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BA6170B"/>
    <w:rsid w:val="1C770035"/>
    <w:rsid w:val="1C934265"/>
    <w:rsid w:val="1CA9356C"/>
    <w:rsid w:val="1CB60D97"/>
    <w:rsid w:val="1CBD494F"/>
    <w:rsid w:val="1CC41839"/>
    <w:rsid w:val="1CD540C4"/>
    <w:rsid w:val="1CE82FAE"/>
    <w:rsid w:val="1CED19AE"/>
    <w:rsid w:val="1D172F01"/>
    <w:rsid w:val="1D4B7A4A"/>
    <w:rsid w:val="1D6B5FA6"/>
    <w:rsid w:val="1DE5415D"/>
    <w:rsid w:val="1E0730ED"/>
    <w:rsid w:val="1E4A23BC"/>
    <w:rsid w:val="1EBF6B45"/>
    <w:rsid w:val="1EC37572"/>
    <w:rsid w:val="1EC73863"/>
    <w:rsid w:val="1EFC175F"/>
    <w:rsid w:val="1F206BF2"/>
    <w:rsid w:val="201C2D22"/>
    <w:rsid w:val="204131A1"/>
    <w:rsid w:val="20462111"/>
    <w:rsid w:val="205A1343"/>
    <w:rsid w:val="206A11BC"/>
    <w:rsid w:val="20720431"/>
    <w:rsid w:val="20B724D5"/>
    <w:rsid w:val="21132B7C"/>
    <w:rsid w:val="2136082C"/>
    <w:rsid w:val="215313DE"/>
    <w:rsid w:val="216E0AF3"/>
    <w:rsid w:val="21A10725"/>
    <w:rsid w:val="21D94E53"/>
    <w:rsid w:val="21E94BEF"/>
    <w:rsid w:val="21F02D03"/>
    <w:rsid w:val="22A75E85"/>
    <w:rsid w:val="22C541CF"/>
    <w:rsid w:val="22D46037"/>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74607E"/>
    <w:rsid w:val="269A7D3C"/>
    <w:rsid w:val="26FD42C6"/>
    <w:rsid w:val="270E5FB0"/>
    <w:rsid w:val="27135D4E"/>
    <w:rsid w:val="27EC5A7D"/>
    <w:rsid w:val="27F751B9"/>
    <w:rsid w:val="27FA58DE"/>
    <w:rsid w:val="281C4006"/>
    <w:rsid w:val="2841391F"/>
    <w:rsid w:val="28452D46"/>
    <w:rsid w:val="2872534E"/>
    <w:rsid w:val="28A571DE"/>
    <w:rsid w:val="28BB61E6"/>
    <w:rsid w:val="28F33A63"/>
    <w:rsid w:val="29121B7F"/>
    <w:rsid w:val="29440026"/>
    <w:rsid w:val="29447DE6"/>
    <w:rsid w:val="29521614"/>
    <w:rsid w:val="295973BD"/>
    <w:rsid w:val="298720F0"/>
    <w:rsid w:val="29D52BB5"/>
    <w:rsid w:val="29EF14C9"/>
    <w:rsid w:val="29F55728"/>
    <w:rsid w:val="29FA3933"/>
    <w:rsid w:val="2A070BEE"/>
    <w:rsid w:val="2A273408"/>
    <w:rsid w:val="2A731D21"/>
    <w:rsid w:val="2A7F3244"/>
    <w:rsid w:val="2AB949A8"/>
    <w:rsid w:val="2ACD0453"/>
    <w:rsid w:val="2ACE3A90"/>
    <w:rsid w:val="2AE90432"/>
    <w:rsid w:val="2B0A5203"/>
    <w:rsid w:val="2B252A91"/>
    <w:rsid w:val="2B4017F0"/>
    <w:rsid w:val="2B6348E0"/>
    <w:rsid w:val="2B970537"/>
    <w:rsid w:val="2BE76212"/>
    <w:rsid w:val="2C09185D"/>
    <w:rsid w:val="2C0F7531"/>
    <w:rsid w:val="2C242E3D"/>
    <w:rsid w:val="2C7A0167"/>
    <w:rsid w:val="2C8F33BD"/>
    <w:rsid w:val="2C8F54B1"/>
    <w:rsid w:val="2D365489"/>
    <w:rsid w:val="2D5662C8"/>
    <w:rsid w:val="2D7071E9"/>
    <w:rsid w:val="2D8F715B"/>
    <w:rsid w:val="2DF56335"/>
    <w:rsid w:val="2DF9286A"/>
    <w:rsid w:val="2DFD104F"/>
    <w:rsid w:val="2ED6443A"/>
    <w:rsid w:val="2EE138F7"/>
    <w:rsid w:val="2EF20CB1"/>
    <w:rsid w:val="2F0C4BE3"/>
    <w:rsid w:val="2F377CAB"/>
    <w:rsid w:val="2F3955DA"/>
    <w:rsid w:val="2F4D1ED1"/>
    <w:rsid w:val="2FCB61DD"/>
    <w:rsid w:val="30952D41"/>
    <w:rsid w:val="30AD3888"/>
    <w:rsid w:val="30DD0CC4"/>
    <w:rsid w:val="30E271B6"/>
    <w:rsid w:val="31397F4B"/>
    <w:rsid w:val="31541DBA"/>
    <w:rsid w:val="317070E4"/>
    <w:rsid w:val="31775428"/>
    <w:rsid w:val="318F7220"/>
    <w:rsid w:val="31B63FAB"/>
    <w:rsid w:val="31CC3967"/>
    <w:rsid w:val="31D65E3F"/>
    <w:rsid w:val="31EB3351"/>
    <w:rsid w:val="31EB672C"/>
    <w:rsid w:val="31F02617"/>
    <w:rsid w:val="31F67D16"/>
    <w:rsid w:val="329A6E6D"/>
    <w:rsid w:val="32DC4272"/>
    <w:rsid w:val="33150BE9"/>
    <w:rsid w:val="333027BA"/>
    <w:rsid w:val="336C775A"/>
    <w:rsid w:val="33725861"/>
    <w:rsid w:val="33CF4883"/>
    <w:rsid w:val="33D62126"/>
    <w:rsid w:val="33D75E9F"/>
    <w:rsid w:val="33DE375D"/>
    <w:rsid w:val="33F71B1A"/>
    <w:rsid w:val="33F96BA2"/>
    <w:rsid w:val="342E014E"/>
    <w:rsid w:val="346A0719"/>
    <w:rsid w:val="34B306BA"/>
    <w:rsid w:val="34BC46A1"/>
    <w:rsid w:val="34D36666"/>
    <w:rsid w:val="34F146C2"/>
    <w:rsid w:val="351358AA"/>
    <w:rsid w:val="35303AB8"/>
    <w:rsid w:val="35324607"/>
    <w:rsid w:val="36237B9A"/>
    <w:rsid w:val="363277FD"/>
    <w:rsid w:val="365E57FF"/>
    <w:rsid w:val="366A70C8"/>
    <w:rsid w:val="36AF7935"/>
    <w:rsid w:val="36B928EF"/>
    <w:rsid w:val="36BB1AA7"/>
    <w:rsid w:val="36D901FE"/>
    <w:rsid w:val="37164F30"/>
    <w:rsid w:val="372B7BCD"/>
    <w:rsid w:val="376728C4"/>
    <w:rsid w:val="376E08C8"/>
    <w:rsid w:val="378413EA"/>
    <w:rsid w:val="379067CC"/>
    <w:rsid w:val="38021539"/>
    <w:rsid w:val="380A28CA"/>
    <w:rsid w:val="38135099"/>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4F27BE"/>
    <w:rsid w:val="3B5129DA"/>
    <w:rsid w:val="3B5B20B0"/>
    <w:rsid w:val="3B72650D"/>
    <w:rsid w:val="3BA33E48"/>
    <w:rsid w:val="3BBD0A54"/>
    <w:rsid w:val="3BBE58F0"/>
    <w:rsid w:val="3BDA41CF"/>
    <w:rsid w:val="3BE4409F"/>
    <w:rsid w:val="3C663A24"/>
    <w:rsid w:val="3C7F41CC"/>
    <w:rsid w:val="3C9F32D2"/>
    <w:rsid w:val="3CAE272D"/>
    <w:rsid w:val="3D015D3A"/>
    <w:rsid w:val="3D386234"/>
    <w:rsid w:val="3D6406AA"/>
    <w:rsid w:val="3D7B0470"/>
    <w:rsid w:val="3D9D034F"/>
    <w:rsid w:val="3DC01751"/>
    <w:rsid w:val="3DD07A03"/>
    <w:rsid w:val="3DE32F0A"/>
    <w:rsid w:val="3E23065E"/>
    <w:rsid w:val="3E585D6B"/>
    <w:rsid w:val="3EC75511"/>
    <w:rsid w:val="3F41523B"/>
    <w:rsid w:val="3F5D34CD"/>
    <w:rsid w:val="3F9B2476"/>
    <w:rsid w:val="3FC12A9B"/>
    <w:rsid w:val="3FC760C5"/>
    <w:rsid w:val="3FDF166A"/>
    <w:rsid w:val="40287B7C"/>
    <w:rsid w:val="403A4B1E"/>
    <w:rsid w:val="40516350"/>
    <w:rsid w:val="4081490E"/>
    <w:rsid w:val="408F79A5"/>
    <w:rsid w:val="40B17223"/>
    <w:rsid w:val="40C96B6F"/>
    <w:rsid w:val="41B62723"/>
    <w:rsid w:val="41C474D0"/>
    <w:rsid w:val="41C8474B"/>
    <w:rsid w:val="41CC073D"/>
    <w:rsid w:val="41CD47B2"/>
    <w:rsid w:val="423B584A"/>
    <w:rsid w:val="43166C1A"/>
    <w:rsid w:val="43291B47"/>
    <w:rsid w:val="432F247C"/>
    <w:rsid w:val="433724B6"/>
    <w:rsid w:val="433F5D00"/>
    <w:rsid w:val="43625A2A"/>
    <w:rsid w:val="437F06E0"/>
    <w:rsid w:val="43C31F9B"/>
    <w:rsid w:val="43D14C90"/>
    <w:rsid w:val="44093E52"/>
    <w:rsid w:val="44475071"/>
    <w:rsid w:val="445E3AFF"/>
    <w:rsid w:val="44612E7B"/>
    <w:rsid w:val="44753B35"/>
    <w:rsid w:val="44A571E8"/>
    <w:rsid w:val="45343151"/>
    <w:rsid w:val="456C2851"/>
    <w:rsid w:val="456F5F37"/>
    <w:rsid w:val="45BE1410"/>
    <w:rsid w:val="45CA5863"/>
    <w:rsid w:val="45E00434"/>
    <w:rsid w:val="45F047F0"/>
    <w:rsid w:val="45F4583A"/>
    <w:rsid w:val="46054912"/>
    <w:rsid w:val="46112717"/>
    <w:rsid w:val="46307B3F"/>
    <w:rsid w:val="46317690"/>
    <w:rsid w:val="468974CC"/>
    <w:rsid w:val="469448BA"/>
    <w:rsid w:val="46DC1289"/>
    <w:rsid w:val="472655E6"/>
    <w:rsid w:val="4729480B"/>
    <w:rsid w:val="474358CD"/>
    <w:rsid w:val="47743CD8"/>
    <w:rsid w:val="477D2815"/>
    <w:rsid w:val="47846F53"/>
    <w:rsid w:val="47982EAF"/>
    <w:rsid w:val="47AC304C"/>
    <w:rsid w:val="481B63B6"/>
    <w:rsid w:val="481C74F5"/>
    <w:rsid w:val="487550B7"/>
    <w:rsid w:val="48904B42"/>
    <w:rsid w:val="48917118"/>
    <w:rsid w:val="48B40105"/>
    <w:rsid w:val="48C20A74"/>
    <w:rsid w:val="48D569F9"/>
    <w:rsid w:val="48D83D6A"/>
    <w:rsid w:val="48E3765E"/>
    <w:rsid w:val="48F202EF"/>
    <w:rsid w:val="49747127"/>
    <w:rsid w:val="49B35FD2"/>
    <w:rsid w:val="49B45B0A"/>
    <w:rsid w:val="49BF4D9E"/>
    <w:rsid w:val="49D337CF"/>
    <w:rsid w:val="4A0027B1"/>
    <w:rsid w:val="4A5971B6"/>
    <w:rsid w:val="4A642CF0"/>
    <w:rsid w:val="4AAF69DB"/>
    <w:rsid w:val="4AC565F9"/>
    <w:rsid w:val="4ADB46D8"/>
    <w:rsid w:val="4AE1198C"/>
    <w:rsid w:val="4AF07AF1"/>
    <w:rsid w:val="4B4439C2"/>
    <w:rsid w:val="4B907218"/>
    <w:rsid w:val="4BD110E2"/>
    <w:rsid w:val="4C261319"/>
    <w:rsid w:val="4C261844"/>
    <w:rsid w:val="4C3E48B5"/>
    <w:rsid w:val="4C5E4F57"/>
    <w:rsid w:val="4C6F4027"/>
    <w:rsid w:val="4C975D73"/>
    <w:rsid w:val="4CDF1128"/>
    <w:rsid w:val="4D0B54AD"/>
    <w:rsid w:val="4D16026A"/>
    <w:rsid w:val="4D2A1AB4"/>
    <w:rsid w:val="4D633045"/>
    <w:rsid w:val="4DA343CF"/>
    <w:rsid w:val="4DBA72D7"/>
    <w:rsid w:val="4DBD57AB"/>
    <w:rsid w:val="4E471E75"/>
    <w:rsid w:val="4E64507F"/>
    <w:rsid w:val="4E8D3684"/>
    <w:rsid w:val="4E90475E"/>
    <w:rsid w:val="4E957926"/>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2D50776"/>
    <w:rsid w:val="53034162"/>
    <w:rsid w:val="53182FAD"/>
    <w:rsid w:val="53283BC9"/>
    <w:rsid w:val="532C4DA2"/>
    <w:rsid w:val="536410A5"/>
    <w:rsid w:val="536F17F8"/>
    <w:rsid w:val="53874D93"/>
    <w:rsid w:val="53932FF4"/>
    <w:rsid w:val="53DC53F9"/>
    <w:rsid w:val="543071D9"/>
    <w:rsid w:val="543C16DA"/>
    <w:rsid w:val="544E7A21"/>
    <w:rsid w:val="54843081"/>
    <w:rsid w:val="54D2168C"/>
    <w:rsid w:val="54E720BB"/>
    <w:rsid w:val="551B4A12"/>
    <w:rsid w:val="5588094F"/>
    <w:rsid w:val="558A2919"/>
    <w:rsid w:val="5634588C"/>
    <w:rsid w:val="563D3E2F"/>
    <w:rsid w:val="56615E0C"/>
    <w:rsid w:val="567846EC"/>
    <w:rsid w:val="56AC0B61"/>
    <w:rsid w:val="56B45E9F"/>
    <w:rsid w:val="56DE2F1C"/>
    <w:rsid w:val="5701674D"/>
    <w:rsid w:val="5714693E"/>
    <w:rsid w:val="57272B15"/>
    <w:rsid w:val="575C16B2"/>
    <w:rsid w:val="57811AFA"/>
    <w:rsid w:val="57966F2A"/>
    <w:rsid w:val="57AD207D"/>
    <w:rsid w:val="57BA7F1F"/>
    <w:rsid w:val="57E024E1"/>
    <w:rsid w:val="5806097D"/>
    <w:rsid w:val="58134E48"/>
    <w:rsid w:val="583A6878"/>
    <w:rsid w:val="5889335C"/>
    <w:rsid w:val="58B80B09"/>
    <w:rsid w:val="58C500FD"/>
    <w:rsid w:val="58DC7930"/>
    <w:rsid w:val="58F051A1"/>
    <w:rsid w:val="590C03A2"/>
    <w:rsid w:val="596334BB"/>
    <w:rsid w:val="59727BBE"/>
    <w:rsid w:val="59964C22"/>
    <w:rsid w:val="59A97E57"/>
    <w:rsid w:val="5A112DD4"/>
    <w:rsid w:val="5A4A24F3"/>
    <w:rsid w:val="5A5B1C29"/>
    <w:rsid w:val="5A7F2300"/>
    <w:rsid w:val="5AED49A0"/>
    <w:rsid w:val="5B92709A"/>
    <w:rsid w:val="5BAF611B"/>
    <w:rsid w:val="5BDA5CF3"/>
    <w:rsid w:val="5BFE0297"/>
    <w:rsid w:val="5C084A8D"/>
    <w:rsid w:val="5C161EDE"/>
    <w:rsid w:val="5C207B33"/>
    <w:rsid w:val="5C880D1C"/>
    <w:rsid w:val="5CA91A5D"/>
    <w:rsid w:val="5D04082A"/>
    <w:rsid w:val="5D2914FD"/>
    <w:rsid w:val="5D611791"/>
    <w:rsid w:val="5D755C5D"/>
    <w:rsid w:val="5DAE0264"/>
    <w:rsid w:val="5DD5494D"/>
    <w:rsid w:val="5DDE74C5"/>
    <w:rsid w:val="5E916AC6"/>
    <w:rsid w:val="5E9640DD"/>
    <w:rsid w:val="5E992621"/>
    <w:rsid w:val="5EC67DA5"/>
    <w:rsid w:val="5ED247CC"/>
    <w:rsid w:val="5F103E8F"/>
    <w:rsid w:val="5F1D65AC"/>
    <w:rsid w:val="5F3A0F0C"/>
    <w:rsid w:val="5F58262D"/>
    <w:rsid w:val="5F6419A2"/>
    <w:rsid w:val="5F775691"/>
    <w:rsid w:val="600414DC"/>
    <w:rsid w:val="603319A6"/>
    <w:rsid w:val="605F1472"/>
    <w:rsid w:val="606759EC"/>
    <w:rsid w:val="60A12843"/>
    <w:rsid w:val="60BA744E"/>
    <w:rsid w:val="60BB23FA"/>
    <w:rsid w:val="60FB49D2"/>
    <w:rsid w:val="61D474C9"/>
    <w:rsid w:val="621A5025"/>
    <w:rsid w:val="62950A8E"/>
    <w:rsid w:val="629774D1"/>
    <w:rsid w:val="62BE64F4"/>
    <w:rsid w:val="62C9714A"/>
    <w:rsid w:val="635B3466"/>
    <w:rsid w:val="637B00FA"/>
    <w:rsid w:val="63DC4C88"/>
    <w:rsid w:val="64234172"/>
    <w:rsid w:val="6431668F"/>
    <w:rsid w:val="64803EF5"/>
    <w:rsid w:val="64835103"/>
    <w:rsid w:val="64970BAF"/>
    <w:rsid w:val="64AA6F1D"/>
    <w:rsid w:val="64F8164D"/>
    <w:rsid w:val="6502427A"/>
    <w:rsid w:val="656C3DE9"/>
    <w:rsid w:val="65715BFD"/>
    <w:rsid w:val="65732D00"/>
    <w:rsid w:val="659D21F5"/>
    <w:rsid w:val="65B03CD6"/>
    <w:rsid w:val="65B34C8C"/>
    <w:rsid w:val="66050395"/>
    <w:rsid w:val="661A0932"/>
    <w:rsid w:val="66302426"/>
    <w:rsid w:val="66364452"/>
    <w:rsid w:val="6651710F"/>
    <w:rsid w:val="66624590"/>
    <w:rsid w:val="66D90189"/>
    <w:rsid w:val="66E85FB4"/>
    <w:rsid w:val="67330E86"/>
    <w:rsid w:val="67380427"/>
    <w:rsid w:val="674033C8"/>
    <w:rsid w:val="67614E4C"/>
    <w:rsid w:val="679C7C07"/>
    <w:rsid w:val="679F580B"/>
    <w:rsid w:val="67B37AAD"/>
    <w:rsid w:val="67F524F3"/>
    <w:rsid w:val="67F92005"/>
    <w:rsid w:val="67FB3202"/>
    <w:rsid w:val="68025435"/>
    <w:rsid w:val="6817628E"/>
    <w:rsid w:val="688F22C8"/>
    <w:rsid w:val="68C267B6"/>
    <w:rsid w:val="68CF738C"/>
    <w:rsid w:val="68F20812"/>
    <w:rsid w:val="69021FA8"/>
    <w:rsid w:val="69137A07"/>
    <w:rsid w:val="697415F1"/>
    <w:rsid w:val="697F3ADF"/>
    <w:rsid w:val="69DA3ABA"/>
    <w:rsid w:val="6A3762A4"/>
    <w:rsid w:val="6A3D3FA6"/>
    <w:rsid w:val="6A590DE0"/>
    <w:rsid w:val="6A631F51"/>
    <w:rsid w:val="6A887F5F"/>
    <w:rsid w:val="6AAB7162"/>
    <w:rsid w:val="6AC3566F"/>
    <w:rsid w:val="6B037C3A"/>
    <w:rsid w:val="6B2B4A32"/>
    <w:rsid w:val="6B3A67D0"/>
    <w:rsid w:val="6B4B7556"/>
    <w:rsid w:val="6B6179F5"/>
    <w:rsid w:val="6B7C13D5"/>
    <w:rsid w:val="6B9F6CC6"/>
    <w:rsid w:val="6BD72D2C"/>
    <w:rsid w:val="6C0652F9"/>
    <w:rsid w:val="6C53512B"/>
    <w:rsid w:val="6C560EC1"/>
    <w:rsid w:val="6C8E0AE9"/>
    <w:rsid w:val="6C950079"/>
    <w:rsid w:val="6CA04267"/>
    <w:rsid w:val="6CA63EB8"/>
    <w:rsid w:val="6CB227F2"/>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5E1B52"/>
    <w:rsid w:val="70BA014A"/>
    <w:rsid w:val="70D07922"/>
    <w:rsid w:val="70E14841"/>
    <w:rsid w:val="7113156F"/>
    <w:rsid w:val="718524BB"/>
    <w:rsid w:val="718631F8"/>
    <w:rsid w:val="71CE1DE8"/>
    <w:rsid w:val="726E73F3"/>
    <w:rsid w:val="72A11576"/>
    <w:rsid w:val="72B56CCB"/>
    <w:rsid w:val="72D46929"/>
    <w:rsid w:val="72D729DB"/>
    <w:rsid w:val="72EC0317"/>
    <w:rsid w:val="73353469"/>
    <w:rsid w:val="73644117"/>
    <w:rsid w:val="736D3FC9"/>
    <w:rsid w:val="73972979"/>
    <w:rsid w:val="73BC3E0B"/>
    <w:rsid w:val="73BF6E3A"/>
    <w:rsid w:val="73D042C3"/>
    <w:rsid w:val="74035919"/>
    <w:rsid w:val="741D30BD"/>
    <w:rsid w:val="74213FF1"/>
    <w:rsid w:val="742C1313"/>
    <w:rsid w:val="74962374"/>
    <w:rsid w:val="74AE61D2"/>
    <w:rsid w:val="74D774D1"/>
    <w:rsid w:val="74FB38D2"/>
    <w:rsid w:val="750E0A19"/>
    <w:rsid w:val="75606932"/>
    <w:rsid w:val="75685790"/>
    <w:rsid w:val="756E5918"/>
    <w:rsid w:val="75712C55"/>
    <w:rsid w:val="757B7431"/>
    <w:rsid w:val="75D7226C"/>
    <w:rsid w:val="75F15990"/>
    <w:rsid w:val="76332FB4"/>
    <w:rsid w:val="76740D50"/>
    <w:rsid w:val="76807996"/>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DFC61FF"/>
    <w:rsid w:val="7E3B4056"/>
    <w:rsid w:val="7E8640F9"/>
    <w:rsid w:val="7E8E06E9"/>
    <w:rsid w:val="7EA31D98"/>
    <w:rsid w:val="7EBB7DDB"/>
    <w:rsid w:val="7EC81C39"/>
    <w:rsid w:val="7EF700DD"/>
    <w:rsid w:val="7F951BF0"/>
    <w:rsid w:val="7FBD6760"/>
    <w:rsid w:val="7FFA0518"/>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48"/>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5"/>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6"/>
    <w:autoRedefine/>
    <w:unhideWhenUsed/>
    <w:qFormat/>
    <w:uiPriority w:val="9"/>
    <w:pPr>
      <w:keepNext/>
      <w:keepLines/>
      <w:outlineLvl w:val="2"/>
    </w:pPr>
    <w:rPr>
      <w:b/>
      <w:bCs/>
      <w:szCs w:val="32"/>
    </w:rPr>
  </w:style>
  <w:style w:type="paragraph" w:styleId="5">
    <w:name w:val="heading 6"/>
    <w:basedOn w:val="1"/>
    <w:next w:val="1"/>
    <w:autoRedefine/>
    <w:unhideWhenUsed/>
    <w:qFormat/>
    <w:uiPriority w:val="9"/>
    <w:pPr>
      <w:keepNext/>
      <w:keepLines/>
      <w:outlineLvl w:val="5"/>
    </w:pPr>
    <w:rPr>
      <w:rFonts w:ascii="Cambria" w:hAnsi="Cambria"/>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link w:val="38"/>
    <w:autoRedefine/>
    <w:semiHidden/>
    <w:unhideWhenUsed/>
    <w:qFormat/>
    <w:uiPriority w:val="99"/>
    <w:pPr>
      <w:jc w:val="left"/>
    </w:pPr>
  </w:style>
  <w:style w:type="paragraph" w:styleId="8">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9">
    <w:name w:val="Body Text"/>
    <w:basedOn w:val="1"/>
    <w:autoRedefine/>
    <w:qFormat/>
    <w:uiPriority w:val="99"/>
    <w:rPr>
      <w:szCs w:val="21"/>
    </w:rPr>
  </w:style>
  <w:style w:type="paragraph" w:styleId="10">
    <w:name w:val="Body Text Indent"/>
    <w:basedOn w:val="1"/>
    <w:link w:val="46"/>
    <w:autoRedefine/>
    <w:qFormat/>
    <w:uiPriority w:val="0"/>
    <w:pPr>
      <w:ind w:left="200" w:leftChars="200"/>
    </w:pPr>
    <w:rPr>
      <w:szCs w:val="21"/>
    </w:rPr>
  </w:style>
  <w:style w:type="paragraph" w:styleId="11">
    <w:name w:val="Plain Text"/>
    <w:basedOn w:val="1"/>
    <w:autoRedefine/>
    <w:qFormat/>
    <w:uiPriority w:val="0"/>
    <w:rPr>
      <w:rFonts w:hint="eastAsia" w:ascii="宋体" w:hAnsi="Courier New" w:eastAsia="宋体" w:cs="Times New Roman"/>
      <w:szCs w:val="20"/>
    </w:rPr>
  </w:style>
  <w:style w:type="paragraph" w:styleId="12">
    <w:name w:val="Body Text Indent 2"/>
    <w:basedOn w:val="1"/>
    <w:next w:val="11"/>
    <w:autoRedefine/>
    <w:qFormat/>
    <w:uiPriority w:val="0"/>
    <w:pPr>
      <w:ind w:left="-718" w:leftChars="-342" w:firstLine="720" w:firstLineChars="225"/>
      <w:jc w:val="left"/>
    </w:pPr>
    <w:rPr>
      <w:sz w:val="32"/>
      <w:szCs w:val="32"/>
    </w:rPr>
  </w:style>
  <w:style w:type="paragraph" w:styleId="13">
    <w:name w:val="Balloon Text"/>
    <w:basedOn w:val="1"/>
    <w:link w:val="45"/>
    <w:semiHidden/>
    <w:unhideWhenUsed/>
    <w:qFormat/>
    <w:uiPriority w:val="99"/>
    <w:pPr>
      <w:spacing w:line="240" w:lineRule="auto"/>
    </w:pPr>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tabs>
        <w:tab w:val="right" w:leader="dot" w:pos="8296"/>
      </w:tabs>
      <w:ind w:firstLine="0" w:firstLineChars="0"/>
    </w:pPr>
    <w:rPr>
      <w:rFonts w:hAnsi="宋体"/>
      <w:b/>
      <w:bCs/>
    </w:rPr>
  </w:style>
  <w:style w:type="paragraph" w:styleId="17">
    <w:name w:val="toc 2"/>
    <w:basedOn w:val="1"/>
    <w:next w:val="1"/>
    <w:autoRedefine/>
    <w:unhideWhenUsed/>
    <w:qFormat/>
    <w:uiPriority w:val="39"/>
    <w:pPr>
      <w:tabs>
        <w:tab w:val="right" w:leader="dot" w:pos="8296"/>
      </w:tabs>
      <w:ind w:left="560" w:leftChars="200" w:firstLine="0" w:firstLineChars="0"/>
    </w:pPr>
  </w:style>
  <w:style w:type="paragraph" w:styleId="1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autoRedefine/>
    <w:semiHidden/>
    <w:unhideWhenUsed/>
    <w:qFormat/>
    <w:uiPriority w:val="99"/>
    <w:pPr>
      <w:spacing w:beforeAutospacing="1" w:afterAutospacing="1"/>
      <w:jc w:val="left"/>
    </w:pPr>
    <w:rPr>
      <w:rFonts w:cs="Times New Roman"/>
      <w:kern w:val="0"/>
      <w:sz w:val="24"/>
    </w:rPr>
  </w:style>
  <w:style w:type="paragraph" w:styleId="20">
    <w:name w:val="index 1"/>
    <w:basedOn w:val="1"/>
    <w:next w:val="1"/>
    <w:autoRedefine/>
    <w:qFormat/>
    <w:uiPriority w:val="0"/>
  </w:style>
  <w:style w:type="paragraph" w:styleId="21">
    <w:name w:val="annotation subject"/>
    <w:basedOn w:val="7"/>
    <w:next w:val="7"/>
    <w:link w:val="39"/>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Hyperlink"/>
    <w:basedOn w:val="24"/>
    <w:autoRedefine/>
    <w:unhideWhenUsed/>
    <w:qFormat/>
    <w:uiPriority w:val="99"/>
    <w:rPr>
      <w:color w:val="0563C1" w:themeColor="hyperlink"/>
      <w:u w:val="single"/>
    </w:rPr>
  </w:style>
  <w:style w:type="character" w:styleId="27">
    <w:name w:val="annotation reference"/>
    <w:basedOn w:val="24"/>
    <w:autoRedefine/>
    <w:semiHidden/>
    <w:unhideWhenUsed/>
    <w:qFormat/>
    <w:uiPriority w:val="99"/>
    <w:rPr>
      <w:sz w:val="21"/>
      <w:szCs w:val="21"/>
    </w:rPr>
  </w:style>
  <w:style w:type="paragraph" w:customStyle="1" w:styleId="28">
    <w:name w:val="正文首行缩进 21"/>
    <w:basedOn w:val="1"/>
    <w:autoRedefine/>
    <w:qFormat/>
    <w:uiPriority w:val="0"/>
    <w:pPr>
      <w:ind w:left="420" w:leftChars="200" w:firstLine="420"/>
    </w:pPr>
  </w:style>
  <w:style w:type="paragraph" w:customStyle="1" w:styleId="29">
    <w:name w:val="Body Text First Indent 21"/>
    <w:basedOn w:val="1"/>
    <w:autoRedefine/>
    <w:qFormat/>
    <w:uiPriority w:val="0"/>
    <w:pPr>
      <w:ind w:left="420" w:leftChars="200" w:firstLine="420"/>
    </w:pPr>
  </w:style>
  <w:style w:type="paragraph" w:customStyle="1" w:styleId="30">
    <w:name w:val="BodyTextIndent"/>
    <w:basedOn w:val="1"/>
    <w:autoRedefine/>
    <w:qFormat/>
    <w:uiPriority w:val="0"/>
    <w:pPr>
      <w:widowControl/>
      <w:ind w:left="200" w:leftChars="200"/>
      <w:textAlignment w:val="baseline"/>
    </w:pPr>
    <w:rPr>
      <w:sz w:val="21"/>
      <w:szCs w:val="21"/>
    </w:rPr>
  </w:style>
  <w:style w:type="character" w:customStyle="1" w:styleId="31">
    <w:name w:val="页眉 Char"/>
    <w:basedOn w:val="24"/>
    <w:link w:val="15"/>
    <w:autoRedefine/>
    <w:qFormat/>
    <w:uiPriority w:val="99"/>
    <w:rPr>
      <w:sz w:val="18"/>
      <w:szCs w:val="18"/>
    </w:rPr>
  </w:style>
  <w:style w:type="character" w:customStyle="1" w:styleId="32">
    <w:name w:val="页脚 Char"/>
    <w:basedOn w:val="24"/>
    <w:link w:val="14"/>
    <w:autoRedefine/>
    <w:qFormat/>
    <w:uiPriority w:val="99"/>
    <w:rPr>
      <w:sz w:val="18"/>
      <w:szCs w:val="18"/>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4">
    <w:name w:val="标题 1 Char"/>
    <w:basedOn w:val="24"/>
    <w:link w:val="2"/>
    <w:autoRedefine/>
    <w:qFormat/>
    <w:uiPriority w:val="9"/>
    <w:rPr>
      <w:rFonts w:ascii="黑体" w:hAnsi="黑体" w:eastAsia="黑体"/>
      <w:b/>
      <w:bCs/>
      <w:kern w:val="44"/>
      <w:sz w:val="32"/>
      <w:szCs w:val="44"/>
    </w:rPr>
  </w:style>
  <w:style w:type="character" w:customStyle="1" w:styleId="35">
    <w:name w:val="标题 2 Char"/>
    <w:basedOn w:val="24"/>
    <w:link w:val="3"/>
    <w:autoRedefine/>
    <w:qFormat/>
    <w:uiPriority w:val="9"/>
    <w:rPr>
      <w:rFonts w:ascii="楷体" w:hAnsi="楷体" w:eastAsia="楷体" w:cstheme="majorBidi"/>
      <w:b/>
      <w:bCs/>
      <w:sz w:val="32"/>
      <w:szCs w:val="32"/>
    </w:rPr>
  </w:style>
  <w:style w:type="character" w:customStyle="1" w:styleId="36">
    <w:name w:val="标题 3 Char"/>
    <w:basedOn w:val="24"/>
    <w:link w:val="4"/>
    <w:autoRedefine/>
    <w:qFormat/>
    <w:uiPriority w:val="9"/>
    <w:rPr>
      <w:rFonts w:ascii="仿宋_GB2312" w:hAnsi="仿宋_GB2312" w:eastAsia="仿宋_GB2312"/>
      <w:b/>
      <w:bCs/>
      <w:sz w:val="28"/>
      <w:szCs w:val="32"/>
    </w:rPr>
  </w:style>
  <w:style w:type="character" w:customStyle="1" w:styleId="37">
    <w:name w:val="font01"/>
    <w:basedOn w:val="24"/>
    <w:autoRedefine/>
    <w:qFormat/>
    <w:uiPriority w:val="0"/>
    <w:rPr>
      <w:rFonts w:hint="eastAsia" w:ascii="宋体" w:hAnsi="宋体" w:eastAsia="宋体" w:cs="宋体"/>
      <w:color w:val="000000"/>
      <w:sz w:val="21"/>
      <w:szCs w:val="21"/>
      <w:u w:val="none"/>
    </w:rPr>
  </w:style>
  <w:style w:type="character" w:customStyle="1" w:styleId="38">
    <w:name w:val="批注文字 Char"/>
    <w:basedOn w:val="24"/>
    <w:link w:val="7"/>
    <w:autoRedefine/>
    <w:semiHidden/>
    <w:qFormat/>
    <w:uiPriority w:val="99"/>
    <w:rPr>
      <w:rFonts w:ascii="仿宋_GB2312" w:hAnsi="仿宋_GB2312" w:eastAsia="仿宋_GB2312" w:cstheme="minorBidi"/>
      <w:kern w:val="2"/>
      <w:sz w:val="28"/>
      <w:szCs w:val="22"/>
    </w:rPr>
  </w:style>
  <w:style w:type="character" w:customStyle="1" w:styleId="39">
    <w:name w:val="批注主题 Char"/>
    <w:basedOn w:val="38"/>
    <w:link w:val="21"/>
    <w:autoRedefine/>
    <w:semiHidden/>
    <w:qFormat/>
    <w:uiPriority w:val="99"/>
    <w:rPr>
      <w:rFonts w:ascii="仿宋_GB2312" w:hAnsi="仿宋_GB2312" w:eastAsia="仿宋_GB2312" w:cstheme="minorBidi"/>
      <w:b/>
      <w:bCs/>
      <w:kern w:val="2"/>
      <w:sz w:val="28"/>
      <w:szCs w:val="22"/>
    </w:rPr>
  </w:style>
  <w:style w:type="paragraph" w:customStyle="1" w:styleId="40">
    <w:name w:val="NormalIndent"/>
    <w:basedOn w:val="1"/>
    <w:autoRedefine/>
    <w:qFormat/>
    <w:uiPriority w:val="99"/>
    <w:pPr>
      <w:ind w:firstLine="420"/>
      <w:textAlignment w:val="baseline"/>
    </w:pPr>
    <w:rPr>
      <w:szCs w:val="21"/>
    </w:rPr>
  </w:style>
  <w:style w:type="character" w:customStyle="1" w:styleId="41">
    <w:name w:val="content1"/>
    <w:basedOn w:val="24"/>
    <w:autoRedefine/>
    <w:qFormat/>
    <w:uiPriority w:val="0"/>
    <w:rPr>
      <w:rFonts w:hint="default"/>
      <w:sz w:val="21"/>
    </w:rPr>
  </w:style>
  <w:style w:type="paragraph" w:customStyle="1" w:styleId="42">
    <w:name w:val="Char2"/>
    <w:basedOn w:val="1"/>
    <w:autoRedefine/>
    <w:qFormat/>
    <w:uiPriority w:val="0"/>
    <w:rPr>
      <w:rFonts w:ascii="Courier" w:hAnsi="Courier" w:cs="Courier"/>
      <w:szCs w:val="21"/>
    </w:rPr>
  </w:style>
  <w:style w:type="character" w:customStyle="1" w:styleId="43">
    <w:name w:val="NormalCharacter"/>
    <w:autoRedefine/>
    <w:semiHidden/>
    <w:qFormat/>
    <w:uiPriority w:val="0"/>
  </w:style>
  <w:style w:type="paragraph" w:customStyle="1" w:styleId="44">
    <w:name w:val="Normal Indent1"/>
    <w:basedOn w:val="1"/>
    <w:autoRedefine/>
    <w:qFormat/>
    <w:uiPriority w:val="99"/>
    <w:pPr>
      <w:ind w:firstLine="420"/>
    </w:pPr>
  </w:style>
  <w:style w:type="character" w:customStyle="1" w:styleId="45">
    <w:name w:val="批注框文本 Char"/>
    <w:basedOn w:val="24"/>
    <w:link w:val="13"/>
    <w:semiHidden/>
    <w:qFormat/>
    <w:uiPriority w:val="99"/>
    <w:rPr>
      <w:rFonts w:ascii="仿宋_GB2312" w:hAnsi="仿宋_GB2312" w:eastAsia="仿宋_GB2312" w:cstheme="minorBidi"/>
      <w:kern w:val="2"/>
      <w:sz w:val="18"/>
      <w:szCs w:val="18"/>
    </w:rPr>
  </w:style>
  <w:style w:type="character" w:customStyle="1" w:styleId="46">
    <w:name w:val="正文文本缩进 Char"/>
    <w:basedOn w:val="24"/>
    <w:link w:val="10"/>
    <w:qFormat/>
    <w:uiPriority w:val="0"/>
    <w:rPr>
      <w:rFonts w:ascii="仿宋_GB2312" w:hAnsi="仿宋_GB2312" w:eastAsia="仿宋_GB2312" w:cstheme="minorBidi"/>
      <w:kern w:val="2"/>
      <w:sz w:val="28"/>
      <w:szCs w:val="21"/>
    </w:rPr>
  </w:style>
  <w:style w:type="paragraph" w:styleId="47">
    <w:name w:val="List Paragraph"/>
    <w:basedOn w:val="1"/>
    <w:autoRedefine/>
    <w:qFormat/>
    <w:uiPriority w:val="99"/>
    <w:pPr>
      <w:ind w:firstLine="420"/>
    </w:pPr>
  </w:style>
  <w:style w:type="character" w:customStyle="1" w:styleId="48">
    <w:name w:val="标题 1 字符"/>
    <w:basedOn w:val="24"/>
    <w:link w:val="2"/>
    <w:autoRedefine/>
    <w:qFormat/>
    <w:uiPriority w:val="9"/>
    <w:rPr>
      <w:rFonts w:ascii="黑体" w:hAnsi="黑体"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6768</Words>
  <Characters>8003</Characters>
  <Lines>20</Lines>
  <Paragraphs>22</Paragraphs>
  <TotalTime>7</TotalTime>
  <ScaleCrop>false</ScaleCrop>
  <LinksUpToDate>false</LinksUpToDate>
  <CharactersWithSpaces>8077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一只快活的柠檬精</cp:lastModifiedBy>
  <cp:lastPrinted>2021-04-25T06:46:00Z</cp:lastPrinted>
  <dcterms:modified xsi:type="dcterms:W3CDTF">2025-08-21T08:37:56Z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2053319AB45E4CF8A9683F2D2FC1B7A2</vt:lpwstr>
  </property>
  <property fmtid="{D5CDD505-2E9C-101B-9397-08002B2CF9AE}" pid="4" name="KSOTemplateDocerSaveRecord">
    <vt:lpwstr>eyJoZGlkIjoiY2FmNDhjOTMyZjFiNWY1NjIyMmUzYjYzMTJhOWFkZjgiLCJ1c2VySWQiOiIxNzIwMzAyNDI3In0=</vt:lpwstr>
  </property>
</Properties>
</file>