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宋体" w:hAnsi="宋体"/>
          <w:b/>
        </w:rPr>
      </w:pPr>
      <w:r>
        <w:rPr>
          <w:rFonts w:hint="eastAsia" w:ascii="黑体" w:eastAsia="黑体"/>
          <w:sz w:val="30"/>
          <w:szCs w:val="30"/>
        </w:rPr>
        <w:t>附件1</w:t>
      </w:r>
    </w:p>
    <w:p>
      <w:pPr>
        <w:spacing w:line="360" w:lineRule="exact"/>
        <w:jc w:val="center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表一、单位收支总体情况表</w:t>
      </w:r>
    </w:p>
    <w:p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2"/>
        <w:tblW w:w="96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1600"/>
        <w:gridCol w:w="3236"/>
        <w:gridCol w:w="14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     入</w:t>
            </w:r>
          </w:p>
        </w:tc>
        <w:tc>
          <w:tcPr>
            <w:tcW w:w="4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     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一、一般公共预算财政拨款收入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top"/>
          </w:tcPr>
          <w:p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3,182.15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二、政府性基金预算财政拨款收入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top"/>
          </w:tcPr>
          <w:p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三、国有资本经营预算收入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top"/>
          </w:tcPr>
          <w:p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四、教育专户核算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top"/>
          </w:tcPr>
          <w:p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2,730.79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五、事业收入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top"/>
          </w:tcPr>
          <w:p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六、上级补助收入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top"/>
          </w:tcPr>
          <w:p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七、附属单位上缴收入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top"/>
          </w:tcPr>
          <w:p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八、经营收入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top"/>
          </w:tcPr>
          <w:p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九、其他收入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top"/>
          </w:tcPr>
          <w:p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九、社会保险基金支出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十、卫生健康支出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十一、节能环保支出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十二、城乡社区支出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十三、农林水支出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十四、交通运输支出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十五、资源勘探工业信息等支出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十六、商业服务业等支出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十七、金融支出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十八、援助其他地区支出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十九、自然资源海洋气象等支出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二十、住房保障支出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二十一、粮油物资储备支出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二十二、国有资本经营预算支出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二十三、灾害防治及应急管理支出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二十四、预备费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二十五、其他支出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二十六、转移性支出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二十七、债务还本支出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二十八、债务付息支出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二十九、债务发行费用支出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三十、抗疫特别国债安排的支出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3,182.15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3,199.89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十、上年结转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17.74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二十九、结转下年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十一、上年结余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3,199.89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1412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CCCCFF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3,199.89</w:t>
            </w: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ascii="仿宋" w:hAnsi="微软雅黑" w:eastAsia="仿宋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spacing w:line="600" w:lineRule="exact"/>
        <w:jc w:val="center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表二、单位收入总体情况表</w:t>
      </w:r>
    </w:p>
    <w:p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2"/>
        <w:tblW w:w="95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2"/>
        <w:gridCol w:w="2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一、一般公共预算财政拨款收入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3,182.15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经费拨款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3,182.15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本年收入合计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3,182.15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十、上年结转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17.74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财政性资金结转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17.74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一般公共预算收入结转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17.74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政府性基金预算收入结转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国有资本经营收入结转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非财政性资金结转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教育专户结转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十一、上年结余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财政性资金结余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一般公共预算收入结余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政府性基金预算收入结余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国有资本经营收入结余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非财政性资金结余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收入合计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3,199.89</w:t>
            </w: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ascii="仿宋" w:hAnsi="微软雅黑" w:eastAsia="仿宋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spacing w:line="600" w:lineRule="exact"/>
        <w:jc w:val="center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表三、单位支出总体情况表</w:t>
      </w:r>
    </w:p>
    <w:p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2"/>
        <w:tblW w:w="971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8"/>
        <w:gridCol w:w="1531"/>
        <w:gridCol w:w="1531"/>
        <w:gridCol w:w="1531"/>
        <w:gridCol w:w="15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支出功能分类科目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支出合计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上年结转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3,199.89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2,515.15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667.00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17.74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[204]公共安全支出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2,730.79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2,046.05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667.00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17.74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[20405]法院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2,730.79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2,046.05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667.00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17.74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[2040501]行政运行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2,046.05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2,046.05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[2040504]案件审判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684.74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667.00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[208]社会保障和就业支出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163.46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163.46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[20805]行政事业单位养老支出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160.10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160.10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[2080501]行政单位离退休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[2080505]机关事业单位基本养老保险缴费支出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[20899]其他社会保障和就业支出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3.36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3.36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[2089999]其他社会保障和就业支出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[210]卫生健康支出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110.63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110.63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[21011]行政事业单位医疗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110.63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110.63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[2101101]行政单位医疗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[2101102]事业单位医疗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[2101103]公务员医疗补助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[221]住房保障支出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195.01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195.01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[22102]住房改革支出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195.01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195.01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[2210201]住房公积金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ascii="仿宋" w:hAnsi="微软雅黑" w:eastAsia="仿宋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spacing w:line="600" w:lineRule="exact"/>
        <w:jc w:val="center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表四、财政拨款收支总体情况表</w:t>
      </w:r>
    </w:p>
    <w:p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2"/>
        <w:tblW w:w="98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1363"/>
        <w:gridCol w:w="3882"/>
        <w:gridCol w:w="13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      入</w:t>
            </w:r>
          </w:p>
        </w:tc>
        <w:tc>
          <w:tcPr>
            <w:tcW w:w="5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      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一、本年收入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3,182.15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一、本年支出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3,182.15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（一）一般公共预算财政拨款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3,182.15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（一）一般公共服务支出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（二）政府性基金预算财政拨款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（二）外交支出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（三）国有资本经营预算财政拨款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（三）国防支出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（四）公共安全支出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2,713.05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（五）教育支出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（六）科学技术支出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（七）文化体育与传媒支出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（八）社会保障和就业支出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（九）社会保险基金支出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（十）卫生健康支出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（十一）节能环保支出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（十二）城乡社区支出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（十三）农林水支出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（十四）交通运输支出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（十五）资源勘探工业信息等支出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（十六）商业服务业等支出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（十七）金融支出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（十八）援助其他地区支出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（十九）自然资源海洋气象等支出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（二十）住房保障支出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（二十一）粮油物资储备支出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（二十二）国有资本经营预算支出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（二十三）灾害防治及应急管理支出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（二十四）预备费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（二十五）其他支出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（二十六）债务还本支出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（二十七）债务付息支出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（二十八）债务发行费用支出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（二十九）抗疫特别国债安排的支出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  入  总  计</w:t>
            </w:r>
          </w:p>
        </w:tc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3,182.15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  出  总  计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3,182.15</w:t>
            </w: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ascii="仿宋" w:hAnsi="微软雅黑" w:eastAsia="仿宋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spacing w:line="600" w:lineRule="exact"/>
        <w:jc w:val="center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表五、财政拨款支出表</w:t>
      </w:r>
    </w:p>
    <w:p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2"/>
        <w:tblW w:w="14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5"/>
        <w:gridCol w:w="1065"/>
        <w:gridCol w:w="1066"/>
        <w:gridCol w:w="1025"/>
        <w:gridCol w:w="1066"/>
        <w:gridCol w:w="1066"/>
        <w:gridCol w:w="1025"/>
        <w:gridCol w:w="1066"/>
        <w:gridCol w:w="1066"/>
        <w:gridCol w:w="1025"/>
        <w:gridCol w:w="1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4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31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  <w:tc>
          <w:tcPr>
            <w:tcW w:w="31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政府性基金预算支出</w:t>
            </w:r>
          </w:p>
        </w:tc>
        <w:tc>
          <w:tcPr>
            <w:tcW w:w="31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国有资本经营预算支出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4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[601044]甘肃省张掖市中级人民法院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3,182.15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3,182.15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2,515.15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667.00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top"/>
          </w:tcPr>
          <w:p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top"/>
          </w:tcPr>
          <w:p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top"/>
          </w:tcPr>
          <w:p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top"/>
          </w:tcPr>
          <w:p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ascii="仿宋" w:hAnsi="微软雅黑" w:eastAsia="仿宋"/>
          <w:sz w:val="18"/>
          <w:szCs w:val="18"/>
        </w:rPr>
        <w:sectPr>
          <w:pgSz w:w="16838" w:h="11906" w:orient="landscape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spacing w:line="600" w:lineRule="exact"/>
        <w:jc w:val="center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表六、一般公共预算支出情况表</w:t>
      </w:r>
    </w:p>
    <w:p>
      <w:pPr>
        <w:jc w:val="right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2"/>
        <w:tblW w:w="95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4253"/>
        <w:gridCol w:w="1417"/>
        <w:gridCol w:w="1418"/>
        <w:gridCol w:w="14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3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支出功能分类科目</w:t>
            </w:r>
          </w:p>
        </w:tc>
        <w:tc>
          <w:tcPr>
            <w:tcW w:w="42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3,182.15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2,515.15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667.00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204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公共安全支出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2,713.05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2,046.05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667.00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20405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法院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2,713.05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2,046.05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667.00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2040501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行政运行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2,046.05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2,046.05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2040504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案件审判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208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社会保障和就业支出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163.46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163.46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20805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行政事业单位养老支出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160.10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160.10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2080501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行政单位离退休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6.80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2080505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153.30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20899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其他社会保障和就业支出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3.36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3.36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2089999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其他社会保障和就业支出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3.36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210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卫生健康支出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110.63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110.63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21011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行政事业单位医疗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110.63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110.63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2101101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行政单位医疗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60.75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2101102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事业单位医疗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2101103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公务员医疗补助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48.78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221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住房保障支出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195.01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195.01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22102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住房改革支出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195.01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195.01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2210201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住房公积金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195.01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ascii="仿宋" w:hAnsi="微软雅黑" w:eastAsia="仿宋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spacing w:line="600" w:lineRule="exact"/>
        <w:jc w:val="center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表七、一般公共预算基本支出情况表</w:t>
      </w:r>
    </w:p>
    <w:p>
      <w:pPr>
        <w:jc w:val="right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2"/>
        <w:tblW w:w="94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4252"/>
        <w:gridCol w:w="1559"/>
        <w:gridCol w:w="1418"/>
        <w:gridCol w:w="12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部门预算支出经济分类科目</w:t>
            </w:r>
          </w:p>
        </w:tc>
        <w:tc>
          <w:tcPr>
            <w:tcW w:w="4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一般公共预算基本支出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人员经费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公用经费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2,515.15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2,201.48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313.67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301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工资福利支出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2,193.10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2,193.10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基本工资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872.63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872.63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津贴补贴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493.36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493.36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奖金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95.64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机关事业单位基本养老保险缴费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职工基本医疗保险缴费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57.49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公务员医疗补助缴费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48.78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其他社会保障缴费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6.62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住房公积金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195.01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30199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其他工资福利支出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270.27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270.27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302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商品和服务支出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313.67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313.67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印刷费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30205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30206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电费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邮电费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取暖费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30211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差旅费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30213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维修（护）费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30214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租赁费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30215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会议费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30216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培训费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30217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公务接待费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30224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被装购置费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30226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劳务费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30227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委托业务费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30228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工会经费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30231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公务用车运行维护费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30239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其他交通费用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30299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其他商品和服务支出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303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对个人和家庭的补助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8.38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8.38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30302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退休费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30303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退职（役）费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30307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医疗费补助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ascii="仿宋" w:hAnsi="微软雅黑" w:eastAsia="仿宋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spacing w:line="600" w:lineRule="exact"/>
        <w:jc w:val="center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表八、一般公共预算财政拨款“三公”经费、会议费、培训费、委托业务费支出情况表</w:t>
      </w:r>
    </w:p>
    <w:p>
      <w:pPr>
        <w:jc w:val="right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2"/>
        <w:tblW w:w="144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58"/>
        <w:gridCol w:w="1361"/>
        <w:gridCol w:w="1361"/>
        <w:gridCol w:w="1361"/>
        <w:gridCol w:w="1362"/>
        <w:gridCol w:w="1265"/>
        <w:gridCol w:w="1265"/>
        <w:gridCol w:w="12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8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680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会议费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培训费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委托业务费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8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因公出国（境）费用</w:t>
            </w:r>
          </w:p>
        </w:tc>
        <w:tc>
          <w:tcPr>
            <w:tcW w:w="13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公务接待费</w:t>
            </w:r>
          </w:p>
        </w:tc>
        <w:tc>
          <w:tcPr>
            <w:tcW w:w="27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公务用车购置及运行维护费</w:t>
            </w:r>
          </w:p>
        </w:tc>
        <w:tc>
          <w:tcPr>
            <w:tcW w:w="12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8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公务用车购置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公务用车运行维护费</w:t>
            </w:r>
          </w:p>
        </w:tc>
        <w:tc>
          <w:tcPr>
            <w:tcW w:w="12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CCCC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[601044]甘肃省张掖市中级人民法院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37.36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7.96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5.97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164.00</w:t>
            </w: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ascii="仿宋" w:hAnsi="微软雅黑" w:eastAsia="仿宋"/>
          <w:sz w:val="18"/>
          <w:szCs w:val="18"/>
        </w:rPr>
        <w:sectPr>
          <w:pgSz w:w="16838" w:h="11906" w:orient="landscape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spacing w:line="600" w:lineRule="exact"/>
        <w:jc w:val="center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表九、一般公共预算财政拨款机关运行经费表</w:t>
      </w:r>
    </w:p>
    <w:p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2"/>
        <w:tblW w:w="941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121"/>
        <w:gridCol w:w="1814"/>
        <w:gridCol w:w="1814"/>
        <w:gridCol w:w="18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部门预算支出经济分类科目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219.55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169.55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50.00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[30201]办公费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30.13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30.13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[30202]印刷费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[30205]水费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[30206]电费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11.71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11.71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[30207]邮电费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11.44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11.44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[30208]取暖费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6.77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6.77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[30209]物业管理费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[30211]差旅费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23.96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23.96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[30213]维修（护）费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[30215]会议费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[30218]专用材料费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[30229]福利费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[30231]公务用车运行维护费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[30299]其他商品和服务支出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17.01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17.01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[31002]办公设备购置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ascii="仿宋" w:hAnsi="微软雅黑" w:eastAsia="仿宋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spacing w:line="600" w:lineRule="exact"/>
        <w:jc w:val="center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表十、政府性基金预算支出情况表</w:t>
      </w:r>
    </w:p>
    <w:p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2"/>
        <w:tblW w:w="949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0"/>
                <w:szCs w:val="20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ascii="仿宋" w:hAnsi="微软雅黑" w:eastAsia="仿宋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微软雅黑" w:eastAsia="仿宋"/>
          <w:sz w:val="18"/>
          <w:szCs w:val="18"/>
        </w:rPr>
        <w:t>未安排预算，政府性基金预算支出情况表为空表。</w:t>
      </w:r>
    </w:p>
    <w:p>
      <w:pPr>
        <w:spacing w:line="600" w:lineRule="exact"/>
        <w:jc w:val="center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表十一、部门管理转移支付表</w:t>
      </w:r>
    </w:p>
    <w:p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2"/>
        <w:tblW w:w="952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2"/>
        <w:gridCol w:w="1361"/>
        <w:gridCol w:w="1361"/>
        <w:gridCol w:w="1361"/>
        <w:gridCol w:w="13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政府性基金预算项目支出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国有资本经营预算项目支出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ascii="仿宋" w:hAnsi="微软雅黑" w:eastAsia="仿宋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微软雅黑" w:eastAsia="仿宋"/>
          <w:sz w:val="18"/>
          <w:szCs w:val="18"/>
        </w:rPr>
        <w:t>未安排预算，部门管理转移支付表为空表。</w:t>
      </w:r>
    </w:p>
    <w:p>
      <w:pPr>
        <w:spacing w:line="600" w:lineRule="exact"/>
        <w:jc w:val="center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表十二、国有资本经营预算支出情况表</w:t>
      </w:r>
    </w:p>
    <w:p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2"/>
        <w:tblW w:w="949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0"/>
                <w:szCs w:val="20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>
      <w:r>
        <w:rPr>
          <w:rFonts w:hint="eastAsia" w:ascii="仿宋" w:hAnsi="微软雅黑" w:eastAsia="仿宋"/>
          <w:sz w:val="18"/>
          <w:szCs w:val="18"/>
        </w:rPr>
        <w:t>未安排预算，国有资本经营预算支出情况表为空表。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21B95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2026-03-04T07:32:00Z</dcterms:created>
  <dc:creator>Administrator</dc:creator>
  <cp:lastModifiedBy>Administrator</cp:lastModifiedBy>
  <dcterms:modified xsi:type="dcterms:W3CDTF">2026-03-04T07:32:42Z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3E5DAB48426446C18EFD200DC2F025D2</vt:lpwstr>
  </property>
</Properties>
</file>